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F" w:rsidRDefault="000C479A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980226">
        <w:rPr>
          <w:rFonts w:ascii="Arial" w:hAnsi="Arial" w:cs="Arial"/>
          <w:b/>
          <w:color w:val="0070C0"/>
          <w:sz w:val="24"/>
          <w:szCs w:val="24"/>
        </w:rPr>
        <w:br/>
      </w:r>
      <w:r w:rsidR="00980226">
        <w:rPr>
          <w:rFonts w:ascii="Arial" w:hAnsi="Arial" w:cs="Arial"/>
          <w:b/>
          <w:color w:val="0070C0"/>
          <w:sz w:val="24"/>
          <w:szCs w:val="24"/>
        </w:rPr>
        <w:br/>
      </w:r>
      <w:r w:rsidR="005A2DC9"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5731510" cy="1310700"/>
            <wp:effectExtent l="0" t="0" r="2540" b="3810"/>
            <wp:docPr id="1" name="Picture 1" descr="cid:image001.png@01D7DB0B.D10AD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DB0B.D10AD4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C9" w:rsidRDefault="005A2DC9">
      <w:pPr>
        <w:rPr>
          <w:rFonts w:ascii="Arial" w:hAnsi="Arial" w:cs="Arial"/>
          <w:b/>
          <w:color w:val="0070C0"/>
          <w:sz w:val="24"/>
          <w:szCs w:val="24"/>
        </w:rPr>
      </w:pPr>
    </w:p>
    <w:p w:rsidR="005A2DC9" w:rsidRDefault="005A2DC9">
      <w:pPr>
        <w:rPr>
          <w:rFonts w:ascii="Arial" w:hAnsi="Arial" w:cs="Arial"/>
          <w:b/>
          <w:color w:val="0070C0"/>
          <w:sz w:val="24"/>
          <w:szCs w:val="24"/>
        </w:rPr>
      </w:pPr>
    </w:p>
    <w:p w:rsidR="005A2DC9" w:rsidRPr="005A2DC9" w:rsidRDefault="005A2DC9" w:rsidP="005A2DC9">
      <w:pPr>
        <w:keepNext/>
        <w:keepLines/>
        <w:spacing w:after="0"/>
        <w:ind w:left="1320" w:hanging="10"/>
        <w:outlineLvl w:val="0"/>
        <w:rPr>
          <w:rFonts w:ascii="Arial" w:eastAsia="Arial" w:hAnsi="Arial" w:cs="Arial"/>
          <w:b/>
          <w:color w:val="000000"/>
          <w:lang w:eastAsia="en-NZ"/>
        </w:rPr>
      </w:pPr>
      <w:r w:rsidRPr="005A2DC9">
        <w:rPr>
          <w:rFonts w:ascii="Arial" w:eastAsia="Arial" w:hAnsi="Arial" w:cs="Arial"/>
          <w:b/>
          <w:color w:val="000000"/>
          <w:lang w:eastAsia="en-NZ"/>
        </w:rPr>
        <w:t xml:space="preserve">Two: The number of warrants to arrest sanctions applied, during the period 1 January 2013 to 31 August 2021, broken down by sanction type and year </w:t>
      </w:r>
    </w:p>
    <w:p w:rsidR="005A2DC9" w:rsidRPr="005A2DC9" w:rsidRDefault="005A2DC9" w:rsidP="005A2DC9">
      <w:pPr>
        <w:spacing w:after="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b/>
          <w:color w:val="000000"/>
          <w:lang w:eastAsia="en-NZ"/>
        </w:rPr>
        <w:t xml:space="preserve"> </w:t>
      </w:r>
    </w:p>
    <w:p w:rsidR="005A2DC9" w:rsidRPr="005A2DC9" w:rsidRDefault="005A2DC9" w:rsidP="005A2DC9">
      <w:pPr>
        <w:spacing w:after="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b/>
          <w:color w:val="000000"/>
          <w:lang w:eastAsia="en-NZ"/>
        </w:rPr>
        <w:t xml:space="preserve"> </w:t>
      </w:r>
    </w:p>
    <w:tbl>
      <w:tblPr>
        <w:tblStyle w:val="TableGrid"/>
        <w:tblW w:w="7002" w:type="dxa"/>
        <w:tblInd w:w="1013" w:type="dxa"/>
        <w:tblCellMar>
          <w:top w:w="7" w:type="dxa"/>
          <w:left w:w="10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081"/>
        <w:gridCol w:w="2655"/>
        <w:gridCol w:w="2266"/>
      </w:tblGrid>
      <w:tr w:rsidR="005A2DC9" w:rsidRPr="005A2DC9" w:rsidTr="0046752F">
        <w:trPr>
          <w:trHeight w:val="51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5A2DC9" w:rsidRPr="005A2DC9" w:rsidRDefault="005A2DC9" w:rsidP="005A2DC9">
            <w:pPr>
              <w:ind w:right="65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Year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9" w:rsidRPr="005A2DC9" w:rsidRDefault="005A2DC9" w:rsidP="005A2DC9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Reduced Rate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C9" w:rsidRPr="005A2DC9" w:rsidRDefault="005A2DC9" w:rsidP="005A2DC9">
            <w:pPr>
              <w:ind w:right="68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Suspension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2013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126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267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2014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498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1,008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2015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495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1,161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2016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609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1,428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2017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678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1,725 </w:t>
            </w:r>
          </w:p>
        </w:tc>
      </w:tr>
      <w:tr w:rsidR="005A2DC9" w:rsidRPr="005A2DC9" w:rsidTr="0046752F">
        <w:trPr>
          <w:trHeight w:val="3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2018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702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1,875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2019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852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2,592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2020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912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3,342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2021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549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color w:val="000000"/>
              </w:rPr>
              <w:t xml:space="preserve">2,214 </w:t>
            </w:r>
          </w:p>
        </w:tc>
      </w:tr>
      <w:tr w:rsidR="005A2DC9" w:rsidRPr="005A2DC9" w:rsidTr="0046752F">
        <w:trPr>
          <w:trHeight w:val="31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5,418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C9" w:rsidRPr="005A2DC9" w:rsidRDefault="005A2DC9" w:rsidP="005A2DC9">
            <w:pPr>
              <w:ind w:right="64"/>
              <w:jc w:val="right"/>
              <w:rPr>
                <w:rFonts w:ascii="Arial" w:eastAsia="Arial" w:hAnsi="Arial" w:cs="Arial"/>
                <w:color w:val="000000"/>
                <w:sz w:val="18"/>
              </w:rPr>
            </w:pPr>
            <w:r w:rsidRPr="005A2DC9">
              <w:rPr>
                <w:rFonts w:ascii="Arial" w:eastAsia="Arial" w:hAnsi="Arial" w:cs="Arial"/>
                <w:b/>
                <w:color w:val="000000"/>
              </w:rPr>
              <w:t xml:space="preserve">15,612 </w:t>
            </w:r>
          </w:p>
        </w:tc>
      </w:tr>
    </w:tbl>
    <w:p w:rsidR="005A2DC9" w:rsidRPr="005A2DC9" w:rsidRDefault="005A2DC9" w:rsidP="005A2DC9">
      <w:pPr>
        <w:spacing w:after="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b/>
          <w:color w:val="000000"/>
          <w:sz w:val="18"/>
          <w:lang w:eastAsia="en-NZ"/>
        </w:rPr>
        <w:t xml:space="preserve"> </w:t>
      </w:r>
    </w:p>
    <w:p w:rsidR="005A2DC9" w:rsidRPr="005A2DC9" w:rsidRDefault="005A2DC9" w:rsidP="005A2DC9">
      <w:pPr>
        <w:spacing w:after="0"/>
        <w:ind w:left="-5" w:hanging="1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b/>
          <w:color w:val="000000"/>
          <w:sz w:val="18"/>
          <w:lang w:eastAsia="en-NZ"/>
        </w:rPr>
        <w:t xml:space="preserve">Notes: </w:t>
      </w:r>
    </w:p>
    <w:p w:rsidR="005A2DC9" w:rsidRPr="005A2DC9" w:rsidRDefault="005A2DC9" w:rsidP="005A2DC9">
      <w:pPr>
        <w:numPr>
          <w:ilvl w:val="0"/>
          <w:numId w:val="2"/>
        </w:numPr>
        <w:spacing w:after="5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This is a count of notifications, not clients. A client may have had multiple notifications.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</w:p>
    <w:p w:rsidR="005A2DC9" w:rsidRPr="005A2DC9" w:rsidRDefault="005A2DC9" w:rsidP="005A2DC9">
      <w:pPr>
        <w:numPr>
          <w:ilvl w:val="0"/>
          <w:numId w:val="2"/>
        </w:numPr>
        <w:spacing w:after="5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WTA sanctions started from July 2013, so calendar year 2013 only includes data from July 2013 to </w:t>
      </w:r>
    </w:p>
    <w:p w:rsidR="005A2DC9" w:rsidRPr="005A2DC9" w:rsidRDefault="005A2DC9" w:rsidP="005A2DC9">
      <w:pPr>
        <w:tabs>
          <w:tab w:val="center" w:pos="1386"/>
          <w:tab w:val="center" w:pos="2881"/>
        </w:tabs>
        <w:spacing w:after="45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Calibri" w:eastAsia="Calibri" w:hAnsi="Calibri" w:cs="Calibri"/>
          <w:color w:val="000000"/>
          <w:lang w:eastAsia="en-NZ"/>
        </w:rPr>
        <w:tab/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December 2013. 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</w:p>
    <w:p w:rsidR="005A2DC9" w:rsidRPr="005A2DC9" w:rsidRDefault="005A2DC9" w:rsidP="005A2DC9">
      <w:pPr>
        <w:numPr>
          <w:ilvl w:val="0"/>
          <w:numId w:val="2"/>
        </w:numPr>
        <w:spacing w:after="5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Calendar year 2021 only includes data to end of August 2021. 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</w:p>
    <w:p w:rsidR="005A2DC9" w:rsidRPr="005A2DC9" w:rsidRDefault="005A2DC9" w:rsidP="005A2DC9">
      <w:pPr>
        <w:numPr>
          <w:ilvl w:val="0"/>
          <w:numId w:val="2"/>
        </w:numPr>
        <w:spacing w:after="5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The period for sanctions imposed is the same as the WTA notifications, i.e. January 2013 to 31 August </w:t>
      </w:r>
    </w:p>
    <w:p w:rsidR="005A2DC9" w:rsidRPr="005A2DC9" w:rsidRDefault="005A2DC9" w:rsidP="005A2DC9">
      <w:pPr>
        <w:tabs>
          <w:tab w:val="center" w:pos="947"/>
          <w:tab w:val="center" w:pos="1440"/>
          <w:tab w:val="center" w:pos="2160"/>
        </w:tabs>
        <w:spacing w:after="42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Calibri" w:eastAsia="Calibri" w:hAnsi="Calibri" w:cs="Calibri"/>
          <w:color w:val="000000"/>
          <w:lang w:eastAsia="en-NZ"/>
        </w:rPr>
        <w:tab/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2020.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</w:p>
    <w:p w:rsidR="005A2DC9" w:rsidRPr="005A2DC9" w:rsidRDefault="005A2DC9" w:rsidP="005A2DC9">
      <w:pPr>
        <w:numPr>
          <w:ilvl w:val="0"/>
          <w:numId w:val="2"/>
        </w:numPr>
        <w:spacing w:after="38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To protect confidentiality the Ministry of Social Development uses processes to make it difficult to identify an individual person or entity from published data.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</w:p>
    <w:p w:rsidR="005A2DC9" w:rsidRPr="005A2DC9" w:rsidRDefault="005A2DC9" w:rsidP="005A2DC9">
      <w:pPr>
        <w:numPr>
          <w:ilvl w:val="0"/>
          <w:numId w:val="2"/>
        </w:numPr>
        <w:spacing w:after="5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These data tables have had random rounding to base three applied to all cell counts in the table. </w:t>
      </w:r>
      <w:r w:rsidRPr="005A2DC9">
        <w:rPr>
          <w:rFonts w:ascii="Arial" w:eastAsia="Arial" w:hAnsi="Arial" w:cs="Arial"/>
          <w:color w:val="000000"/>
          <w:sz w:val="18"/>
          <w:lang w:eastAsia="en-NZ"/>
        </w:rPr>
        <w:tab/>
        <w:t xml:space="preserve"> </w:t>
      </w:r>
    </w:p>
    <w:p w:rsidR="005A2DC9" w:rsidRPr="005A2DC9" w:rsidRDefault="005A2DC9" w:rsidP="005A2DC9">
      <w:pPr>
        <w:numPr>
          <w:ilvl w:val="0"/>
          <w:numId w:val="2"/>
        </w:numPr>
        <w:spacing w:after="112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 xml:space="preserve">The impact of applying random rounding is that columns and rows may not add exactly to the given column or row totals.  </w:t>
      </w:r>
    </w:p>
    <w:p w:rsidR="005A2DC9" w:rsidRPr="005A2DC9" w:rsidRDefault="005A2DC9" w:rsidP="005A2DC9">
      <w:pPr>
        <w:numPr>
          <w:ilvl w:val="0"/>
          <w:numId w:val="2"/>
        </w:numPr>
        <w:spacing w:after="101"/>
        <w:ind w:hanging="360"/>
        <w:rPr>
          <w:rFonts w:ascii="Arial" w:eastAsia="Arial" w:hAnsi="Arial" w:cs="Arial"/>
          <w:color w:val="000000"/>
          <w:sz w:val="18"/>
          <w:lang w:eastAsia="en-NZ"/>
        </w:rPr>
      </w:pPr>
      <w:r w:rsidRPr="005A2DC9">
        <w:rPr>
          <w:rFonts w:ascii="Arial" w:eastAsia="Arial" w:hAnsi="Arial" w:cs="Arial"/>
          <w:color w:val="000000"/>
          <w:sz w:val="18"/>
          <w:lang w:eastAsia="en-NZ"/>
        </w:rPr>
        <w:t>The published counts will never differ by more than two counts.</w:t>
      </w:r>
      <w:r w:rsidRPr="005A2DC9">
        <w:rPr>
          <w:rFonts w:ascii="Arial" w:eastAsia="Arial" w:hAnsi="Arial" w:cs="Arial"/>
          <w:b/>
          <w:color w:val="000000"/>
          <w:lang w:eastAsia="en-NZ"/>
        </w:rPr>
        <w:t xml:space="preserve"> </w:t>
      </w:r>
    </w:p>
    <w:p w:rsidR="005A2DC9" w:rsidRPr="00980226" w:rsidRDefault="005A2DC9">
      <w:pPr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sectPr w:rsidR="005A2DC9" w:rsidRPr="0098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28B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951EFE"/>
    <w:multiLevelType w:val="hybridMultilevel"/>
    <w:tmpl w:val="4148BDB2"/>
    <w:lvl w:ilvl="0" w:tplc="C5B8AE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C8F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C0A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B8E8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4A61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41F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654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6E37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5C9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6"/>
    <w:rsid w:val="000C479A"/>
    <w:rsid w:val="0013325F"/>
    <w:rsid w:val="004117B2"/>
    <w:rsid w:val="00532B9D"/>
    <w:rsid w:val="005A2DC9"/>
    <w:rsid w:val="009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5312-14D4-4233-AD20-BECB54AF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80226"/>
    <w:pPr>
      <w:numPr>
        <w:numId w:val="1"/>
      </w:numPr>
      <w:contextualSpacing/>
    </w:pPr>
  </w:style>
  <w:style w:type="table" w:customStyle="1" w:styleId="TableGrid">
    <w:name w:val="TableGrid"/>
    <w:rsid w:val="005A2DC9"/>
    <w:pPr>
      <w:spacing w:after="0" w:line="240" w:lineRule="auto"/>
    </w:pPr>
    <w:rPr>
      <w:rFonts w:eastAsia="Times New Roman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DB0B.D10AD4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</dc:creator>
  <cp:keywords/>
  <dc:description/>
  <cp:lastModifiedBy>Paul Hunt</cp:lastModifiedBy>
  <cp:revision>1</cp:revision>
  <dcterms:created xsi:type="dcterms:W3CDTF">2021-11-16T08:13:00Z</dcterms:created>
  <dcterms:modified xsi:type="dcterms:W3CDTF">2021-11-16T18:59:00Z</dcterms:modified>
</cp:coreProperties>
</file>