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F4B4" w14:textId="77777777" w:rsidR="00606968" w:rsidRPr="001A459F" w:rsidRDefault="00606968" w:rsidP="00606968">
      <w:pPr>
        <w:spacing w:after="0" w:line="240" w:lineRule="auto"/>
        <w:jc w:val="both"/>
        <w:rPr>
          <w:rFonts w:ascii="Calibri" w:hAnsi="Calibri" w:cs="Calibri"/>
        </w:rPr>
      </w:pPr>
    </w:p>
    <w:p w14:paraId="33E0621A" w14:textId="77777777" w:rsidR="00606968" w:rsidRPr="001A459F" w:rsidRDefault="00606968" w:rsidP="00606968">
      <w:pPr>
        <w:spacing w:after="0" w:line="240" w:lineRule="auto"/>
        <w:jc w:val="both"/>
        <w:rPr>
          <w:rFonts w:ascii="Calibri" w:hAnsi="Calibri" w:cs="Calibri"/>
          <w:b/>
          <w:bCs/>
        </w:rPr>
      </w:pPr>
      <w:r w:rsidRPr="001A459F">
        <w:rPr>
          <w:rFonts w:ascii="Calibri" w:hAnsi="Calibri" w:cs="Calibri"/>
          <w:b/>
          <w:bCs/>
        </w:rPr>
        <w:t xml:space="preserve">2022 Minimum Wage Consultation </w:t>
      </w:r>
    </w:p>
    <w:p w14:paraId="42204893" w14:textId="03F54F7D" w:rsidR="00606968" w:rsidRDefault="00606968" w:rsidP="00606968">
      <w:pPr>
        <w:rPr>
          <w:rFonts w:ascii="Calibri" w:hAnsi="Calibri" w:cs="Calibri"/>
        </w:rPr>
      </w:pPr>
    </w:p>
    <w:p w14:paraId="74F730A5" w14:textId="3F26FFE3" w:rsidR="0073012F" w:rsidRPr="0073012F" w:rsidRDefault="0073012F" w:rsidP="00606968">
      <w:pPr>
        <w:rPr>
          <w:rFonts w:ascii="Calibri" w:hAnsi="Calibri" w:cs="Calibri"/>
          <w:b/>
          <w:bCs/>
        </w:rPr>
      </w:pPr>
      <w:r w:rsidRPr="0073012F">
        <w:rPr>
          <w:rFonts w:ascii="Calibri" w:hAnsi="Calibri" w:cs="Calibri"/>
          <w:b/>
          <w:bCs/>
        </w:rPr>
        <w:t xml:space="preserve">About the CTU </w:t>
      </w:r>
    </w:p>
    <w:p w14:paraId="1E464E93" w14:textId="12E029F8" w:rsidR="00606968" w:rsidRPr="001A459F" w:rsidRDefault="0073012F" w:rsidP="00606968">
      <w:pPr>
        <w:rPr>
          <w:rFonts w:ascii="Calibri" w:hAnsi="Calibri" w:cs="Calibri"/>
        </w:rPr>
      </w:pPr>
      <w:r>
        <w:rPr>
          <w:rFonts w:ascii="Calibri" w:hAnsi="Calibri" w:cs="Calibri"/>
        </w:rPr>
        <w:t xml:space="preserve">We are an umbrella organisation for 30 </w:t>
      </w:r>
      <w:r w:rsidR="00606968" w:rsidRPr="001A459F">
        <w:rPr>
          <w:rFonts w:ascii="Calibri" w:hAnsi="Calibri" w:cs="Calibri"/>
        </w:rPr>
        <w:t xml:space="preserve">unions affiliated to the New Zealand Council of Trade Unions </w:t>
      </w:r>
      <w:proofErr w:type="spellStart"/>
      <w:r w:rsidR="00606968" w:rsidRPr="001A459F">
        <w:rPr>
          <w:rFonts w:ascii="Calibri" w:hAnsi="Calibri" w:cs="Calibri"/>
        </w:rPr>
        <w:t>Te</w:t>
      </w:r>
      <w:proofErr w:type="spellEnd"/>
      <w:r w:rsidR="00606968" w:rsidRPr="001A459F">
        <w:rPr>
          <w:rFonts w:ascii="Calibri" w:hAnsi="Calibri" w:cs="Calibri"/>
        </w:rPr>
        <w:t xml:space="preserve"> </w:t>
      </w:r>
      <w:proofErr w:type="spellStart"/>
      <w:r w:rsidR="00606968" w:rsidRPr="001A459F">
        <w:rPr>
          <w:rFonts w:ascii="Calibri" w:hAnsi="Calibri" w:cs="Calibri"/>
        </w:rPr>
        <w:t>Kauae</w:t>
      </w:r>
      <w:proofErr w:type="spellEnd"/>
      <w:r w:rsidR="00606968" w:rsidRPr="001A459F">
        <w:rPr>
          <w:rFonts w:ascii="Calibri" w:hAnsi="Calibri" w:cs="Calibri"/>
        </w:rPr>
        <w:t xml:space="preserve"> </w:t>
      </w:r>
      <w:proofErr w:type="spellStart"/>
      <w:r w:rsidR="00606968" w:rsidRPr="001A459F">
        <w:rPr>
          <w:rFonts w:ascii="Calibri" w:hAnsi="Calibri" w:cs="Calibri"/>
        </w:rPr>
        <w:t>Kaimahi</w:t>
      </w:r>
      <w:proofErr w:type="spellEnd"/>
      <w:r w:rsidR="00606968" w:rsidRPr="001A459F">
        <w:rPr>
          <w:rFonts w:ascii="Calibri" w:hAnsi="Calibri" w:cs="Calibri"/>
        </w:rPr>
        <w:t xml:space="preserve"> (CTU). With over 310,000 members, the CTU is one of the largest democratic organisations in New Zealand.</w:t>
      </w:r>
    </w:p>
    <w:p w14:paraId="0A4124F6" w14:textId="77777777" w:rsidR="00606968" w:rsidRPr="001A459F" w:rsidRDefault="00606968" w:rsidP="00606968">
      <w:pPr>
        <w:rPr>
          <w:rFonts w:ascii="Calibri" w:hAnsi="Calibri" w:cs="Calibri"/>
        </w:rPr>
      </w:pPr>
      <w:r w:rsidRPr="001A459F">
        <w:rPr>
          <w:rFonts w:ascii="Calibri" w:hAnsi="Calibri" w:cs="Calibri"/>
        </w:rPr>
        <w:t xml:space="preserve">The CTU acknowledges </w:t>
      </w:r>
      <w:proofErr w:type="spellStart"/>
      <w:r w:rsidRPr="001A459F">
        <w:rPr>
          <w:rFonts w:ascii="Calibri" w:hAnsi="Calibri" w:cs="Calibri"/>
        </w:rPr>
        <w:t>Te</w:t>
      </w:r>
      <w:proofErr w:type="spellEnd"/>
      <w:r w:rsidRPr="001A459F">
        <w:rPr>
          <w:rFonts w:ascii="Calibri" w:hAnsi="Calibri" w:cs="Calibri"/>
        </w:rPr>
        <w:t xml:space="preserve"> </w:t>
      </w:r>
      <w:proofErr w:type="spellStart"/>
      <w:r w:rsidRPr="001A459F">
        <w:rPr>
          <w:rFonts w:ascii="Calibri" w:hAnsi="Calibri" w:cs="Calibri"/>
        </w:rPr>
        <w:t>Tiriti</w:t>
      </w:r>
      <w:proofErr w:type="spellEnd"/>
      <w:r w:rsidRPr="001A459F">
        <w:rPr>
          <w:rFonts w:ascii="Calibri" w:hAnsi="Calibri" w:cs="Calibri"/>
        </w:rPr>
        <w:t xml:space="preserve"> o Waitangi as the founding document of Aotearoa New Zealand and formally acknowledges this through </w:t>
      </w:r>
      <w:proofErr w:type="spellStart"/>
      <w:r w:rsidRPr="001A459F">
        <w:rPr>
          <w:rFonts w:ascii="Calibri" w:hAnsi="Calibri" w:cs="Calibri"/>
        </w:rPr>
        <w:t>Te</w:t>
      </w:r>
      <w:proofErr w:type="spellEnd"/>
      <w:r w:rsidRPr="001A459F">
        <w:rPr>
          <w:rFonts w:ascii="Calibri" w:hAnsi="Calibri" w:cs="Calibri"/>
        </w:rPr>
        <w:t xml:space="preserve"> </w:t>
      </w:r>
      <w:proofErr w:type="spellStart"/>
      <w:r w:rsidRPr="001A459F">
        <w:rPr>
          <w:rFonts w:ascii="Calibri" w:hAnsi="Calibri" w:cs="Calibri"/>
        </w:rPr>
        <w:t>Rūnanga</w:t>
      </w:r>
      <w:proofErr w:type="spellEnd"/>
      <w:r w:rsidRPr="001A459F">
        <w:rPr>
          <w:rFonts w:ascii="Calibri" w:hAnsi="Calibri" w:cs="Calibri"/>
        </w:rPr>
        <w:t xml:space="preserve"> o </w:t>
      </w:r>
      <w:proofErr w:type="spellStart"/>
      <w:r w:rsidRPr="001A459F">
        <w:rPr>
          <w:rFonts w:ascii="Calibri" w:hAnsi="Calibri" w:cs="Calibri"/>
        </w:rPr>
        <w:t>Ngā</w:t>
      </w:r>
      <w:proofErr w:type="spellEnd"/>
      <w:r w:rsidRPr="001A459F">
        <w:rPr>
          <w:rFonts w:ascii="Calibri" w:hAnsi="Calibri" w:cs="Calibri"/>
        </w:rPr>
        <w:t xml:space="preserve"> </w:t>
      </w:r>
      <w:proofErr w:type="spellStart"/>
      <w:r w:rsidRPr="001A459F">
        <w:rPr>
          <w:rFonts w:ascii="Calibri" w:hAnsi="Calibri" w:cs="Calibri"/>
        </w:rPr>
        <w:t>Kaimahi</w:t>
      </w:r>
      <w:proofErr w:type="spellEnd"/>
      <w:r w:rsidRPr="001A459F">
        <w:rPr>
          <w:rFonts w:ascii="Calibri" w:hAnsi="Calibri" w:cs="Calibri"/>
        </w:rPr>
        <w:t xml:space="preserve"> Māori o Aotearoa (Te Rūnanga) the Māori arm of </w:t>
      </w:r>
      <w:proofErr w:type="spellStart"/>
      <w:r w:rsidRPr="001A459F">
        <w:rPr>
          <w:rFonts w:ascii="Calibri" w:hAnsi="Calibri" w:cs="Calibri"/>
        </w:rPr>
        <w:t>Te</w:t>
      </w:r>
      <w:proofErr w:type="spellEnd"/>
      <w:r w:rsidRPr="001A459F">
        <w:rPr>
          <w:rFonts w:ascii="Calibri" w:hAnsi="Calibri" w:cs="Calibri"/>
        </w:rPr>
        <w:t xml:space="preserve"> </w:t>
      </w:r>
      <w:proofErr w:type="spellStart"/>
      <w:r w:rsidRPr="001A459F">
        <w:rPr>
          <w:rFonts w:ascii="Calibri" w:hAnsi="Calibri" w:cs="Calibri"/>
        </w:rPr>
        <w:t>Kauae</w:t>
      </w:r>
      <w:proofErr w:type="spellEnd"/>
      <w:r w:rsidRPr="001A459F">
        <w:rPr>
          <w:rFonts w:ascii="Calibri" w:hAnsi="Calibri" w:cs="Calibri"/>
        </w:rPr>
        <w:t xml:space="preserve"> </w:t>
      </w:r>
      <w:proofErr w:type="spellStart"/>
      <w:r w:rsidRPr="001A459F">
        <w:rPr>
          <w:rFonts w:ascii="Calibri" w:hAnsi="Calibri" w:cs="Calibri"/>
        </w:rPr>
        <w:t>Kaimahi</w:t>
      </w:r>
      <w:proofErr w:type="spellEnd"/>
      <w:r w:rsidRPr="001A459F">
        <w:rPr>
          <w:rFonts w:ascii="Calibri" w:hAnsi="Calibri" w:cs="Calibri"/>
        </w:rPr>
        <w:t xml:space="preserve"> (CTU) which represents approximately 60,000 Māori workers.</w:t>
      </w:r>
    </w:p>
    <w:p w14:paraId="0033B6C1" w14:textId="77777777" w:rsidR="00606968" w:rsidRPr="001A459F" w:rsidRDefault="00606968" w:rsidP="00606968">
      <w:pPr>
        <w:rPr>
          <w:rFonts w:ascii="Calibri" w:hAnsi="Calibri" w:cs="Calibri"/>
          <w:b/>
          <w:bCs/>
        </w:rPr>
      </w:pPr>
      <w:r w:rsidRPr="001A459F">
        <w:rPr>
          <w:rFonts w:ascii="Calibri" w:hAnsi="Calibri" w:cs="Calibri"/>
          <w:b/>
          <w:bCs/>
        </w:rPr>
        <w:t>CTU Position:</w:t>
      </w:r>
    </w:p>
    <w:p w14:paraId="5AF6C53B" w14:textId="454534BE" w:rsidR="00606968" w:rsidRPr="001A459F" w:rsidRDefault="00606968" w:rsidP="00606968">
      <w:pPr>
        <w:rPr>
          <w:rFonts w:ascii="Calibri" w:hAnsi="Calibri" w:cs="Calibri"/>
        </w:rPr>
      </w:pPr>
      <w:r w:rsidRPr="001A459F">
        <w:rPr>
          <w:rFonts w:ascii="Calibri" w:hAnsi="Calibri" w:cs="Calibri"/>
        </w:rPr>
        <w:t>The CTU and its affiliates together support a</w:t>
      </w:r>
      <w:r w:rsidR="00EC7009">
        <w:rPr>
          <w:rFonts w:ascii="Calibri" w:hAnsi="Calibri" w:cs="Calibri"/>
        </w:rPr>
        <w:t xml:space="preserve"> common</w:t>
      </w:r>
      <w:r w:rsidRPr="001A459F">
        <w:rPr>
          <w:rFonts w:ascii="Calibri" w:hAnsi="Calibri" w:cs="Calibri"/>
        </w:rPr>
        <w:t xml:space="preserve"> policy position for the minimum wage. </w:t>
      </w:r>
      <w:r w:rsidRPr="00EC7009">
        <w:rPr>
          <w:rFonts w:ascii="Calibri" w:hAnsi="Calibri" w:cs="Calibri"/>
          <w:b/>
          <w:bCs/>
        </w:rPr>
        <w:t>This paper proposes that the minimum wage in 2022 should be set at the same rate as the Living Wage – which is currently $22.75 an hour</w:t>
      </w:r>
      <w:r w:rsidRPr="001A459F">
        <w:rPr>
          <w:rFonts w:ascii="Calibri" w:hAnsi="Calibri" w:cs="Calibri"/>
        </w:rPr>
        <w:t xml:space="preserve">. That wage ensures that they have the needs to pay for the necessities of life. That they can participate as an active citizen in the community. It reflects the basic expenses of workers and their families such as food, transportation, </w:t>
      </w:r>
      <w:proofErr w:type="gramStart"/>
      <w:r w:rsidRPr="001A459F">
        <w:rPr>
          <w:rFonts w:ascii="Calibri" w:hAnsi="Calibri" w:cs="Calibri"/>
        </w:rPr>
        <w:t>housing</w:t>
      </w:r>
      <w:proofErr w:type="gramEnd"/>
      <w:r w:rsidRPr="001A459F">
        <w:rPr>
          <w:rFonts w:ascii="Calibri" w:hAnsi="Calibri" w:cs="Calibri"/>
        </w:rPr>
        <w:t xml:space="preserve"> and childcare. </w:t>
      </w:r>
    </w:p>
    <w:p w14:paraId="47F94E56" w14:textId="1284F48B" w:rsidR="00606968" w:rsidRPr="001A459F" w:rsidRDefault="00606968" w:rsidP="00606968">
      <w:pPr>
        <w:rPr>
          <w:rFonts w:ascii="Calibri" w:hAnsi="Calibri" w:cs="Calibri"/>
        </w:rPr>
      </w:pPr>
      <w:r w:rsidRPr="001A459F">
        <w:rPr>
          <w:rFonts w:ascii="Calibri" w:hAnsi="Calibri" w:cs="Calibri"/>
        </w:rPr>
        <w:t xml:space="preserve">The rationale for moving to this position comes from multiple sources. Firstly, inflation has been affecting those with the lowest incomes the most. </w:t>
      </w:r>
      <w:r w:rsidR="00EC7009">
        <w:rPr>
          <w:rFonts w:ascii="Calibri" w:hAnsi="Calibri" w:cs="Calibri"/>
        </w:rPr>
        <w:t>I</w:t>
      </w:r>
      <w:r w:rsidRPr="001A459F">
        <w:rPr>
          <w:rFonts w:ascii="Calibri" w:hAnsi="Calibri" w:cs="Calibri"/>
        </w:rPr>
        <w:t>nflation over the past ten years has been running nearly 40% higher for those with the lowest 20% of incomes</w:t>
      </w:r>
      <w:r w:rsidRPr="001A459F">
        <w:rPr>
          <w:rStyle w:val="FootnoteReference"/>
          <w:rFonts w:ascii="Calibri" w:hAnsi="Calibri" w:cs="Calibri"/>
        </w:rPr>
        <w:footnoteReference w:id="1"/>
      </w:r>
      <w:r w:rsidRPr="001A459F">
        <w:rPr>
          <w:rFonts w:ascii="Calibri" w:hAnsi="Calibri" w:cs="Calibri"/>
        </w:rPr>
        <w:t xml:space="preserve">, than for the those with the highest 20%. Core inflation – food, fuel, rent, rates – has been running </w:t>
      </w:r>
      <w:r w:rsidR="00EC7009">
        <w:rPr>
          <w:rFonts w:ascii="Calibri" w:hAnsi="Calibri" w:cs="Calibri"/>
        </w:rPr>
        <w:t xml:space="preserve">well </w:t>
      </w:r>
      <w:r w:rsidRPr="001A459F">
        <w:rPr>
          <w:rFonts w:ascii="Calibri" w:hAnsi="Calibri" w:cs="Calibri"/>
        </w:rPr>
        <w:t xml:space="preserve">ahead of general inflation. Workers on the minimum wage are facing higher cost of living increases than those on higher incomes. </w:t>
      </w:r>
    </w:p>
    <w:p w14:paraId="423F22AB" w14:textId="2089E481" w:rsidR="00606968" w:rsidRPr="001A459F" w:rsidRDefault="00606968" w:rsidP="00606968">
      <w:pPr>
        <w:rPr>
          <w:rFonts w:ascii="Calibri" w:hAnsi="Calibri" w:cs="Calibri"/>
        </w:rPr>
      </w:pPr>
      <w:r w:rsidRPr="001A459F">
        <w:rPr>
          <w:rFonts w:ascii="Calibri" w:hAnsi="Calibri" w:cs="Calibri"/>
        </w:rPr>
        <w:t xml:space="preserve">Secondly, COVID-19 has demonstrated to </w:t>
      </w:r>
      <w:r w:rsidR="00EC7009">
        <w:rPr>
          <w:rFonts w:ascii="Calibri" w:hAnsi="Calibri" w:cs="Calibri"/>
        </w:rPr>
        <w:t>New Zealand</w:t>
      </w:r>
      <w:r w:rsidRPr="001A459F">
        <w:rPr>
          <w:rFonts w:ascii="Calibri" w:hAnsi="Calibri" w:cs="Calibri"/>
        </w:rPr>
        <w:t xml:space="preserve"> that essential workers are often minimum wage workers. They are the people who stacked shelves during level 4. They are cleaners, security guards, public transport workers. They placed their safety and their whanau’s safety on the line so that New Zealand could continue to live as</w:t>
      </w:r>
      <w:r w:rsidR="00EC7009">
        <w:rPr>
          <w:rFonts w:ascii="Calibri" w:hAnsi="Calibri" w:cs="Calibri"/>
        </w:rPr>
        <w:t xml:space="preserve"> </w:t>
      </w:r>
      <w:r w:rsidR="00EC7009" w:rsidRPr="001A459F">
        <w:rPr>
          <w:rFonts w:ascii="Calibri" w:hAnsi="Calibri" w:cs="Calibri"/>
        </w:rPr>
        <w:t xml:space="preserve">normally </w:t>
      </w:r>
      <w:r w:rsidRPr="001A459F">
        <w:rPr>
          <w:rFonts w:ascii="Calibri" w:hAnsi="Calibri" w:cs="Calibri"/>
        </w:rPr>
        <w:t xml:space="preserve">as possible during lockdown. Ensuring that these workers receive an adequate reward for their efforts during COVID-19 is the last that we could do to recognise their contribution </w:t>
      </w:r>
      <w:r w:rsidR="00EC7009">
        <w:rPr>
          <w:rFonts w:ascii="Calibri" w:hAnsi="Calibri" w:cs="Calibri"/>
        </w:rPr>
        <w:t>in</w:t>
      </w:r>
      <w:r w:rsidRPr="001A459F">
        <w:rPr>
          <w:rFonts w:ascii="Calibri" w:hAnsi="Calibri" w:cs="Calibri"/>
        </w:rPr>
        <w:t xml:space="preserve"> the fight against COVID-19. </w:t>
      </w:r>
    </w:p>
    <w:p w14:paraId="0B21C368" w14:textId="03C73969" w:rsidR="00606968" w:rsidRPr="001A459F" w:rsidRDefault="00606968" w:rsidP="00606968">
      <w:pPr>
        <w:rPr>
          <w:rFonts w:ascii="Calibri" w:hAnsi="Calibri" w:cs="Calibri"/>
        </w:rPr>
      </w:pPr>
      <w:r w:rsidRPr="001A459F">
        <w:rPr>
          <w:rFonts w:ascii="Calibri" w:hAnsi="Calibri" w:cs="Calibri"/>
        </w:rPr>
        <w:t>Thirdly, the historically low level</w:t>
      </w:r>
      <w:r w:rsidR="00EC7009">
        <w:rPr>
          <w:rFonts w:ascii="Calibri" w:hAnsi="Calibri" w:cs="Calibri"/>
        </w:rPr>
        <w:t>s</w:t>
      </w:r>
      <w:r w:rsidRPr="001A459F">
        <w:rPr>
          <w:rFonts w:ascii="Calibri" w:hAnsi="Calibri" w:cs="Calibri"/>
        </w:rPr>
        <w:t xml:space="preserve"> of unemployment should give comfort that a higher level of minimum wage would not reduce employment. </w:t>
      </w:r>
      <w:r w:rsidR="00EC7009">
        <w:rPr>
          <w:rFonts w:ascii="Calibri" w:hAnsi="Calibri" w:cs="Calibri"/>
        </w:rPr>
        <w:t>U</w:t>
      </w:r>
      <w:r w:rsidRPr="001A459F">
        <w:rPr>
          <w:rFonts w:ascii="Calibri" w:hAnsi="Calibri" w:cs="Calibri"/>
        </w:rPr>
        <w:t xml:space="preserve">nemployment </w:t>
      </w:r>
      <w:r w:rsidR="00EC7009">
        <w:rPr>
          <w:rFonts w:ascii="Calibri" w:hAnsi="Calibri" w:cs="Calibri"/>
        </w:rPr>
        <w:t xml:space="preserve">is </w:t>
      </w:r>
      <w:r w:rsidRPr="001A459F">
        <w:rPr>
          <w:rFonts w:ascii="Calibri" w:hAnsi="Calibri" w:cs="Calibri"/>
        </w:rPr>
        <w:t xml:space="preserve">at 3.4%, and </w:t>
      </w:r>
      <w:r w:rsidR="00EC7009">
        <w:rPr>
          <w:rFonts w:ascii="Calibri" w:hAnsi="Calibri" w:cs="Calibri"/>
        </w:rPr>
        <w:t xml:space="preserve">there are </w:t>
      </w:r>
      <w:r w:rsidRPr="001A459F">
        <w:rPr>
          <w:rFonts w:ascii="Calibri" w:hAnsi="Calibri" w:cs="Calibri"/>
        </w:rPr>
        <w:t xml:space="preserve">high levels of demand in the labour market. There is increasing evidence that higher levels of minimum wages </w:t>
      </w:r>
      <w:r w:rsidRPr="001A459F">
        <w:rPr>
          <w:rFonts w:ascii="Calibri" w:hAnsi="Calibri" w:cs="Calibri"/>
        </w:rPr>
        <w:lastRenderedPageBreak/>
        <w:t>are not linked to higher levels of unemployment. Two recent New Zealand based economic reports</w:t>
      </w:r>
      <w:r w:rsidRPr="001A459F">
        <w:rPr>
          <w:rStyle w:val="FootnoteReference"/>
          <w:rFonts w:ascii="Calibri" w:hAnsi="Calibri" w:cs="Calibri"/>
        </w:rPr>
        <w:footnoteReference w:id="2"/>
      </w:r>
      <w:r w:rsidRPr="001A459F">
        <w:rPr>
          <w:rFonts w:ascii="Calibri" w:hAnsi="Calibri" w:cs="Calibri"/>
        </w:rPr>
        <w:t xml:space="preserve"> have also </w:t>
      </w:r>
      <w:r w:rsidR="00EC7009">
        <w:rPr>
          <w:rFonts w:ascii="Calibri" w:hAnsi="Calibri" w:cs="Calibri"/>
        </w:rPr>
        <w:t>questioned</w:t>
      </w:r>
      <w:r w:rsidRPr="001A459F">
        <w:rPr>
          <w:rFonts w:ascii="Calibri" w:hAnsi="Calibri" w:cs="Calibri"/>
        </w:rPr>
        <w:t xml:space="preserve"> th</w:t>
      </w:r>
      <w:r w:rsidR="00EC7009">
        <w:rPr>
          <w:rFonts w:ascii="Calibri" w:hAnsi="Calibri" w:cs="Calibri"/>
        </w:rPr>
        <w:t>is</w:t>
      </w:r>
      <w:r w:rsidRPr="001A459F">
        <w:rPr>
          <w:rFonts w:ascii="Calibri" w:hAnsi="Calibri" w:cs="Calibri"/>
        </w:rPr>
        <w:t xml:space="preserve"> link. </w:t>
      </w:r>
    </w:p>
    <w:p w14:paraId="2952129F" w14:textId="43666E5F" w:rsidR="00606968" w:rsidRPr="001A459F" w:rsidRDefault="00606968" w:rsidP="00606968">
      <w:pPr>
        <w:rPr>
          <w:rFonts w:ascii="Calibri" w:hAnsi="Calibri" w:cs="Calibri"/>
        </w:rPr>
      </w:pPr>
      <w:r w:rsidRPr="001A459F">
        <w:rPr>
          <w:rFonts w:ascii="Calibri" w:hAnsi="Calibri" w:cs="Calibri"/>
        </w:rPr>
        <w:t xml:space="preserve">Finally, the move to a standard which is set by a third party </w:t>
      </w:r>
      <w:r w:rsidR="00EC7009">
        <w:rPr>
          <w:rFonts w:ascii="Calibri" w:hAnsi="Calibri" w:cs="Calibri"/>
        </w:rPr>
        <w:t xml:space="preserve">is </w:t>
      </w:r>
      <w:r w:rsidRPr="001A459F">
        <w:rPr>
          <w:rFonts w:ascii="Calibri" w:hAnsi="Calibri" w:cs="Calibri"/>
        </w:rPr>
        <w:t xml:space="preserve">an important step in moving to a new system for setting the minimum wage. The CTU </w:t>
      </w:r>
      <w:r w:rsidR="00EC7009">
        <w:rPr>
          <w:rFonts w:ascii="Calibri" w:hAnsi="Calibri" w:cs="Calibri"/>
        </w:rPr>
        <w:t>has</w:t>
      </w:r>
      <w:r w:rsidRPr="001A459F">
        <w:rPr>
          <w:rFonts w:ascii="Calibri" w:hAnsi="Calibri" w:cs="Calibri"/>
        </w:rPr>
        <w:t xml:space="preserve"> agreed to a policy for a new tripartite body to set the minimum wage in the future</w:t>
      </w:r>
      <w:r w:rsidR="00EC7009">
        <w:rPr>
          <w:rFonts w:ascii="Calibri" w:hAnsi="Calibri" w:cs="Calibri"/>
        </w:rPr>
        <w:t>, modelled on those currently used overseas</w:t>
      </w:r>
      <w:r w:rsidR="00FE1B97">
        <w:rPr>
          <w:rFonts w:ascii="Calibri" w:hAnsi="Calibri" w:cs="Calibri"/>
        </w:rPr>
        <w:t xml:space="preserve"> – particularly the UK</w:t>
      </w:r>
      <w:r w:rsidRPr="001A459F">
        <w:rPr>
          <w:rFonts w:ascii="Calibri" w:hAnsi="Calibri" w:cs="Calibri"/>
        </w:rPr>
        <w:t xml:space="preserve">. </w:t>
      </w:r>
    </w:p>
    <w:p w14:paraId="4CA12D2F" w14:textId="77777777" w:rsidR="00606968" w:rsidRPr="001A459F" w:rsidRDefault="00606968" w:rsidP="00606968">
      <w:pPr>
        <w:rPr>
          <w:rFonts w:ascii="Calibri" w:hAnsi="Calibri" w:cs="Calibri"/>
        </w:rPr>
      </w:pPr>
      <w:r w:rsidRPr="001A459F">
        <w:rPr>
          <w:rFonts w:ascii="Calibri" w:hAnsi="Calibri" w:cs="Calibri"/>
        </w:rPr>
        <w:t xml:space="preserve">This paper also reaffirms the position of the CTU that youth and training rates should be abolished, with all workers being paid at least the minimum wage. </w:t>
      </w:r>
    </w:p>
    <w:p w14:paraId="5E4F5298" w14:textId="77777777" w:rsidR="00606968" w:rsidRPr="001A459F" w:rsidRDefault="00606968" w:rsidP="00606968">
      <w:pPr>
        <w:rPr>
          <w:rFonts w:ascii="Calibri" w:hAnsi="Calibri" w:cs="Calibri"/>
          <w:b/>
          <w:bCs/>
        </w:rPr>
      </w:pPr>
      <w:r w:rsidRPr="001A459F">
        <w:rPr>
          <w:rFonts w:ascii="Calibri" w:hAnsi="Calibri" w:cs="Calibri"/>
          <w:b/>
          <w:bCs/>
        </w:rPr>
        <w:t>Economic Context:</w:t>
      </w:r>
    </w:p>
    <w:p w14:paraId="242067FD" w14:textId="77777777" w:rsidR="00606968" w:rsidRPr="001A459F" w:rsidRDefault="00606968" w:rsidP="00606968">
      <w:pPr>
        <w:rPr>
          <w:rFonts w:ascii="Calibri" w:hAnsi="Calibri" w:cs="Calibri"/>
          <w:i/>
          <w:iCs/>
        </w:rPr>
      </w:pPr>
      <w:r w:rsidRPr="001A459F">
        <w:rPr>
          <w:rFonts w:ascii="Calibri" w:hAnsi="Calibri" w:cs="Calibri"/>
          <w:i/>
          <w:iCs/>
        </w:rPr>
        <w:t>Inflation</w:t>
      </w:r>
    </w:p>
    <w:p w14:paraId="0A42156D" w14:textId="7DED6A15" w:rsidR="00606968" w:rsidRPr="001A459F" w:rsidRDefault="00606968" w:rsidP="00606968">
      <w:pPr>
        <w:rPr>
          <w:rFonts w:ascii="Calibri" w:hAnsi="Calibri" w:cs="Calibri"/>
        </w:rPr>
      </w:pPr>
      <w:r w:rsidRPr="001A459F">
        <w:rPr>
          <w:rFonts w:ascii="Calibri" w:hAnsi="Calibri" w:cs="Calibri"/>
        </w:rPr>
        <w:t>Over the past year inflation has increased significantly, with the Consumer Price Index now nearing</w:t>
      </w:r>
      <w:r w:rsidRPr="001A459F">
        <w:rPr>
          <w:rStyle w:val="FootnoteReference"/>
          <w:rFonts w:ascii="Calibri" w:hAnsi="Calibri" w:cs="Calibri"/>
        </w:rPr>
        <w:footnoteReference w:id="3"/>
      </w:r>
      <w:r w:rsidRPr="001A459F">
        <w:rPr>
          <w:rFonts w:ascii="Calibri" w:hAnsi="Calibri" w:cs="Calibri"/>
        </w:rPr>
        <w:t xml:space="preserve"> 5% on annual basis. Although this increase is likely to be short-lived, the impact will be significant on </w:t>
      </w:r>
      <w:r w:rsidR="009B39D1">
        <w:rPr>
          <w:rFonts w:ascii="Calibri" w:hAnsi="Calibri" w:cs="Calibri"/>
        </w:rPr>
        <w:t xml:space="preserve">low-income </w:t>
      </w:r>
      <w:r w:rsidRPr="001A459F">
        <w:rPr>
          <w:rFonts w:ascii="Calibri" w:hAnsi="Calibri" w:cs="Calibri"/>
        </w:rPr>
        <w:t xml:space="preserve">household budgets already stretched by COVID-19. </w:t>
      </w:r>
    </w:p>
    <w:p w14:paraId="243CB923" w14:textId="77777777" w:rsidR="00606968" w:rsidRPr="001A459F" w:rsidRDefault="00606968" w:rsidP="00606968">
      <w:pPr>
        <w:rPr>
          <w:rFonts w:ascii="Calibri" w:hAnsi="Calibri" w:cs="Calibri"/>
          <w:i/>
          <w:iCs/>
        </w:rPr>
      </w:pPr>
      <w:r w:rsidRPr="001A459F">
        <w:rPr>
          <w:rFonts w:ascii="Calibri" w:hAnsi="Calibri" w:cs="Calibri"/>
          <w:i/>
          <w:iCs/>
        </w:rPr>
        <w:t xml:space="preserve">Annual CPI Inflation - Statistics New Zealand </w:t>
      </w:r>
    </w:p>
    <w:p w14:paraId="48973294" w14:textId="77777777" w:rsidR="00606968" w:rsidRPr="001A459F" w:rsidRDefault="00606968" w:rsidP="00606968">
      <w:pPr>
        <w:rPr>
          <w:rFonts w:ascii="Calibri" w:hAnsi="Calibri" w:cs="Calibri"/>
        </w:rPr>
      </w:pPr>
      <w:r w:rsidRPr="001A459F">
        <w:rPr>
          <w:rFonts w:ascii="Calibri" w:hAnsi="Calibri" w:cs="Calibri"/>
          <w:noProof/>
        </w:rPr>
        <w:drawing>
          <wp:inline distT="0" distB="0" distL="0" distR="0" wp14:anchorId="29907C61" wp14:editId="27006DF5">
            <wp:extent cx="5318125" cy="3165475"/>
            <wp:effectExtent l="0" t="0" r="15875" b="15875"/>
            <wp:docPr id="13" name="Chart 13">
              <a:extLst xmlns:a="http://schemas.openxmlformats.org/drawingml/2006/main">
                <a:ext uri="{FF2B5EF4-FFF2-40B4-BE49-F238E27FC236}">
                  <a16:creationId xmlns:a16="http://schemas.microsoft.com/office/drawing/2014/main" id="{4C3AA33C-BEB6-400F-A248-AFC77B081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C40D0" w14:textId="77777777" w:rsidR="00606968" w:rsidRPr="001A459F" w:rsidRDefault="00606968" w:rsidP="00606968">
      <w:pPr>
        <w:rPr>
          <w:rFonts w:ascii="Calibri" w:hAnsi="Calibri" w:cs="Calibri"/>
          <w:i/>
          <w:iCs/>
        </w:rPr>
      </w:pPr>
      <w:r w:rsidRPr="001A459F">
        <w:rPr>
          <w:rFonts w:ascii="Calibri" w:hAnsi="Calibri" w:cs="Calibri"/>
          <w:i/>
          <w:iCs/>
        </w:rPr>
        <w:t xml:space="preserve">Household Living Price Index </w:t>
      </w:r>
    </w:p>
    <w:p w14:paraId="18CF5EBB" w14:textId="05D27E03" w:rsidR="00606968" w:rsidRPr="001A459F" w:rsidRDefault="00606968" w:rsidP="00606968">
      <w:pPr>
        <w:rPr>
          <w:rFonts w:ascii="Calibri" w:hAnsi="Calibri" w:cs="Calibri"/>
        </w:rPr>
      </w:pPr>
      <w:r w:rsidRPr="001A459F">
        <w:rPr>
          <w:rFonts w:ascii="Calibri" w:hAnsi="Calibri" w:cs="Calibri"/>
        </w:rPr>
        <w:t xml:space="preserve">At a household level, inflation has been felt very differently </w:t>
      </w:r>
      <w:r w:rsidR="00EC7009">
        <w:rPr>
          <w:rFonts w:ascii="Calibri" w:hAnsi="Calibri" w:cs="Calibri"/>
        </w:rPr>
        <w:t xml:space="preserve">in </w:t>
      </w:r>
      <w:r w:rsidRPr="001A459F">
        <w:rPr>
          <w:rFonts w:ascii="Calibri" w:hAnsi="Calibri" w:cs="Calibri"/>
        </w:rPr>
        <w:t xml:space="preserve">different income groups. The Household Living Price Index shows how inflation has affected the lowest and highest earners over the past ten years. Put simply, those with the lowest incomes have faced an inflation rate much higher than those with the highest rates of income. The gap in that inflation rate has grown over time, and there appears to be little convergence even with higher general inflation. </w:t>
      </w:r>
    </w:p>
    <w:p w14:paraId="6671E673" w14:textId="77777777" w:rsidR="00606968" w:rsidRPr="001A459F" w:rsidRDefault="00606968" w:rsidP="00606968">
      <w:pPr>
        <w:rPr>
          <w:rFonts w:ascii="Calibri" w:hAnsi="Calibri" w:cs="Calibri"/>
        </w:rPr>
      </w:pPr>
      <w:r w:rsidRPr="001A459F">
        <w:rPr>
          <w:rFonts w:ascii="Calibri" w:hAnsi="Calibri" w:cs="Calibri"/>
        </w:rPr>
        <w:t>This demonstrates one of the most important ways in which the minimum wage can work. Low-income workers have higher general rates of inflation than high income earners. Changing low-</w:t>
      </w:r>
      <w:r w:rsidRPr="001A459F">
        <w:rPr>
          <w:rFonts w:ascii="Calibri" w:hAnsi="Calibri" w:cs="Calibri"/>
        </w:rPr>
        <w:lastRenderedPageBreak/>
        <w:t xml:space="preserve">income earners wages through the minimum wage protects them higher inflation values. It also targets the money where it is needed the most. Without faster than general inflation increases, these workers would have been even poorer in real terms than they are today. </w:t>
      </w:r>
    </w:p>
    <w:p w14:paraId="115F5D0A" w14:textId="77777777" w:rsidR="00606968" w:rsidRPr="001A459F" w:rsidRDefault="00606968" w:rsidP="00606968">
      <w:pPr>
        <w:rPr>
          <w:rFonts w:ascii="Calibri" w:hAnsi="Calibri" w:cs="Calibri"/>
          <w:i/>
          <w:iCs/>
        </w:rPr>
      </w:pPr>
      <w:r w:rsidRPr="001A459F">
        <w:rPr>
          <w:rFonts w:ascii="Calibri" w:hAnsi="Calibri" w:cs="Calibri"/>
          <w:i/>
          <w:iCs/>
        </w:rPr>
        <w:t xml:space="preserve">Household Living Price Index - Statistics New Zealand </w:t>
      </w:r>
    </w:p>
    <w:p w14:paraId="128113B7" w14:textId="77777777" w:rsidR="00606968" w:rsidRPr="001A459F" w:rsidRDefault="00606968" w:rsidP="00606968">
      <w:pPr>
        <w:pStyle w:val="ListParagraph"/>
        <w:ind w:left="0"/>
        <w:rPr>
          <w:rFonts w:ascii="Calibri" w:hAnsi="Calibri" w:cs="Calibri"/>
        </w:rPr>
      </w:pPr>
      <w:r w:rsidRPr="001A459F">
        <w:rPr>
          <w:rFonts w:ascii="Calibri" w:hAnsi="Calibri" w:cs="Calibri"/>
          <w:noProof/>
        </w:rPr>
        <w:drawing>
          <wp:inline distT="0" distB="0" distL="0" distR="0" wp14:anchorId="568705E0" wp14:editId="4D77923E">
            <wp:extent cx="5731510" cy="3677285"/>
            <wp:effectExtent l="0" t="0" r="2540" b="18415"/>
            <wp:docPr id="14" name="Chart 14">
              <a:extLst xmlns:a="http://schemas.openxmlformats.org/drawingml/2006/main">
                <a:ext uri="{FF2B5EF4-FFF2-40B4-BE49-F238E27FC236}">
                  <a16:creationId xmlns:a16="http://schemas.microsoft.com/office/drawing/2014/main" id="{89E3F798-C1A9-4E6C-8D81-A239D26D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DE071A" w14:textId="77777777" w:rsidR="00606968" w:rsidRPr="001A459F" w:rsidRDefault="00606968" w:rsidP="00606968">
      <w:pPr>
        <w:rPr>
          <w:rFonts w:ascii="Calibri" w:hAnsi="Calibri" w:cs="Calibri"/>
          <w:i/>
          <w:iCs/>
        </w:rPr>
      </w:pPr>
      <w:r w:rsidRPr="001A459F">
        <w:rPr>
          <w:rFonts w:ascii="Calibri" w:hAnsi="Calibri" w:cs="Calibri"/>
          <w:i/>
          <w:iCs/>
        </w:rPr>
        <w:t xml:space="preserve">Rental Prices </w:t>
      </w:r>
    </w:p>
    <w:p w14:paraId="6CC3766A" w14:textId="77777777" w:rsidR="00606968" w:rsidRPr="00011CCA" w:rsidRDefault="00606968" w:rsidP="00011CCA">
      <w:pPr>
        <w:rPr>
          <w:rFonts w:ascii="Calibri" w:hAnsi="Calibri" w:cs="Calibri"/>
        </w:rPr>
      </w:pPr>
      <w:r w:rsidRPr="00011CCA">
        <w:rPr>
          <w:rFonts w:ascii="Calibri" w:hAnsi="Calibri" w:cs="Calibri"/>
        </w:rPr>
        <w:t>One of the core elements driving inflation changes over the past few years has been the cost of housing, and in particular rental dwellings. Rents have continued to outpace general inflation, as demand for housing has increased alongside limited supply. Evidence</w:t>
      </w:r>
      <w:r w:rsidRPr="001A459F">
        <w:rPr>
          <w:rStyle w:val="FootnoteReference"/>
          <w:rFonts w:ascii="Calibri" w:hAnsi="Calibri" w:cs="Calibri"/>
        </w:rPr>
        <w:footnoteReference w:id="4"/>
      </w:r>
      <w:r w:rsidRPr="00011CCA">
        <w:rPr>
          <w:rFonts w:ascii="Calibri" w:hAnsi="Calibri" w:cs="Calibri"/>
        </w:rPr>
        <w:t xml:space="preserve"> of this can be found from the increased waitlist for social housing, which has risen more than 600% since 2016 to 24,474 households. Evidence</w:t>
      </w:r>
      <w:r w:rsidRPr="001A459F">
        <w:rPr>
          <w:rStyle w:val="FootnoteReference"/>
          <w:rFonts w:ascii="Calibri" w:hAnsi="Calibri" w:cs="Calibri"/>
        </w:rPr>
        <w:footnoteReference w:id="5"/>
      </w:r>
      <w:r w:rsidRPr="00011CCA">
        <w:rPr>
          <w:rFonts w:ascii="Calibri" w:hAnsi="Calibri" w:cs="Calibri"/>
        </w:rPr>
        <w:t xml:space="preserve"> can also be found from the monthly rental price data, which reached a peak of 7.7% annual rental price growth nationally in September 2021. </w:t>
      </w:r>
    </w:p>
    <w:p w14:paraId="21A2B805" w14:textId="77777777" w:rsidR="00606968" w:rsidRPr="001A459F" w:rsidRDefault="00606968" w:rsidP="00606968">
      <w:pPr>
        <w:rPr>
          <w:rFonts w:ascii="Calibri" w:hAnsi="Calibri" w:cs="Calibri"/>
          <w:i/>
          <w:iCs/>
        </w:rPr>
      </w:pPr>
      <w:r w:rsidRPr="001A459F">
        <w:rPr>
          <w:rFonts w:ascii="Calibri" w:hAnsi="Calibri" w:cs="Calibri"/>
          <w:i/>
          <w:iCs/>
        </w:rPr>
        <w:t>Wages</w:t>
      </w:r>
    </w:p>
    <w:p w14:paraId="7A7A66DD" w14:textId="18790537" w:rsidR="00606968" w:rsidRPr="00011CCA" w:rsidRDefault="00606968" w:rsidP="00011CCA">
      <w:pPr>
        <w:rPr>
          <w:rFonts w:ascii="Calibri" w:hAnsi="Calibri" w:cs="Calibri"/>
        </w:rPr>
      </w:pPr>
      <w:r w:rsidRPr="00011CCA">
        <w:rPr>
          <w:rFonts w:ascii="Calibri" w:hAnsi="Calibri" w:cs="Calibri"/>
        </w:rPr>
        <w:t>On average, wages have not kept up with the latest round of inflationary pressures. Using the latest labour market data</w:t>
      </w:r>
      <w:r w:rsidRPr="001A459F">
        <w:rPr>
          <w:rStyle w:val="FootnoteReference"/>
          <w:rFonts w:ascii="Calibri" w:hAnsi="Calibri" w:cs="Calibri"/>
        </w:rPr>
        <w:footnoteReference w:id="6"/>
      </w:r>
      <w:r w:rsidRPr="00011CCA">
        <w:rPr>
          <w:rFonts w:ascii="Calibri" w:hAnsi="Calibri" w:cs="Calibri"/>
        </w:rPr>
        <w:t>, 82% of New Zealanders received a pay rise lower than inflation last year. 42% of New Zealanders did not receive</w:t>
      </w:r>
      <w:r w:rsidRPr="001A459F">
        <w:rPr>
          <w:rStyle w:val="FootnoteReference"/>
          <w:rFonts w:ascii="Calibri" w:hAnsi="Calibri" w:cs="Calibri"/>
        </w:rPr>
        <w:footnoteReference w:id="7"/>
      </w:r>
      <w:r w:rsidRPr="00011CCA">
        <w:rPr>
          <w:rFonts w:ascii="Calibri" w:hAnsi="Calibri" w:cs="Calibri"/>
        </w:rPr>
        <w:t xml:space="preserve"> a pay rise at all last year. The Labour Cost Index measures changes in pay for the same job (so it measures essentially the change in what you would need to pay the same worker to do the same task each year). According to the LCI wages increased by 2.4% last year. This is lower than in pre-COVID </w:t>
      </w:r>
      <w:r w:rsidR="00235C36" w:rsidRPr="00011CCA">
        <w:rPr>
          <w:rFonts w:ascii="Calibri" w:hAnsi="Calibri" w:cs="Calibri"/>
        </w:rPr>
        <w:t>periods and</w:t>
      </w:r>
      <w:r w:rsidRPr="00011CCA">
        <w:rPr>
          <w:rFonts w:ascii="Calibri" w:hAnsi="Calibri" w:cs="Calibri"/>
        </w:rPr>
        <w:t xml:space="preserve"> is around the historical average for the past 5 years. </w:t>
      </w:r>
    </w:p>
    <w:p w14:paraId="15ED566D" w14:textId="77777777" w:rsidR="00606968" w:rsidRPr="001A459F" w:rsidRDefault="00606968" w:rsidP="00606968">
      <w:pPr>
        <w:rPr>
          <w:rFonts w:ascii="Calibri" w:hAnsi="Calibri" w:cs="Calibri"/>
          <w:i/>
          <w:iCs/>
        </w:rPr>
      </w:pPr>
      <w:r w:rsidRPr="001A459F">
        <w:rPr>
          <w:rFonts w:ascii="Calibri" w:hAnsi="Calibri" w:cs="Calibri"/>
          <w:i/>
          <w:iCs/>
        </w:rPr>
        <w:lastRenderedPageBreak/>
        <w:t>Labour Cost Index Annual Change - Statistics New Zealand</w:t>
      </w:r>
    </w:p>
    <w:p w14:paraId="4D195FA6" w14:textId="77777777" w:rsidR="00606968" w:rsidRPr="001A459F" w:rsidRDefault="00606968" w:rsidP="00011CCA">
      <w:pPr>
        <w:spacing w:line="360" w:lineRule="auto"/>
        <w:rPr>
          <w:rFonts w:ascii="Calibri" w:hAnsi="Calibri" w:cs="Calibri"/>
        </w:rPr>
      </w:pPr>
      <w:r w:rsidRPr="001A459F">
        <w:rPr>
          <w:rFonts w:ascii="Calibri" w:hAnsi="Calibri" w:cs="Calibri"/>
          <w:noProof/>
        </w:rPr>
        <w:drawing>
          <wp:inline distT="0" distB="0" distL="0" distR="0" wp14:anchorId="3BFA53F3" wp14:editId="02A1ABB2">
            <wp:extent cx="5648325" cy="3219450"/>
            <wp:effectExtent l="0" t="0" r="9525" b="0"/>
            <wp:docPr id="6" name="Chart 6">
              <a:extLst xmlns:a="http://schemas.openxmlformats.org/drawingml/2006/main">
                <a:ext uri="{FF2B5EF4-FFF2-40B4-BE49-F238E27FC236}">
                  <a16:creationId xmlns:a16="http://schemas.microsoft.com/office/drawing/2014/main" id="{A42C35C3-8A52-46ED-BC8E-3359158596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774B27" w14:textId="16DF1825" w:rsidR="00606968" w:rsidRPr="00235C36" w:rsidRDefault="00606968" w:rsidP="00235C36">
      <w:pPr>
        <w:rPr>
          <w:rFonts w:ascii="Calibri" w:hAnsi="Calibri" w:cs="Calibri"/>
        </w:rPr>
      </w:pPr>
      <w:r w:rsidRPr="00235C36">
        <w:rPr>
          <w:rFonts w:ascii="Calibri" w:hAnsi="Calibri" w:cs="Calibri"/>
        </w:rPr>
        <w:t>The other measure of wages is the Average Hourly Ordinary Hours from the Quarterly Employment Survey. This is a more volatile measure and typically higher measure than the LCI as it captures greater changes in terms of employee’s compensation – including promotions. Even this is still below current inflation and is not significantly high by</w:t>
      </w:r>
      <w:r w:rsidR="00235C36">
        <w:rPr>
          <w:rFonts w:ascii="Calibri" w:hAnsi="Calibri" w:cs="Calibri"/>
        </w:rPr>
        <w:t xml:space="preserve"> recent </w:t>
      </w:r>
      <w:r w:rsidRPr="00235C36">
        <w:rPr>
          <w:rFonts w:ascii="Calibri" w:hAnsi="Calibri" w:cs="Calibri"/>
        </w:rPr>
        <w:t xml:space="preserve">historical standards. </w:t>
      </w:r>
    </w:p>
    <w:p w14:paraId="388B0DEE" w14:textId="77777777" w:rsidR="00606968" w:rsidRPr="001A459F" w:rsidRDefault="00606968" w:rsidP="00606968">
      <w:pPr>
        <w:rPr>
          <w:rFonts w:ascii="Calibri" w:hAnsi="Calibri" w:cs="Calibri"/>
          <w:i/>
          <w:iCs/>
        </w:rPr>
      </w:pPr>
      <w:r w:rsidRPr="001A459F">
        <w:rPr>
          <w:rFonts w:ascii="Calibri" w:hAnsi="Calibri" w:cs="Calibri"/>
          <w:i/>
          <w:iCs/>
        </w:rPr>
        <w:t xml:space="preserve">QES Ordinary Time Hourly Earnings – Statistics New Zealand </w:t>
      </w:r>
    </w:p>
    <w:p w14:paraId="49A2397A" w14:textId="77777777" w:rsidR="00606968" w:rsidRPr="001A459F" w:rsidRDefault="00606968" w:rsidP="00606968">
      <w:pPr>
        <w:rPr>
          <w:rFonts w:ascii="Calibri" w:hAnsi="Calibri" w:cs="Calibri"/>
        </w:rPr>
      </w:pPr>
      <w:r w:rsidRPr="001A459F">
        <w:rPr>
          <w:rFonts w:ascii="Calibri" w:hAnsi="Calibri" w:cs="Calibri"/>
          <w:noProof/>
        </w:rPr>
        <w:drawing>
          <wp:inline distT="0" distB="0" distL="0" distR="0" wp14:anchorId="1FEF8EED" wp14:editId="68497280">
            <wp:extent cx="5695950" cy="3276600"/>
            <wp:effectExtent l="0" t="0" r="0" b="0"/>
            <wp:docPr id="7" name="Chart 7">
              <a:extLst xmlns:a="http://schemas.openxmlformats.org/drawingml/2006/main">
                <a:ext uri="{FF2B5EF4-FFF2-40B4-BE49-F238E27FC236}">
                  <a16:creationId xmlns:a16="http://schemas.microsoft.com/office/drawing/2014/main" id="{6581D689-9DD8-44D3-A7F5-AA588ADAC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83EB3D" w14:textId="77777777" w:rsidR="00606968" w:rsidRPr="001A459F" w:rsidRDefault="00606968" w:rsidP="00606968">
      <w:pPr>
        <w:rPr>
          <w:rFonts w:ascii="Calibri" w:hAnsi="Calibri" w:cs="Calibri"/>
          <w:i/>
          <w:iCs/>
        </w:rPr>
      </w:pPr>
      <w:r w:rsidRPr="001A459F">
        <w:rPr>
          <w:rFonts w:ascii="Calibri" w:hAnsi="Calibri" w:cs="Calibri"/>
          <w:i/>
          <w:iCs/>
        </w:rPr>
        <w:t xml:space="preserve">Unemployment </w:t>
      </w:r>
    </w:p>
    <w:p w14:paraId="32E46EE8" w14:textId="77777777" w:rsidR="00606968" w:rsidRPr="00235C36" w:rsidRDefault="00606968" w:rsidP="00235C36">
      <w:pPr>
        <w:rPr>
          <w:rFonts w:ascii="Calibri" w:hAnsi="Calibri" w:cs="Calibri"/>
        </w:rPr>
      </w:pPr>
      <w:r w:rsidRPr="00235C36">
        <w:rPr>
          <w:rFonts w:ascii="Calibri" w:hAnsi="Calibri" w:cs="Calibri"/>
        </w:rPr>
        <w:t xml:space="preserve">Despite dire warnings from economists and the Treasury that unemployment would rise significantly because of COVID-19, there is now a tight labour market with relatively low unemployment. The </w:t>
      </w:r>
      <w:r w:rsidRPr="00235C36">
        <w:rPr>
          <w:rFonts w:ascii="Calibri" w:hAnsi="Calibri" w:cs="Calibri"/>
        </w:rPr>
        <w:lastRenderedPageBreak/>
        <w:t xml:space="preserve">current rate of unemployment is a record low of 3.4%, with male unemployment being 3.3% and female unemployment being 3.4%. Māori, Pacific Peoples, and youth unemployment is also lower than in pre-covid periods. </w:t>
      </w:r>
    </w:p>
    <w:p w14:paraId="007F9BEB" w14:textId="77777777" w:rsidR="00606968" w:rsidRPr="001A459F" w:rsidRDefault="00606968" w:rsidP="00606968">
      <w:pPr>
        <w:rPr>
          <w:rFonts w:ascii="Calibri" w:hAnsi="Calibri" w:cs="Calibri"/>
          <w:i/>
          <w:iCs/>
        </w:rPr>
      </w:pPr>
      <w:r w:rsidRPr="001A459F">
        <w:rPr>
          <w:rFonts w:ascii="Calibri" w:hAnsi="Calibri" w:cs="Calibri"/>
          <w:i/>
          <w:iCs/>
        </w:rPr>
        <w:t xml:space="preserve">HLFS Unemployment – Statistics New Zealand </w:t>
      </w:r>
    </w:p>
    <w:p w14:paraId="1EB43F41" w14:textId="77777777" w:rsidR="00235C36" w:rsidRDefault="00606968" w:rsidP="00606968">
      <w:pPr>
        <w:rPr>
          <w:rFonts w:ascii="Calibri" w:hAnsi="Calibri" w:cs="Calibri"/>
        </w:rPr>
      </w:pPr>
      <w:r w:rsidRPr="001A459F">
        <w:rPr>
          <w:rFonts w:ascii="Calibri" w:hAnsi="Calibri" w:cs="Calibri"/>
          <w:noProof/>
        </w:rPr>
        <w:drawing>
          <wp:inline distT="0" distB="0" distL="0" distR="0" wp14:anchorId="07555434" wp14:editId="62C4D93F">
            <wp:extent cx="5876925" cy="3248025"/>
            <wp:effectExtent l="0" t="0" r="9525" b="9525"/>
            <wp:docPr id="8" name="Chart 8">
              <a:extLst xmlns:a="http://schemas.openxmlformats.org/drawingml/2006/main">
                <a:ext uri="{FF2B5EF4-FFF2-40B4-BE49-F238E27FC236}">
                  <a16:creationId xmlns:a16="http://schemas.microsoft.com/office/drawing/2014/main" id="{04E1D4D8-AD3C-4BF7-837D-C3C46CF7E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F0F8C1" w14:textId="035CEB1C" w:rsidR="00606968" w:rsidRPr="001A459F" w:rsidRDefault="00606968" w:rsidP="00606968">
      <w:pPr>
        <w:rPr>
          <w:rFonts w:ascii="Calibri" w:hAnsi="Calibri" w:cs="Calibri"/>
        </w:rPr>
      </w:pPr>
      <w:r w:rsidRPr="001A459F">
        <w:rPr>
          <w:rFonts w:ascii="Calibri" w:hAnsi="Calibri" w:cs="Calibri"/>
        </w:rPr>
        <w:t>The labour market has instead been showing consistently high levels of demand for new workers and new employees. The MBIE jobs on-line data</w:t>
      </w:r>
      <w:r w:rsidRPr="001A459F">
        <w:rPr>
          <w:rStyle w:val="FootnoteReference"/>
          <w:rFonts w:ascii="Calibri" w:hAnsi="Calibri" w:cs="Calibri"/>
        </w:rPr>
        <w:footnoteReference w:id="8"/>
      </w:r>
      <w:r w:rsidRPr="001A459F">
        <w:rPr>
          <w:rFonts w:ascii="Calibri" w:hAnsi="Calibri" w:cs="Calibri"/>
        </w:rPr>
        <w:t xml:space="preserve"> shows that online job advertisements grew by 17% during the June 2021 quarter, and by 93% over the year. Vacancies grew over the June 2021 quarter in all regions, and nationally in all occupations, all skill </w:t>
      </w:r>
      <w:proofErr w:type="gramStart"/>
      <w:r w:rsidRPr="001A459F">
        <w:rPr>
          <w:rFonts w:ascii="Calibri" w:hAnsi="Calibri" w:cs="Calibri"/>
        </w:rPr>
        <w:t>levels</w:t>
      </w:r>
      <w:proofErr w:type="gramEnd"/>
      <w:r w:rsidRPr="001A459F">
        <w:rPr>
          <w:rFonts w:ascii="Calibri" w:hAnsi="Calibri" w:cs="Calibri"/>
        </w:rPr>
        <w:t xml:space="preserve"> and all industries. The Quarterly Survey of Business Opinion by NZIER in June 2021 </w:t>
      </w:r>
      <w:proofErr w:type="gramStart"/>
      <w:r w:rsidRPr="001A459F">
        <w:rPr>
          <w:rFonts w:ascii="Calibri" w:hAnsi="Calibri" w:cs="Calibri"/>
        </w:rPr>
        <w:t>said</w:t>
      </w:r>
      <w:proofErr w:type="gramEnd"/>
      <w:r w:rsidRPr="001A459F">
        <w:rPr>
          <w:rFonts w:ascii="Calibri" w:hAnsi="Calibri" w:cs="Calibri"/>
        </w:rPr>
        <w:t xml:space="preserve"> “the scarcity of skilled and unskilled labour is at the most acute on record over the history of the survey, with firms finding it particularly difficult to hire skilled labour”. </w:t>
      </w:r>
    </w:p>
    <w:p w14:paraId="0B83FF99" w14:textId="77777777" w:rsidR="00606968" w:rsidRPr="001A459F" w:rsidRDefault="00606968" w:rsidP="00606968">
      <w:pPr>
        <w:rPr>
          <w:rFonts w:ascii="Calibri" w:hAnsi="Calibri" w:cs="Calibri"/>
          <w:i/>
          <w:iCs/>
        </w:rPr>
      </w:pPr>
      <w:r w:rsidRPr="001A459F">
        <w:rPr>
          <w:rFonts w:ascii="Calibri" w:hAnsi="Calibri" w:cs="Calibri"/>
          <w:i/>
          <w:iCs/>
        </w:rPr>
        <w:t>Recent economic reports</w:t>
      </w:r>
    </w:p>
    <w:p w14:paraId="61F1513E" w14:textId="77777777" w:rsidR="00606968" w:rsidRPr="001A459F" w:rsidRDefault="00606968" w:rsidP="00606968">
      <w:pPr>
        <w:rPr>
          <w:rFonts w:ascii="Calibri" w:hAnsi="Calibri" w:cs="Calibri"/>
        </w:rPr>
      </w:pPr>
      <w:r w:rsidRPr="001A459F">
        <w:rPr>
          <w:rFonts w:ascii="Calibri" w:hAnsi="Calibri" w:cs="Calibri"/>
        </w:rPr>
        <w:t>Two pieces of economic research have a particular relevance to the debate on how the next minimum wage should be set. NZIER economists have recently examined the data on the minimum wage and concluded</w:t>
      </w:r>
      <w:r w:rsidRPr="001A459F">
        <w:rPr>
          <w:rStyle w:val="FootnoteReference"/>
          <w:rFonts w:ascii="Calibri" w:hAnsi="Calibri" w:cs="Calibri"/>
        </w:rPr>
        <w:footnoteReference w:id="9"/>
      </w:r>
      <w:r w:rsidRPr="001A459F">
        <w:rPr>
          <w:rFonts w:ascii="Calibri" w:hAnsi="Calibri" w:cs="Calibri"/>
        </w:rPr>
        <w:t xml:space="preserve"> that “The evidence, particularly internationally but also in New Zealand is that no, the minimum wage doesn't have large impacts on employment”. Startlingly, they conclude that if the minimum wage is kept to within what they call</w:t>
      </w:r>
      <w:r w:rsidRPr="001A459F">
        <w:rPr>
          <w:rStyle w:val="FootnoteReference"/>
          <w:rFonts w:ascii="Calibri" w:hAnsi="Calibri" w:cs="Calibri"/>
        </w:rPr>
        <w:footnoteReference w:id="10"/>
      </w:r>
      <w:r w:rsidRPr="001A459F">
        <w:rPr>
          <w:rFonts w:ascii="Calibri" w:hAnsi="Calibri" w:cs="Calibri"/>
        </w:rPr>
        <w:t xml:space="preserve"> the “goldilocks zone” of up to $25 an hour then it will have no or negligible employment impacts. </w:t>
      </w:r>
    </w:p>
    <w:p w14:paraId="01C6AE5D" w14:textId="77777777" w:rsidR="00606968" w:rsidRPr="001A459F" w:rsidRDefault="00606968" w:rsidP="00606968">
      <w:pPr>
        <w:rPr>
          <w:rFonts w:ascii="Calibri" w:hAnsi="Calibri" w:cs="Calibri"/>
        </w:rPr>
      </w:pPr>
      <w:r w:rsidRPr="001A459F">
        <w:rPr>
          <w:rFonts w:ascii="Calibri" w:hAnsi="Calibri" w:cs="Calibri"/>
        </w:rPr>
        <w:t xml:space="preserve">Secondly, economists at MOTU have published research looking at the impact of the minimum wage over time. They have examined the data since 2000 and </w:t>
      </w:r>
      <w:proofErr w:type="gramStart"/>
      <w:r w:rsidRPr="001A459F">
        <w:rPr>
          <w:rFonts w:ascii="Calibri" w:hAnsi="Calibri" w:cs="Calibri"/>
        </w:rPr>
        <w:t>come to the conclusion</w:t>
      </w:r>
      <w:proofErr w:type="gramEnd"/>
      <w:r w:rsidRPr="001A459F">
        <w:rPr>
          <w:rStyle w:val="FootnoteReference"/>
          <w:rFonts w:ascii="Calibri" w:hAnsi="Calibri" w:cs="Calibri"/>
        </w:rPr>
        <w:footnoteReference w:id="11"/>
      </w:r>
      <w:r w:rsidRPr="001A459F">
        <w:rPr>
          <w:rFonts w:ascii="Calibri" w:hAnsi="Calibri" w:cs="Calibri"/>
        </w:rPr>
        <w:t xml:space="preserve"> that “we find no </w:t>
      </w:r>
      <w:r w:rsidRPr="001A459F">
        <w:rPr>
          <w:rFonts w:ascii="Calibri" w:hAnsi="Calibri" w:cs="Calibri"/>
        </w:rPr>
        <w:lastRenderedPageBreak/>
        <w:t xml:space="preserve">clear evidence that increases in the minimum wage have led to adverse employment effects”. Instead of the standard economic approach which would see minimum wage increases leading to reductions in employment, they state that the “minimum wage impact is not a dominant factor in employment growth”. This suggests that not only are minimum wage increases not significant factors in employment loss, </w:t>
      </w:r>
      <w:proofErr w:type="gramStart"/>
      <w:r w:rsidRPr="001A459F">
        <w:rPr>
          <w:rFonts w:ascii="Calibri" w:hAnsi="Calibri" w:cs="Calibri"/>
        </w:rPr>
        <w:t>they</w:t>
      </w:r>
      <w:proofErr w:type="gramEnd"/>
      <w:r w:rsidRPr="001A459F">
        <w:rPr>
          <w:rFonts w:ascii="Calibri" w:hAnsi="Calibri" w:cs="Calibri"/>
        </w:rPr>
        <w:t xml:space="preserve"> are also not a significant factor restraining employment growth. </w:t>
      </w:r>
    </w:p>
    <w:p w14:paraId="3E1BDC69" w14:textId="77777777" w:rsidR="00606968" w:rsidRPr="001A459F" w:rsidRDefault="00606968" w:rsidP="00606968">
      <w:pPr>
        <w:rPr>
          <w:rFonts w:ascii="Calibri" w:hAnsi="Calibri" w:cs="Calibri"/>
        </w:rPr>
      </w:pPr>
      <w:r w:rsidRPr="001A459F">
        <w:rPr>
          <w:rFonts w:ascii="Calibri" w:hAnsi="Calibri" w:cs="Calibri"/>
        </w:rPr>
        <w:t>Finally, we should also note that this year the Nobel Prize for Economics</w:t>
      </w:r>
      <w:r w:rsidRPr="001A459F">
        <w:rPr>
          <w:rStyle w:val="FootnoteReference"/>
          <w:rFonts w:ascii="Calibri" w:hAnsi="Calibri" w:cs="Calibri"/>
        </w:rPr>
        <w:footnoteReference w:id="12"/>
      </w:r>
      <w:r w:rsidRPr="001A459F">
        <w:rPr>
          <w:rFonts w:ascii="Calibri" w:hAnsi="Calibri" w:cs="Calibri"/>
        </w:rPr>
        <w:t xml:space="preserve"> was awarded to David Card for his work on the minimum wage and employment. His seminal 1993 paper</w:t>
      </w:r>
      <w:r w:rsidRPr="001A459F">
        <w:rPr>
          <w:rStyle w:val="FootnoteReference"/>
          <w:rFonts w:ascii="Calibri" w:hAnsi="Calibri" w:cs="Calibri"/>
        </w:rPr>
        <w:footnoteReference w:id="13"/>
      </w:r>
      <w:r w:rsidRPr="001A459F">
        <w:rPr>
          <w:rFonts w:ascii="Calibri" w:hAnsi="Calibri" w:cs="Calibri"/>
        </w:rPr>
        <w:t xml:space="preserve"> “Minimum Wages and Employment: A Case Study of the Fast-Food Industry in New Jersey and Pennsylvania” showed that “We find no indication that the rise in the minimum wage reduced employment”. </w:t>
      </w:r>
      <w:proofErr w:type="gramStart"/>
      <w:r w:rsidRPr="001A459F">
        <w:rPr>
          <w:rFonts w:ascii="Calibri" w:hAnsi="Calibri" w:cs="Calibri"/>
        </w:rPr>
        <w:t>Instead</w:t>
      </w:r>
      <w:proofErr w:type="gramEnd"/>
      <w:r w:rsidRPr="001A459F">
        <w:rPr>
          <w:rFonts w:ascii="Calibri" w:hAnsi="Calibri" w:cs="Calibri"/>
        </w:rPr>
        <w:t xml:space="preserve"> they found that “we find that the increase in the minimum wage increased employment”. </w:t>
      </w:r>
    </w:p>
    <w:p w14:paraId="4DE36B95" w14:textId="77777777" w:rsidR="00606968" w:rsidRPr="001A459F" w:rsidRDefault="00606968" w:rsidP="00606968">
      <w:pPr>
        <w:rPr>
          <w:rFonts w:ascii="Calibri" w:hAnsi="Calibri" w:cs="Calibri"/>
          <w:b/>
          <w:bCs/>
        </w:rPr>
      </w:pPr>
      <w:r w:rsidRPr="001A459F">
        <w:rPr>
          <w:rFonts w:ascii="Calibri" w:hAnsi="Calibri" w:cs="Calibri"/>
          <w:b/>
          <w:bCs/>
        </w:rPr>
        <w:t xml:space="preserve">Recommendations: </w:t>
      </w:r>
    </w:p>
    <w:p w14:paraId="28A30FE4" w14:textId="1AC4F90F" w:rsidR="00606968" w:rsidRPr="001A459F" w:rsidRDefault="00606968" w:rsidP="00606968">
      <w:pPr>
        <w:rPr>
          <w:rFonts w:ascii="Calibri" w:hAnsi="Calibri" w:cs="Calibri"/>
        </w:rPr>
      </w:pPr>
      <w:r w:rsidRPr="001A459F">
        <w:rPr>
          <w:rFonts w:ascii="Calibri" w:hAnsi="Calibri" w:cs="Calibri"/>
        </w:rPr>
        <w:t xml:space="preserve">The CTU </w:t>
      </w:r>
      <w:r w:rsidR="002B3DB6">
        <w:rPr>
          <w:rFonts w:ascii="Calibri" w:hAnsi="Calibri" w:cs="Calibri"/>
        </w:rPr>
        <w:t xml:space="preserve">Is proposing </w:t>
      </w:r>
      <w:proofErr w:type="gramStart"/>
      <w:r w:rsidR="002B3DB6">
        <w:rPr>
          <w:rFonts w:ascii="Calibri" w:hAnsi="Calibri" w:cs="Calibri"/>
        </w:rPr>
        <w:t xml:space="preserve">that </w:t>
      </w:r>
      <w:r w:rsidRPr="001A459F">
        <w:rPr>
          <w:rFonts w:ascii="Calibri" w:hAnsi="Calibri" w:cs="Calibri"/>
        </w:rPr>
        <w:t>:</w:t>
      </w:r>
      <w:proofErr w:type="gramEnd"/>
    </w:p>
    <w:p w14:paraId="12A572BA" w14:textId="18A8C2F4" w:rsidR="00606968" w:rsidRPr="001A459F" w:rsidRDefault="002B3DB6" w:rsidP="00606968">
      <w:pPr>
        <w:pStyle w:val="ListParagraph"/>
        <w:numPr>
          <w:ilvl w:val="0"/>
          <w:numId w:val="2"/>
        </w:numPr>
        <w:rPr>
          <w:rFonts w:ascii="Calibri" w:hAnsi="Calibri" w:cs="Calibri"/>
        </w:rPr>
      </w:pPr>
      <w:r>
        <w:rPr>
          <w:rFonts w:ascii="Calibri" w:hAnsi="Calibri" w:cs="Calibri"/>
        </w:rPr>
        <w:t>T</w:t>
      </w:r>
      <w:r w:rsidR="00606968" w:rsidRPr="001A459F">
        <w:rPr>
          <w:rFonts w:ascii="Calibri" w:hAnsi="Calibri" w:cs="Calibri"/>
        </w:rPr>
        <w:t xml:space="preserve">he minimum wage for 2022 should be $22.75 – the level of the current Living Wage. </w:t>
      </w:r>
    </w:p>
    <w:p w14:paraId="5486745A" w14:textId="77777777" w:rsidR="00606968" w:rsidRPr="001A459F" w:rsidRDefault="00606968" w:rsidP="00606968">
      <w:pPr>
        <w:pStyle w:val="ListParagraph"/>
        <w:numPr>
          <w:ilvl w:val="0"/>
          <w:numId w:val="2"/>
        </w:numPr>
        <w:rPr>
          <w:rFonts w:ascii="Calibri" w:hAnsi="Calibri" w:cs="Calibri"/>
        </w:rPr>
      </w:pPr>
      <w:r w:rsidRPr="001A459F">
        <w:rPr>
          <w:rFonts w:ascii="Calibri" w:hAnsi="Calibri" w:cs="Calibri"/>
        </w:rPr>
        <w:t>That youth and training rates should be abolished, with all workers being paid at least the minimum wage</w:t>
      </w:r>
    </w:p>
    <w:p w14:paraId="17BA4C4D" w14:textId="2A835548" w:rsidR="00810A9F" w:rsidRPr="00C504B0" w:rsidRDefault="00606968" w:rsidP="00606968">
      <w:pPr>
        <w:pStyle w:val="ListParagraph"/>
        <w:numPr>
          <w:ilvl w:val="0"/>
          <w:numId w:val="2"/>
        </w:numPr>
        <w:rPr>
          <w:rFonts w:ascii="Calibri" w:hAnsi="Calibri" w:cs="Calibri"/>
        </w:rPr>
      </w:pPr>
      <w:r w:rsidRPr="001A459F">
        <w:rPr>
          <w:rFonts w:ascii="Calibri" w:hAnsi="Calibri" w:cs="Calibri"/>
        </w:rPr>
        <w:t>That a new tripartite body be responsible for establishing the minimum wage recommendation to the Minister of Workplace Relations in the future</w:t>
      </w:r>
    </w:p>
    <w:sectPr w:rsidR="00810A9F" w:rsidRPr="00C504B0" w:rsidSect="00011CCA">
      <w:headerReference w:type="default" r:id="rId17"/>
      <w:footerReference w:type="default" r:id="rId18"/>
      <w:headerReference w:type="first" r:id="rId19"/>
      <w:footerReference w:type="first" r:id="rId20"/>
      <w:pgSz w:w="11906" w:h="16838"/>
      <w:pgMar w:top="1276" w:right="1440" w:bottom="1440" w:left="1440"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0501" w14:textId="77777777" w:rsidR="00861564" w:rsidRDefault="00861564" w:rsidP="005635C3">
      <w:r>
        <w:separator/>
      </w:r>
    </w:p>
  </w:endnote>
  <w:endnote w:type="continuationSeparator" w:id="0">
    <w:p w14:paraId="2818E299" w14:textId="77777777" w:rsidR="00861564" w:rsidRDefault="00861564" w:rsidP="0056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DC68" w14:textId="13B68747" w:rsidR="00CD3670" w:rsidRDefault="00CD3670" w:rsidP="00CD3670">
    <w:pPr>
      <w:pStyle w:val="Footer"/>
      <w:tabs>
        <w:tab w:val="clear" w:pos="4513"/>
        <w:tab w:val="clear" w:pos="9026"/>
        <w:tab w:val="left" w:pos="6570"/>
      </w:tabs>
    </w:pPr>
    <w:r>
      <w:rPr>
        <w:noProof/>
      </w:rPr>
      <w:softHyphen/>
    </w:r>
    <w:r>
      <w:rPr>
        <w:noProof/>
      </w:rPr>
      <w:tab/>
    </w:r>
  </w:p>
  <w:p w14:paraId="457AF53E" w14:textId="77777777" w:rsidR="00CD3670" w:rsidRDefault="00CD3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38EA" w14:textId="43C71260" w:rsidR="005635C3" w:rsidRDefault="0042748F" w:rsidP="00810A9F">
    <w:pPr>
      <w:pStyle w:val="Footer"/>
      <w:tabs>
        <w:tab w:val="clear" w:pos="4513"/>
        <w:tab w:val="clear" w:pos="9026"/>
        <w:tab w:val="left" w:pos="6570"/>
      </w:tabs>
    </w:pPr>
    <w:r>
      <w:rPr>
        <w:noProof/>
      </w:rPr>
      <w:drawing>
        <wp:anchor distT="360045" distB="0" distL="114300" distR="114300" simplePos="0" relativeHeight="251658240" behindDoc="0" locked="0" layoutInCell="1" allowOverlap="1" wp14:anchorId="067C0F4C" wp14:editId="3D1BE53C">
          <wp:simplePos x="0" y="0"/>
          <wp:positionH relativeFrom="column">
            <wp:posOffset>-915670</wp:posOffset>
          </wp:positionH>
          <wp:positionV relativeFrom="page">
            <wp:posOffset>9611995</wp:posOffset>
          </wp:positionV>
          <wp:extent cx="7559675" cy="10795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l="19" r="19"/>
                  <a:stretch>
                    <a:fillRect/>
                  </a:stretch>
                </pic:blipFill>
                <pic:spPr bwMode="auto">
                  <a:xfrm>
                    <a:off x="0" y="0"/>
                    <a:ext cx="755967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20F">
      <w:rPr>
        <w:noProof/>
      </w:rPr>
      <w:softHyphen/>
    </w:r>
    <w:r w:rsidR="00810A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C973" w14:textId="77777777" w:rsidR="00861564" w:rsidRDefault="00861564" w:rsidP="005635C3">
      <w:r>
        <w:separator/>
      </w:r>
    </w:p>
  </w:footnote>
  <w:footnote w:type="continuationSeparator" w:id="0">
    <w:p w14:paraId="7EAC3891" w14:textId="77777777" w:rsidR="00861564" w:rsidRDefault="00861564" w:rsidP="005635C3">
      <w:r>
        <w:continuationSeparator/>
      </w:r>
    </w:p>
  </w:footnote>
  <w:footnote w:id="1">
    <w:p w14:paraId="5DC4E57B" w14:textId="77777777" w:rsidR="005F3F3A" w:rsidRDefault="00606968" w:rsidP="00ED49E8">
      <w:pPr>
        <w:pStyle w:val="FootnoteText"/>
        <w:rPr>
          <w:rFonts w:ascii="Calibri" w:hAnsi="Calibri" w:cs="Calibri"/>
        </w:rPr>
      </w:pPr>
      <w:r w:rsidRPr="004A1CBF">
        <w:rPr>
          <w:rStyle w:val="FootnoteReference"/>
          <w:rFonts w:ascii="Calibri" w:hAnsi="Calibri" w:cs="Calibri"/>
        </w:rPr>
        <w:footnoteRef/>
      </w:r>
      <w:r w:rsidRPr="004A1CBF">
        <w:rPr>
          <w:rFonts w:ascii="Calibri" w:hAnsi="Calibri" w:cs="Calibri"/>
        </w:rPr>
        <w:t xml:space="preserve"> Household Living Price Index – Statistics New Zealand </w:t>
      </w:r>
    </w:p>
    <w:p w14:paraId="187F3F50" w14:textId="550454D5" w:rsidR="00ED49E8" w:rsidRPr="005F3F3A" w:rsidRDefault="00C504B0" w:rsidP="00ED49E8">
      <w:pPr>
        <w:pStyle w:val="FootnoteText"/>
        <w:rPr>
          <w:rFonts w:ascii="Calibri" w:hAnsi="Calibri" w:cs="Calibri"/>
        </w:rPr>
      </w:pPr>
      <w:r>
        <w:rPr>
          <w:rStyle w:val="FootnoteReference"/>
          <w:rFonts w:ascii="Calibri" w:hAnsi="Calibri" w:cs="Calibri"/>
        </w:rPr>
        <w:t>2</w:t>
      </w:r>
      <w:r w:rsidR="005F3F3A">
        <w:rPr>
          <w:rFonts w:ascii="Calibri" w:hAnsi="Calibri" w:cs="Calibri"/>
        </w:rPr>
        <w:t xml:space="preserve"> </w:t>
      </w:r>
      <w:hyperlink r:id="rId1" w:history="1">
        <w:r w:rsidR="005F3F3A" w:rsidRPr="00F73AC9">
          <w:rPr>
            <w:rStyle w:val="Hyperlink"/>
            <w:rFonts w:ascii="Calibri" w:hAnsi="Calibri" w:cs="Calibri"/>
          </w:rPr>
          <w:t>https://nzier.org.nz/static/media/filer_public/97/a8/97a837ea-ecb8-4c94-8777-1181b5da8402/nzier_insight_96_-_minimum_wage.pdf</w:t>
        </w:r>
      </w:hyperlink>
      <w:r w:rsidR="00ED49E8" w:rsidRPr="00ED49E8">
        <w:rPr>
          <w:rFonts w:ascii="Calibri" w:hAnsi="Calibri" w:cs="Calibri"/>
        </w:rPr>
        <w:t xml:space="preserve"> &amp; </w:t>
      </w:r>
      <w:hyperlink r:id="rId2" w:history="1">
        <w:r w:rsidR="00ED49E8" w:rsidRPr="00ED49E8">
          <w:rPr>
            <w:rStyle w:val="Hyperlink"/>
            <w:rFonts w:ascii="Calibri" w:hAnsi="Calibri" w:cs="Calibri"/>
          </w:rPr>
          <w:t>http://motu-www.motu.org.nz/wpapers/21_03.pdf</w:t>
        </w:r>
      </w:hyperlink>
    </w:p>
    <w:p w14:paraId="247B3FD1" w14:textId="14898121" w:rsidR="00ED49E8" w:rsidRPr="004A1CBF" w:rsidRDefault="005F3F3A" w:rsidP="00ED49E8">
      <w:pPr>
        <w:pStyle w:val="FootnoteText"/>
        <w:rPr>
          <w:rFonts w:ascii="Calibri" w:hAnsi="Calibri" w:cs="Calibri"/>
        </w:rPr>
      </w:pPr>
      <w:r>
        <w:rPr>
          <w:rStyle w:val="FootnoteReference"/>
          <w:rFonts w:ascii="Calibri" w:hAnsi="Calibri" w:cs="Calibri"/>
        </w:rPr>
        <w:t>3</w:t>
      </w:r>
      <w:r w:rsidR="00ED49E8" w:rsidRPr="004A1CBF">
        <w:rPr>
          <w:rFonts w:ascii="Calibri" w:hAnsi="Calibri" w:cs="Calibri"/>
        </w:rPr>
        <w:t xml:space="preserve"> CPI Index, September 2021</w:t>
      </w:r>
    </w:p>
  </w:footnote>
  <w:footnote w:id="2">
    <w:p w14:paraId="391E9F06" w14:textId="41844D52" w:rsidR="00606968" w:rsidRDefault="00606968" w:rsidP="00606968">
      <w:pPr>
        <w:pStyle w:val="FootnoteText"/>
      </w:pPr>
    </w:p>
  </w:footnote>
  <w:footnote w:id="3">
    <w:p w14:paraId="66C7795A" w14:textId="28FB5005" w:rsidR="00606968" w:rsidRPr="004A1CBF" w:rsidRDefault="00606968" w:rsidP="00606968">
      <w:pPr>
        <w:pStyle w:val="FootnoteText"/>
        <w:rPr>
          <w:rFonts w:ascii="Calibri" w:hAnsi="Calibri" w:cs="Calibri"/>
        </w:rPr>
      </w:pPr>
    </w:p>
  </w:footnote>
  <w:footnote w:id="4">
    <w:p w14:paraId="0D87592D"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3" w:history="1">
        <w:r w:rsidRPr="00C504B0">
          <w:rPr>
            <w:rStyle w:val="Hyperlink"/>
            <w:rFonts w:ascii="Calibri" w:hAnsi="Calibri" w:cs="Calibri"/>
          </w:rPr>
          <w:t>https://www.msd.govt.nz/about-msd-and-our-work/publications-resources/statistics/housing/index.html</w:t>
        </w:r>
      </w:hyperlink>
      <w:r w:rsidRPr="00C504B0">
        <w:rPr>
          <w:rFonts w:ascii="Calibri" w:hAnsi="Calibri" w:cs="Calibri"/>
        </w:rPr>
        <w:t xml:space="preserve"> </w:t>
      </w:r>
    </w:p>
  </w:footnote>
  <w:footnote w:id="5">
    <w:p w14:paraId="1C74C0E8" w14:textId="77777777" w:rsidR="00606968" w:rsidRDefault="00606968" w:rsidP="00606968">
      <w:pPr>
        <w:pStyle w:val="FootnoteText"/>
      </w:pPr>
      <w:r w:rsidRPr="00C504B0">
        <w:rPr>
          <w:rStyle w:val="FootnoteReference"/>
          <w:rFonts w:ascii="Calibri" w:hAnsi="Calibri" w:cs="Calibri"/>
        </w:rPr>
        <w:footnoteRef/>
      </w:r>
      <w:r w:rsidRPr="00C504B0">
        <w:rPr>
          <w:rFonts w:ascii="Calibri" w:hAnsi="Calibri" w:cs="Calibri"/>
        </w:rPr>
        <w:t xml:space="preserve"> </w:t>
      </w:r>
      <w:hyperlink r:id="rId4" w:history="1">
        <w:r w:rsidRPr="00C504B0">
          <w:rPr>
            <w:rStyle w:val="Hyperlink"/>
            <w:rFonts w:ascii="Calibri" w:hAnsi="Calibri" w:cs="Calibri"/>
          </w:rPr>
          <w:t>http://infoshare.stats.govt.nz/ViewTable.aspx?pxID=9a78ac3c-8f3d-4f30-8653-467e4f93b309</w:t>
        </w:r>
      </w:hyperlink>
      <w:r>
        <w:t xml:space="preserve"> </w:t>
      </w:r>
    </w:p>
  </w:footnote>
  <w:footnote w:id="6">
    <w:p w14:paraId="4619488A"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Labour Cost Index, Sep 2021</w:t>
      </w:r>
    </w:p>
  </w:footnote>
  <w:footnote w:id="7">
    <w:p w14:paraId="5300C22E" w14:textId="77777777" w:rsidR="00606968" w:rsidRDefault="00606968" w:rsidP="00606968">
      <w:pPr>
        <w:pStyle w:val="FootnoteText"/>
      </w:pPr>
      <w:r w:rsidRPr="00C504B0">
        <w:rPr>
          <w:rStyle w:val="FootnoteReference"/>
          <w:rFonts w:ascii="Calibri" w:hAnsi="Calibri" w:cs="Calibri"/>
        </w:rPr>
        <w:footnoteRef/>
      </w:r>
      <w:r w:rsidRPr="00C504B0">
        <w:rPr>
          <w:rFonts w:ascii="Calibri" w:hAnsi="Calibri" w:cs="Calibri"/>
        </w:rPr>
        <w:t xml:space="preserve"> Labour Cost Index, Sep 2021</w:t>
      </w:r>
    </w:p>
  </w:footnote>
  <w:footnote w:id="8">
    <w:p w14:paraId="5F2635B3"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5" w:anchor="jobs-online-monthly-data-release" w:history="1">
        <w:r w:rsidRPr="00C504B0">
          <w:rPr>
            <w:rStyle w:val="Hyperlink"/>
            <w:rFonts w:ascii="Calibri" w:hAnsi="Calibri" w:cs="Calibri"/>
          </w:rPr>
          <w:t>https://www.mbie.govt.nz/business-and-employment/employment-and-skills/labour-market-reports-data-and-analysis/jobs-online/#jobs-online-monthly-data-release</w:t>
        </w:r>
      </w:hyperlink>
      <w:r w:rsidRPr="00C504B0">
        <w:rPr>
          <w:rFonts w:ascii="Calibri" w:hAnsi="Calibri" w:cs="Calibri"/>
        </w:rPr>
        <w:t xml:space="preserve"> </w:t>
      </w:r>
    </w:p>
  </w:footnote>
  <w:footnote w:id="9">
    <w:p w14:paraId="57E70FCF"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6" w:history="1">
        <w:r w:rsidRPr="00C504B0">
          <w:rPr>
            <w:rStyle w:val="Hyperlink"/>
            <w:rFonts w:ascii="Calibri" w:hAnsi="Calibri" w:cs="Calibri"/>
          </w:rPr>
          <w:t>https://www.rnz.co.nz/news/business/452984/small-businesses-coping-with-minimum-wage-increase-study-finds</w:t>
        </w:r>
      </w:hyperlink>
      <w:r w:rsidRPr="00C504B0">
        <w:rPr>
          <w:rFonts w:ascii="Calibri" w:hAnsi="Calibri" w:cs="Calibri"/>
        </w:rPr>
        <w:t xml:space="preserve"> </w:t>
      </w:r>
    </w:p>
  </w:footnote>
  <w:footnote w:id="10">
    <w:p w14:paraId="565654BC"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7" w:history="1">
        <w:r w:rsidRPr="00C504B0">
          <w:rPr>
            <w:rStyle w:val="Hyperlink"/>
            <w:rFonts w:ascii="Calibri" w:hAnsi="Calibri" w:cs="Calibri"/>
          </w:rPr>
          <w:t>https://nzier.org.nz/static/media/filer_public/97/a8/97a837ea-ecb8-4c94-8777-1181b5da8402/nzier_insight_96_-_minimum_wage.pdf</w:t>
        </w:r>
      </w:hyperlink>
      <w:r w:rsidRPr="00C504B0">
        <w:rPr>
          <w:rFonts w:ascii="Calibri" w:hAnsi="Calibri" w:cs="Calibri"/>
        </w:rPr>
        <w:t xml:space="preserve"> </w:t>
      </w:r>
    </w:p>
  </w:footnote>
  <w:footnote w:id="11">
    <w:p w14:paraId="48FD96A6"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8" w:history="1">
        <w:r w:rsidRPr="00C504B0">
          <w:rPr>
            <w:rStyle w:val="Hyperlink"/>
            <w:rFonts w:ascii="Calibri" w:hAnsi="Calibri" w:cs="Calibri"/>
          </w:rPr>
          <w:t>http://motu-www.motu.org.nz/wpapers/21_03.pdf</w:t>
        </w:r>
      </w:hyperlink>
      <w:r w:rsidRPr="00C504B0">
        <w:rPr>
          <w:rFonts w:ascii="Calibri" w:hAnsi="Calibri" w:cs="Calibri"/>
        </w:rPr>
        <w:t xml:space="preserve"> </w:t>
      </w:r>
    </w:p>
  </w:footnote>
  <w:footnote w:id="12">
    <w:p w14:paraId="43893CCA" w14:textId="77777777" w:rsidR="00606968" w:rsidRPr="00C504B0" w:rsidRDefault="00606968" w:rsidP="00606968">
      <w:pPr>
        <w:pStyle w:val="FootnoteText"/>
        <w:rPr>
          <w:rFonts w:ascii="Calibri" w:hAnsi="Calibri" w:cs="Calibri"/>
        </w:rPr>
      </w:pPr>
      <w:r w:rsidRPr="00C504B0">
        <w:rPr>
          <w:rStyle w:val="FootnoteReference"/>
          <w:rFonts w:ascii="Calibri" w:hAnsi="Calibri" w:cs="Calibri"/>
        </w:rPr>
        <w:footnoteRef/>
      </w:r>
      <w:r w:rsidRPr="00C504B0">
        <w:rPr>
          <w:rFonts w:ascii="Calibri" w:hAnsi="Calibri" w:cs="Calibri"/>
        </w:rPr>
        <w:t xml:space="preserve"> </w:t>
      </w:r>
      <w:hyperlink r:id="rId9" w:history="1">
        <w:r w:rsidRPr="00C504B0">
          <w:rPr>
            <w:rStyle w:val="Hyperlink"/>
            <w:rFonts w:ascii="Calibri" w:hAnsi="Calibri" w:cs="Calibri"/>
          </w:rPr>
          <w:t>https://www.nobelprize.org/prizes/economic-sciences/2021/press-release/</w:t>
        </w:r>
      </w:hyperlink>
      <w:r w:rsidRPr="00C504B0">
        <w:rPr>
          <w:rFonts w:ascii="Calibri" w:hAnsi="Calibri" w:cs="Calibri"/>
        </w:rPr>
        <w:t xml:space="preserve"> </w:t>
      </w:r>
    </w:p>
  </w:footnote>
  <w:footnote w:id="13">
    <w:p w14:paraId="02EDED19" w14:textId="77777777" w:rsidR="00606968" w:rsidRDefault="00606968" w:rsidP="00606968">
      <w:pPr>
        <w:pStyle w:val="FootnoteText"/>
      </w:pPr>
      <w:r w:rsidRPr="00C504B0">
        <w:rPr>
          <w:rStyle w:val="FootnoteReference"/>
          <w:rFonts w:ascii="Calibri" w:hAnsi="Calibri" w:cs="Calibri"/>
        </w:rPr>
        <w:footnoteRef/>
      </w:r>
      <w:r w:rsidRPr="00C504B0">
        <w:rPr>
          <w:rFonts w:ascii="Calibri" w:hAnsi="Calibri" w:cs="Calibri"/>
        </w:rPr>
        <w:t xml:space="preserve"> </w:t>
      </w:r>
      <w:hyperlink r:id="rId10" w:history="1">
        <w:r w:rsidRPr="00C504B0">
          <w:rPr>
            <w:rStyle w:val="Hyperlink"/>
            <w:rFonts w:ascii="Calibri" w:hAnsi="Calibri" w:cs="Calibri"/>
          </w:rPr>
          <w:t>https://davidcard.berkeley.edu/papers/njmin-aer.pdf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D28A" w14:textId="60D563A9" w:rsidR="00CD3670" w:rsidRDefault="00CD3670" w:rsidP="00CD3670">
    <w:pPr>
      <w:pStyle w:val="Header"/>
      <w:tabs>
        <w:tab w:val="clear" w:pos="4513"/>
        <w:tab w:val="clear" w:pos="9026"/>
        <w:tab w:val="left" w:pos="735"/>
      </w:tabs>
    </w:pPr>
    <w:r>
      <w:rPr>
        <w:noProof/>
      </w:rPr>
      <w:drawing>
        <wp:anchor distT="0" distB="0" distL="114300" distR="114300" simplePos="0" relativeHeight="251666432" behindDoc="1" locked="0" layoutInCell="1" allowOverlap="1" wp14:anchorId="2FE35EAC" wp14:editId="755D3491">
          <wp:simplePos x="0" y="0"/>
          <wp:positionH relativeFrom="page">
            <wp:posOffset>5191125</wp:posOffset>
          </wp:positionH>
          <wp:positionV relativeFrom="page">
            <wp:posOffset>152400</wp:posOffset>
          </wp:positionV>
          <wp:extent cx="2520000" cy="10692000"/>
          <wp:effectExtent l="0" t="0" r="0" b="0"/>
          <wp:wrapNone/>
          <wp:docPr id="16" name="Picture 1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52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5EC2AF98" wp14:editId="7E8A3434">
          <wp:simplePos x="0" y="0"/>
          <wp:positionH relativeFrom="page">
            <wp:posOffset>5038725</wp:posOffset>
          </wp:positionH>
          <wp:positionV relativeFrom="page">
            <wp:posOffset>0</wp:posOffset>
          </wp:positionV>
          <wp:extent cx="2520000" cy="10692000"/>
          <wp:effectExtent l="0" t="0" r="0" b="0"/>
          <wp:wrapNone/>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52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9D2" w14:textId="162F47DF" w:rsidR="005635C3" w:rsidRDefault="005635C3" w:rsidP="005635C3">
    <w:pPr>
      <w:pStyle w:val="Header"/>
    </w:pPr>
    <w:r>
      <w:rPr>
        <w:noProof/>
      </w:rPr>
      <w:drawing>
        <wp:anchor distT="0" distB="0" distL="114300" distR="114300" simplePos="0" relativeHeight="251651072" behindDoc="1" locked="0" layoutInCell="1" allowOverlap="1" wp14:anchorId="2F00CFBC" wp14:editId="4D2E2C8C">
          <wp:simplePos x="0" y="0"/>
          <wp:positionH relativeFrom="page">
            <wp:align>right</wp:align>
          </wp:positionH>
          <wp:positionV relativeFrom="page">
            <wp:align>top</wp:align>
          </wp:positionV>
          <wp:extent cx="2520000" cy="10692000"/>
          <wp:effectExtent l="0" t="0" r="0" b="0"/>
          <wp:wrapNone/>
          <wp:docPr id="18" name="Picture 1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5200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F6FDB1C" wp14:editId="0135C2BA">
          <wp:simplePos x="0" y="0"/>
          <wp:positionH relativeFrom="column">
            <wp:posOffset>3821430</wp:posOffset>
          </wp:positionH>
          <wp:positionV relativeFrom="page">
            <wp:posOffset>539115</wp:posOffset>
          </wp:positionV>
          <wp:extent cx="2375535" cy="717550"/>
          <wp:effectExtent l="0" t="0" r="5715"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375535" cy="717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E5A0A"/>
    <w:multiLevelType w:val="hybridMultilevel"/>
    <w:tmpl w:val="5374018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D5F27B5"/>
    <w:multiLevelType w:val="hybridMultilevel"/>
    <w:tmpl w:val="80F6BE84"/>
    <w:lvl w:ilvl="0" w:tplc="14090011">
      <w:start w:val="1"/>
      <w:numFmt w:val="decimal"/>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8E"/>
    <w:rsid w:val="00011CCA"/>
    <w:rsid w:val="000351F4"/>
    <w:rsid w:val="000B64E4"/>
    <w:rsid w:val="000C46EF"/>
    <w:rsid w:val="001A459F"/>
    <w:rsid w:val="001E56FF"/>
    <w:rsid w:val="00202104"/>
    <w:rsid w:val="00207C1B"/>
    <w:rsid w:val="00221203"/>
    <w:rsid w:val="00230B37"/>
    <w:rsid w:val="00235C36"/>
    <w:rsid w:val="00293DD2"/>
    <w:rsid w:val="002B3DB6"/>
    <w:rsid w:val="002E6EE0"/>
    <w:rsid w:val="0039220F"/>
    <w:rsid w:val="003E359E"/>
    <w:rsid w:val="0042748F"/>
    <w:rsid w:val="00427800"/>
    <w:rsid w:val="004423B7"/>
    <w:rsid w:val="004878E4"/>
    <w:rsid w:val="004A1CBF"/>
    <w:rsid w:val="005472A2"/>
    <w:rsid w:val="005635C3"/>
    <w:rsid w:val="005F3F3A"/>
    <w:rsid w:val="00606968"/>
    <w:rsid w:val="0066280A"/>
    <w:rsid w:val="0073012F"/>
    <w:rsid w:val="00750C33"/>
    <w:rsid w:val="00810A9F"/>
    <w:rsid w:val="00861564"/>
    <w:rsid w:val="00864994"/>
    <w:rsid w:val="00906BFF"/>
    <w:rsid w:val="00981CB6"/>
    <w:rsid w:val="009A73F0"/>
    <w:rsid w:val="009B39D1"/>
    <w:rsid w:val="009D0CD6"/>
    <w:rsid w:val="00A11271"/>
    <w:rsid w:val="00A12D8E"/>
    <w:rsid w:val="00A73A7D"/>
    <w:rsid w:val="00B74046"/>
    <w:rsid w:val="00C504B0"/>
    <w:rsid w:val="00CA320E"/>
    <w:rsid w:val="00CD3670"/>
    <w:rsid w:val="00CE1C66"/>
    <w:rsid w:val="00CE214E"/>
    <w:rsid w:val="00D9351A"/>
    <w:rsid w:val="00E55ADE"/>
    <w:rsid w:val="00E877AA"/>
    <w:rsid w:val="00EC7009"/>
    <w:rsid w:val="00ED49E8"/>
    <w:rsid w:val="00F53584"/>
    <w:rsid w:val="00FA3D52"/>
    <w:rsid w:val="00FE1B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95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E4"/>
  </w:style>
  <w:style w:type="paragraph" w:styleId="Heading1">
    <w:name w:val="heading 1"/>
    <w:basedOn w:val="Normal"/>
    <w:next w:val="Normal"/>
    <w:link w:val="Heading1Char"/>
    <w:uiPriority w:val="9"/>
    <w:qFormat/>
    <w:rsid w:val="005635C3"/>
    <w:pPr>
      <w:spacing w:before="360" w:after="120"/>
      <w:outlineLvl w:val="0"/>
    </w:pPr>
    <w:rPr>
      <w:b/>
      <w:bCs/>
      <w:color w:val="CC1C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635C3"/>
    <w:pPr>
      <w:tabs>
        <w:tab w:val="center" w:pos="4513"/>
        <w:tab w:val="right" w:pos="9026"/>
      </w:tabs>
      <w:spacing w:after="120" w:line="240" w:lineRule="auto"/>
    </w:pPr>
  </w:style>
  <w:style w:type="character" w:customStyle="1" w:styleId="HeaderChar">
    <w:name w:val="Header Char"/>
    <w:basedOn w:val="DefaultParagraphFont"/>
    <w:link w:val="Header"/>
    <w:uiPriority w:val="99"/>
    <w:semiHidden/>
    <w:rsid w:val="00A11271"/>
    <w:rPr>
      <w:spacing w:val="-2"/>
      <w:sz w:val="20"/>
      <w:szCs w:val="20"/>
    </w:rPr>
  </w:style>
  <w:style w:type="paragraph" w:styleId="Footer">
    <w:name w:val="footer"/>
    <w:basedOn w:val="Normal"/>
    <w:link w:val="FooterChar"/>
    <w:uiPriority w:val="99"/>
    <w:semiHidden/>
    <w:rsid w:val="005635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1271"/>
    <w:rPr>
      <w:spacing w:val="-2"/>
      <w:sz w:val="20"/>
      <w:szCs w:val="20"/>
    </w:rPr>
  </w:style>
  <w:style w:type="paragraph" w:customStyle="1" w:styleId="AddressBlock">
    <w:name w:val="Address Block"/>
    <w:basedOn w:val="Normal"/>
    <w:uiPriority w:val="99"/>
    <w:qFormat/>
    <w:rsid w:val="005635C3"/>
    <w:pPr>
      <w:spacing w:after="540"/>
      <w:contextualSpacing/>
    </w:pPr>
  </w:style>
  <w:style w:type="paragraph" w:styleId="Date">
    <w:name w:val="Date"/>
    <w:basedOn w:val="Normal"/>
    <w:next w:val="Normal"/>
    <w:link w:val="DateChar"/>
    <w:uiPriority w:val="99"/>
    <w:rsid w:val="005635C3"/>
    <w:pPr>
      <w:spacing w:before="540" w:after="200"/>
    </w:pPr>
  </w:style>
  <w:style w:type="character" w:customStyle="1" w:styleId="DateChar">
    <w:name w:val="Date Char"/>
    <w:basedOn w:val="DefaultParagraphFont"/>
    <w:link w:val="Date"/>
    <w:uiPriority w:val="99"/>
    <w:rsid w:val="005635C3"/>
    <w:rPr>
      <w:spacing w:val="-2"/>
      <w:sz w:val="20"/>
      <w:szCs w:val="20"/>
    </w:rPr>
  </w:style>
  <w:style w:type="character" w:customStyle="1" w:styleId="Heading1Char">
    <w:name w:val="Heading 1 Char"/>
    <w:basedOn w:val="DefaultParagraphFont"/>
    <w:link w:val="Heading1"/>
    <w:uiPriority w:val="9"/>
    <w:rsid w:val="005635C3"/>
    <w:rPr>
      <w:b/>
      <w:bCs/>
      <w:color w:val="CC1C23"/>
      <w:spacing w:val="-2"/>
      <w:sz w:val="20"/>
      <w:szCs w:val="20"/>
    </w:rPr>
  </w:style>
  <w:style w:type="paragraph" w:customStyle="1" w:styleId="SignOff">
    <w:name w:val="Sign Off"/>
    <w:basedOn w:val="Normal"/>
    <w:next w:val="Normal"/>
    <w:uiPriority w:val="99"/>
    <w:qFormat/>
    <w:rsid w:val="005635C3"/>
    <w:pPr>
      <w:spacing w:before="360"/>
    </w:pPr>
  </w:style>
  <w:style w:type="paragraph" w:customStyle="1" w:styleId="SignOffNameTitle">
    <w:name w:val="Sign Off Name/Title"/>
    <w:basedOn w:val="Normal"/>
    <w:uiPriority w:val="99"/>
    <w:qFormat/>
    <w:rsid w:val="00A11271"/>
    <w:pPr>
      <w:contextualSpacing/>
    </w:pPr>
  </w:style>
  <w:style w:type="paragraph" w:styleId="ListParagraph">
    <w:name w:val="List Paragraph"/>
    <w:basedOn w:val="Normal"/>
    <w:link w:val="ListParagraphChar"/>
    <w:uiPriority w:val="34"/>
    <w:qFormat/>
    <w:rsid w:val="00230B37"/>
    <w:pPr>
      <w:ind w:left="720"/>
      <w:contextualSpacing/>
    </w:pPr>
  </w:style>
  <w:style w:type="paragraph" w:styleId="FootnoteText">
    <w:name w:val="footnote text"/>
    <w:basedOn w:val="Normal"/>
    <w:link w:val="FootnoteTextChar"/>
    <w:uiPriority w:val="99"/>
    <w:semiHidden/>
    <w:unhideWhenUsed/>
    <w:rsid w:val="00230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B37"/>
    <w:rPr>
      <w:sz w:val="20"/>
      <w:szCs w:val="20"/>
    </w:rPr>
  </w:style>
  <w:style w:type="character" w:styleId="FootnoteReference">
    <w:name w:val="footnote reference"/>
    <w:basedOn w:val="DefaultParagraphFont"/>
    <w:uiPriority w:val="99"/>
    <w:semiHidden/>
    <w:unhideWhenUsed/>
    <w:rsid w:val="00230B37"/>
    <w:rPr>
      <w:vertAlign w:val="superscript"/>
    </w:rPr>
  </w:style>
  <w:style w:type="character" w:customStyle="1" w:styleId="ListParagraphChar">
    <w:name w:val="List Paragraph Char"/>
    <w:link w:val="ListParagraph"/>
    <w:uiPriority w:val="34"/>
    <w:rsid w:val="00230B37"/>
  </w:style>
  <w:style w:type="character" w:styleId="Hyperlink">
    <w:name w:val="Hyperlink"/>
    <w:basedOn w:val="DefaultParagraphFont"/>
    <w:uiPriority w:val="99"/>
    <w:unhideWhenUsed/>
    <w:rsid w:val="00230B37"/>
    <w:rPr>
      <w:color w:val="0563C1" w:themeColor="hyperlink"/>
      <w:u w:val="single"/>
    </w:rPr>
  </w:style>
  <w:style w:type="character" w:styleId="UnresolvedMention">
    <w:name w:val="Unresolved Mention"/>
    <w:basedOn w:val="DefaultParagraphFont"/>
    <w:uiPriority w:val="99"/>
    <w:semiHidden/>
    <w:unhideWhenUsed/>
    <w:rsid w:val="005F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motu-www.motu.org.nz/wpapers/21_03.pdf" TargetMode="External"/><Relationship Id="rId3" Type="http://schemas.openxmlformats.org/officeDocument/2006/relationships/hyperlink" Target="https://www.msd.govt.nz/about-msd-and-our-work/publications-resources/statistics/housing/index.html" TargetMode="External"/><Relationship Id="rId7" Type="http://schemas.openxmlformats.org/officeDocument/2006/relationships/hyperlink" Target="https://nzier.org.nz/static/media/filer_public/97/a8/97a837ea-ecb8-4c94-8777-1181b5da8402/nzier_insight_96_-_minimum_wage.pdf" TargetMode="External"/><Relationship Id="rId2" Type="http://schemas.openxmlformats.org/officeDocument/2006/relationships/hyperlink" Target="http://motu-www.motu.org.nz/wpapers/21_03.pdf" TargetMode="External"/><Relationship Id="rId1" Type="http://schemas.openxmlformats.org/officeDocument/2006/relationships/hyperlink" Target="https://nzier.org.nz/static/media/filer_public/97/a8/97a837ea-ecb8-4c94-8777-1181b5da8402/nzier_insight_96_-_minimum_wage.pdf" TargetMode="External"/><Relationship Id="rId6" Type="http://schemas.openxmlformats.org/officeDocument/2006/relationships/hyperlink" Target="https://www.rnz.co.nz/news/business/452984/small-businesses-coping-with-minimum-wage-increase-study-finds" TargetMode="External"/><Relationship Id="rId5" Type="http://schemas.openxmlformats.org/officeDocument/2006/relationships/hyperlink" Target="https://www.mbie.govt.nz/business-and-employment/employment-and-skills/labour-market-reports-data-and-analysis/jobs-online/" TargetMode="External"/><Relationship Id="rId10" Type="http://schemas.openxmlformats.org/officeDocument/2006/relationships/hyperlink" Target="https://davidcard.berkeley.edu/papers/njmin-aer.pdf" TargetMode="External"/><Relationship Id="rId4" Type="http://schemas.openxmlformats.org/officeDocument/2006/relationships/hyperlink" Target="http://infoshare.stats.govt.nz/ViewTable.aspx?pxID=9a78ac3c-8f3d-4f30-8653-467e4f93b309" TargetMode="External"/><Relationship Id="rId9" Type="http://schemas.openxmlformats.org/officeDocument/2006/relationships/hyperlink" Target="https://www.nobelprize.org/prizes/economic-sciences/2021/pres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ve.NZCTU\NZCTU\Central%20Drive%20-%20Documents\Logos%20CTU%20Logos%20(also%20CD)\CTU%20logo%202021\NZCTU%20Letterhead.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aigRenney\Downloads\Household-living-costs-price-indexes-September-2021-quar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raigRenney\Downloads\LCI478401_20211104_124408_78.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raigRenney\Downloads\QEM556701_20211104_124831_98.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raigRenney\Downloads\HLF002101_20211104_125357_9.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Sheet1!$E$3:$E$4</c:f>
              <c:strCache>
                <c:ptCount val="2"/>
                <c:pt idx="0">
                  <c:v>CPI inflation</c:v>
                </c:pt>
                <c:pt idx="1">
                  <c:v>Percentage change</c:v>
                </c:pt>
              </c:strCache>
            </c:strRef>
          </c:tx>
          <c:spPr>
            <a:ln w="28575" cap="rnd">
              <a:solidFill>
                <a:schemeClr val="dk1">
                  <a:tint val="88500"/>
                </a:schemeClr>
              </a:solidFill>
              <a:round/>
            </a:ln>
            <a:effectLst/>
          </c:spPr>
          <c:marker>
            <c:symbol val="none"/>
          </c:marker>
          <c:cat>
            <c:numRef>
              <c:f>Sheet1!$D$5:$D$21</c:f>
              <c:numCache>
                <c:formatCode>mmm\-yy</c:formatCode>
                <c:ptCount val="17"/>
                <c:pt idx="0">
                  <c:v>42979</c:v>
                </c:pt>
                <c:pt idx="1">
                  <c:v>43070</c:v>
                </c:pt>
                <c:pt idx="2">
                  <c:v>43160</c:v>
                </c:pt>
                <c:pt idx="3">
                  <c:v>43252</c:v>
                </c:pt>
                <c:pt idx="4">
                  <c:v>43344</c:v>
                </c:pt>
                <c:pt idx="5">
                  <c:v>43435</c:v>
                </c:pt>
                <c:pt idx="6">
                  <c:v>43525</c:v>
                </c:pt>
                <c:pt idx="7">
                  <c:v>43617</c:v>
                </c:pt>
                <c:pt idx="8">
                  <c:v>43709</c:v>
                </c:pt>
                <c:pt idx="9">
                  <c:v>43800</c:v>
                </c:pt>
                <c:pt idx="10">
                  <c:v>43891</c:v>
                </c:pt>
                <c:pt idx="11">
                  <c:v>43983</c:v>
                </c:pt>
                <c:pt idx="12">
                  <c:v>44075</c:v>
                </c:pt>
                <c:pt idx="13">
                  <c:v>44166</c:v>
                </c:pt>
                <c:pt idx="14">
                  <c:v>44256</c:v>
                </c:pt>
                <c:pt idx="15">
                  <c:v>44348</c:v>
                </c:pt>
                <c:pt idx="16">
                  <c:v>44440</c:v>
                </c:pt>
              </c:numCache>
            </c:numRef>
          </c:cat>
          <c:val>
            <c:numRef>
              <c:f>Sheet1!$E$5:$E$21</c:f>
              <c:numCache>
                <c:formatCode>General</c:formatCode>
                <c:ptCount val="17"/>
                <c:pt idx="0">
                  <c:v>1.9</c:v>
                </c:pt>
                <c:pt idx="1">
                  <c:v>1.6</c:v>
                </c:pt>
                <c:pt idx="2">
                  <c:v>1.1000000000000001</c:v>
                </c:pt>
                <c:pt idx="3">
                  <c:v>1.5</c:v>
                </c:pt>
                <c:pt idx="4">
                  <c:v>1.9</c:v>
                </c:pt>
                <c:pt idx="5">
                  <c:v>1.9</c:v>
                </c:pt>
                <c:pt idx="6">
                  <c:v>1.5</c:v>
                </c:pt>
                <c:pt idx="7">
                  <c:v>1.7</c:v>
                </c:pt>
                <c:pt idx="8">
                  <c:v>1.5</c:v>
                </c:pt>
                <c:pt idx="9">
                  <c:v>1.9</c:v>
                </c:pt>
                <c:pt idx="10">
                  <c:v>2.5</c:v>
                </c:pt>
                <c:pt idx="11">
                  <c:v>1.5</c:v>
                </c:pt>
                <c:pt idx="12">
                  <c:v>1.4</c:v>
                </c:pt>
                <c:pt idx="13">
                  <c:v>1.4</c:v>
                </c:pt>
                <c:pt idx="14">
                  <c:v>1.5</c:v>
                </c:pt>
                <c:pt idx="15">
                  <c:v>3.3</c:v>
                </c:pt>
                <c:pt idx="16">
                  <c:v>4.9000000000000004</c:v>
                </c:pt>
              </c:numCache>
            </c:numRef>
          </c:val>
          <c:smooth val="0"/>
          <c:extLst>
            <c:ext xmlns:c16="http://schemas.microsoft.com/office/drawing/2014/chart" uri="{C3380CC4-5D6E-409C-BE32-E72D297353CC}">
              <c16:uniqueId val="{00000000-A789-4260-B333-97DF99C497C4}"/>
            </c:ext>
          </c:extLst>
        </c:ser>
        <c:dLbls>
          <c:showLegendKey val="0"/>
          <c:showVal val="0"/>
          <c:showCatName val="0"/>
          <c:showSerName val="0"/>
          <c:showPercent val="0"/>
          <c:showBubbleSize val="0"/>
        </c:dLbls>
        <c:smooth val="0"/>
        <c:axId val="20515935"/>
        <c:axId val="20532159"/>
      </c:lineChart>
      <c:dateAx>
        <c:axId val="20515935"/>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2159"/>
        <c:crosses val="autoZero"/>
        <c:auto val="1"/>
        <c:lblOffset val="100"/>
        <c:baseTimeUnit val="months"/>
      </c:dateAx>
      <c:valAx>
        <c:axId val="205321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15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'1.01'!$T$11</c:f>
              <c:strCache>
                <c:ptCount val="1"/>
                <c:pt idx="0">
                  <c:v>Income Quintile 1 (low)</c:v>
                </c:pt>
              </c:strCache>
            </c:strRef>
          </c:tx>
          <c:spPr>
            <a:ln w="28575" cap="rnd">
              <a:solidFill>
                <a:schemeClr val="dk1">
                  <a:tint val="88500"/>
                </a:schemeClr>
              </a:solidFill>
              <a:round/>
            </a:ln>
            <a:effectLst/>
          </c:spPr>
          <c:marker>
            <c:symbol val="none"/>
          </c:marker>
          <c:cat>
            <c:multiLvlStrRef>
              <c:f>'1.01'!$R$12:$S$52</c:f>
              <c:multiLvlStrCache>
                <c:ptCount val="4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pt idx="21">
                    <c:v>Dec</c:v>
                  </c:pt>
                  <c:pt idx="22">
                    <c:v>Mar</c:v>
                  </c:pt>
                  <c:pt idx="23">
                    <c:v>Jun</c:v>
                  </c:pt>
                  <c:pt idx="24">
                    <c:v>Sep</c:v>
                  </c:pt>
                  <c:pt idx="25">
                    <c:v>Dec</c:v>
                  </c:pt>
                  <c:pt idx="26">
                    <c:v>Mar</c:v>
                  </c:pt>
                  <c:pt idx="27">
                    <c:v>Jun</c:v>
                  </c:pt>
                  <c:pt idx="28">
                    <c:v>Sep</c:v>
                  </c:pt>
                  <c:pt idx="29">
                    <c:v>Dec</c:v>
                  </c:pt>
                  <c:pt idx="30">
                    <c:v>Mar</c:v>
                  </c:pt>
                  <c:pt idx="31">
                    <c:v>Jun</c:v>
                  </c:pt>
                  <c:pt idx="32">
                    <c:v>Sep</c:v>
                  </c:pt>
                  <c:pt idx="33">
                    <c:v>Dec</c:v>
                  </c:pt>
                  <c:pt idx="34">
                    <c:v>Mar</c:v>
                  </c:pt>
                  <c:pt idx="35">
                    <c:v>Jun</c:v>
                  </c:pt>
                  <c:pt idx="36">
                    <c:v>Sep</c:v>
                  </c:pt>
                  <c:pt idx="37">
                    <c:v>Dec</c:v>
                  </c:pt>
                  <c:pt idx="38">
                    <c:v>Mar</c:v>
                  </c:pt>
                  <c:pt idx="39">
                    <c:v>Jun</c:v>
                  </c:pt>
                  <c:pt idx="40">
                    <c:v>Sep</c:v>
                  </c:pt>
                </c:lvl>
                <c:lvl>
                  <c:pt idx="0">
                    <c:v>2011</c:v>
                  </c:pt>
                  <c:pt idx="2">
                    <c:v>2012</c:v>
                  </c:pt>
                  <c:pt idx="6">
                    <c:v>2013</c:v>
                  </c:pt>
                  <c:pt idx="10">
                    <c:v>2014</c:v>
                  </c:pt>
                  <c:pt idx="14">
                    <c:v>2015</c:v>
                  </c:pt>
                  <c:pt idx="18">
                    <c:v>2016</c:v>
                  </c:pt>
                  <c:pt idx="22">
                    <c:v>2017</c:v>
                  </c:pt>
                  <c:pt idx="26">
                    <c:v>2018</c:v>
                  </c:pt>
                  <c:pt idx="30">
                    <c:v>2019</c:v>
                  </c:pt>
                  <c:pt idx="34">
                    <c:v>2020</c:v>
                  </c:pt>
                  <c:pt idx="38">
                    <c:v>2021</c:v>
                  </c:pt>
                </c:lvl>
              </c:multiLvlStrCache>
            </c:multiLvlStrRef>
          </c:cat>
          <c:val>
            <c:numRef>
              <c:f>'1.01'!$T$12:$T$52</c:f>
              <c:numCache>
                <c:formatCode>General</c:formatCode>
                <c:ptCount val="41"/>
                <c:pt idx="0">
                  <c:v>100.00000000000001</c:v>
                </c:pt>
                <c:pt idx="1">
                  <c:v>99.580712788259973</c:v>
                </c:pt>
                <c:pt idx="2">
                  <c:v>100.52410901467506</c:v>
                </c:pt>
                <c:pt idx="3">
                  <c:v>100.73375262054508</c:v>
                </c:pt>
                <c:pt idx="4">
                  <c:v>101.36268343815514</c:v>
                </c:pt>
                <c:pt idx="5">
                  <c:v>101.25786163522014</c:v>
                </c:pt>
                <c:pt idx="6">
                  <c:v>102.20125786163523</c:v>
                </c:pt>
                <c:pt idx="7">
                  <c:v>102.41090146750525</c:v>
                </c:pt>
                <c:pt idx="8">
                  <c:v>103.56394129979037</c:v>
                </c:pt>
                <c:pt idx="9">
                  <c:v>103.66876310272538</c:v>
                </c:pt>
                <c:pt idx="10">
                  <c:v>104.40251572327045</c:v>
                </c:pt>
                <c:pt idx="11">
                  <c:v>104.8218029350105</c:v>
                </c:pt>
                <c:pt idx="12">
                  <c:v>105.24109014675054</c:v>
                </c:pt>
                <c:pt idx="13">
                  <c:v>105.03144654088051</c:v>
                </c:pt>
                <c:pt idx="14">
                  <c:v>105.34591194968554</c:v>
                </c:pt>
                <c:pt idx="15">
                  <c:v>105.76519916142558</c:v>
                </c:pt>
                <c:pt idx="16">
                  <c:v>105.76519916142558</c:v>
                </c:pt>
                <c:pt idx="17">
                  <c:v>105.13626834381553</c:v>
                </c:pt>
                <c:pt idx="18">
                  <c:v>105.55555555555557</c:v>
                </c:pt>
                <c:pt idx="19">
                  <c:v>105.97484276729561</c:v>
                </c:pt>
                <c:pt idx="20">
                  <c:v>106.28930817610063</c:v>
                </c:pt>
                <c:pt idx="21">
                  <c:v>106.49895178197066</c:v>
                </c:pt>
                <c:pt idx="22">
                  <c:v>107.75681341719078</c:v>
                </c:pt>
                <c:pt idx="23">
                  <c:v>107.96645702306081</c:v>
                </c:pt>
                <c:pt idx="24">
                  <c:v>108.70020964360587</c:v>
                </c:pt>
                <c:pt idx="25">
                  <c:v>108.80503144654089</c:v>
                </c:pt>
                <c:pt idx="26">
                  <c:v>109.53878406708597</c:v>
                </c:pt>
                <c:pt idx="27">
                  <c:v>109.95807127882601</c:v>
                </c:pt>
                <c:pt idx="28">
                  <c:v>111.00628930817611</c:v>
                </c:pt>
                <c:pt idx="29">
                  <c:v>111.00628930817611</c:v>
                </c:pt>
                <c:pt idx="30">
                  <c:v>111.32075471698114</c:v>
                </c:pt>
                <c:pt idx="31">
                  <c:v>112.05450733752622</c:v>
                </c:pt>
                <c:pt idx="32">
                  <c:v>112.99790356394131</c:v>
                </c:pt>
                <c:pt idx="33">
                  <c:v>113.41719077568135</c:v>
                </c:pt>
                <c:pt idx="34">
                  <c:v>114.36058700209645</c:v>
                </c:pt>
                <c:pt idx="35">
                  <c:v>113.83647798742139</c:v>
                </c:pt>
                <c:pt idx="36">
                  <c:v>114.36058700209645</c:v>
                </c:pt>
                <c:pt idx="37">
                  <c:v>114.46540880503146</c:v>
                </c:pt>
                <c:pt idx="38">
                  <c:v>115.51362683438157</c:v>
                </c:pt>
                <c:pt idx="39">
                  <c:v>116.66666666666667</c:v>
                </c:pt>
                <c:pt idx="40">
                  <c:v>118.8679245283019</c:v>
                </c:pt>
              </c:numCache>
            </c:numRef>
          </c:val>
          <c:smooth val="0"/>
          <c:extLst>
            <c:ext xmlns:c16="http://schemas.microsoft.com/office/drawing/2014/chart" uri="{C3380CC4-5D6E-409C-BE32-E72D297353CC}">
              <c16:uniqueId val="{00000000-1C15-4126-BAB4-DA6ECB4C8082}"/>
            </c:ext>
          </c:extLst>
        </c:ser>
        <c:ser>
          <c:idx val="1"/>
          <c:order val="1"/>
          <c:tx>
            <c:strRef>
              <c:f>'1.01'!$U$11</c:f>
              <c:strCache>
                <c:ptCount val="1"/>
                <c:pt idx="0">
                  <c:v>Income Quintile 5 (high)</c:v>
                </c:pt>
              </c:strCache>
            </c:strRef>
          </c:tx>
          <c:spPr>
            <a:ln w="28575" cap="rnd">
              <a:solidFill>
                <a:schemeClr val="dk1">
                  <a:tint val="55000"/>
                </a:schemeClr>
              </a:solidFill>
              <a:round/>
            </a:ln>
            <a:effectLst/>
          </c:spPr>
          <c:marker>
            <c:symbol val="none"/>
          </c:marker>
          <c:cat>
            <c:multiLvlStrRef>
              <c:f>'1.01'!$R$12:$S$52</c:f>
              <c:multiLvlStrCache>
                <c:ptCount val="4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pt idx="21">
                    <c:v>Dec</c:v>
                  </c:pt>
                  <c:pt idx="22">
                    <c:v>Mar</c:v>
                  </c:pt>
                  <c:pt idx="23">
                    <c:v>Jun</c:v>
                  </c:pt>
                  <c:pt idx="24">
                    <c:v>Sep</c:v>
                  </c:pt>
                  <c:pt idx="25">
                    <c:v>Dec</c:v>
                  </c:pt>
                  <c:pt idx="26">
                    <c:v>Mar</c:v>
                  </c:pt>
                  <c:pt idx="27">
                    <c:v>Jun</c:v>
                  </c:pt>
                  <c:pt idx="28">
                    <c:v>Sep</c:v>
                  </c:pt>
                  <c:pt idx="29">
                    <c:v>Dec</c:v>
                  </c:pt>
                  <c:pt idx="30">
                    <c:v>Mar</c:v>
                  </c:pt>
                  <c:pt idx="31">
                    <c:v>Jun</c:v>
                  </c:pt>
                  <c:pt idx="32">
                    <c:v>Sep</c:v>
                  </c:pt>
                  <c:pt idx="33">
                    <c:v>Dec</c:v>
                  </c:pt>
                  <c:pt idx="34">
                    <c:v>Mar</c:v>
                  </c:pt>
                  <c:pt idx="35">
                    <c:v>Jun</c:v>
                  </c:pt>
                  <c:pt idx="36">
                    <c:v>Sep</c:v>
                  </c:pt>
                  <c:pt idx="37">
                    <c:v>Dec</c:v>
                  </c:pt>
                  <c:pt idx="38">
                    <c:v>Mar</c:v>
                  </c:pt>
                  <c:pt idx="39">
                    <c:v>Jun</c:v>
                  </c:pt>
                  <c:pt idx="40">
                    <c:v>Sep</c:v>
                  </c:pt>
                </c:lvl>
                <c:lvl>
                  <c:pt idx="0">
                    <c:v>2011</c:v>
                  </c:pt>
                  <c:pt idx="2">
                    <c:v>2012</c:v>
                  </c:pt>
                  <c:pt idx="6">
                    <c:v>2013</c:v>
                  </c:pt>
                  <c:pt idx="10">
                    <c:v>2014</c:v>
                  </c:pt>
                  <c:pt idx="14">
                    <c:v>2015</c:v>
                  </c:pt>
                  <c:pt idx="18">
                    <c:v>2016</c:v>
                  </c:pt>
                  <c:pt idx="22">
                    <c:v>2017</c:v>
                  </c:pt>
                  <c:pt idx="26">
                    <c:v>2018</c:v>
                  </c:pt>
                  <c:pt idx="30">
                    <c:v>2019</c:v>
                  </c:pt>
                  <c:pt idx="34">
                    <c:v>2020</c:v>
                  </c:pt>
                  <c:pt idx="38">
                    <c:v>2021</c:v>
                  </c:pt>
                </c:lvl>
              </c:multiLvlStrCache>
            </c:multiLvlStrRef>
          </c:cat>
          <c:val>
            <c:numRef>
              <c:f>'1.01'!$U$12:$U$52</c:f>
              <c:numCache>
                <c:formatCode>General</c:formatCode>
                <c:ptCount val="41"/>
                <c:pt idx="0">
                  <c:v>100</c:v>
                </c:pt>
                <c:pt idx="1">
                  <c:v>99.692937563971341</c:v>
                </c:pt>
                <c:pt idx="2">
                  <c:v>99.897645854657114</c:v>
                </c:pt>
                <c:pt idx="3">
                  <c:v>100.10235414534289</c:v>
                </c:pt>
                <c:pt idx="4">
                  <c:v>100.40941658137154</c:v>
                </c:pt>
                <c:pt idx="5">
                  <c:v>100.30706243602866</c:v>
                </c:pt>
                <c:pt idx="6">
                  <c:v>100.30706243602866</c:v>
                </c:pt>
                <c:pt idx="7">
                  <c:v>100.51177072671443</c:v>
                </c:pt>
                <c:pt idx="8">
                  <c:v>101.63766632548618</c:v>
                </c:pt>
                <c:pt idx="9">
                  <c:v>101.94472876151485</c:v>
                </c:pt>
                <c:pt idx="10">
                  <c:v>102.14943705220062</c:v>
                </c:pt>
                <c:pt idx="11">
                  <c:v>102.3541453428864</c:v>
                </c:pt>
                <c:pt idx="12">
                  <c:v>103.0706243602866</c:v>
                </c:pt>
                <c:pt idx="13">
                  <c:v>103.0706243602866</c:v>
                </c:pt>
                <c:pt idx="14">
                  <c:v>102.76356192425794</c:v>
                </c:pt>
                <c:pt idx="15">
                  <c:v>103.37768679631526</c:v>
                </c:pt>
                <c:pt idx="16">
                  <c:v>103.99181166837258</c:v>
                </c:pt>
                <c:pt idx="17">
                  <c:v>103.58239508700103</c:v>
                </c:pt>
                <c:pt idx="18">
                  <c:v>103.0706243602866</c:v>
                </c:pt>
                <c:pt idx="19">
                  <c:v>103.37768679631526</c:v>
                </c:pt>
                <c:pt idx="20">
                  <c:v>103.7871033776868</c:v>
                </c:pt>
                <c:pt idx="21">
                  <c:v>104.29887410440124</c:v>
                </c:pt>
                <c:pt idx="22">
                  <c:v>104.91299897645855</c:v>
                </c:pt>
                <c:pt idx="23">
                  <c:v>104.81064483111567</c:v>
                </c:pt>
                <c:pt idx="24">
                  <c:v>105.42476970317298</c:v>
                </c:pt>
                <c:pt idx="25">
                  <c:v>105.62947799385876</c:v>
                </c:pt>
                <c:pt idx="26">
                  <c:v>106.44831115660185</c:v>
                </c:pt>
                <c:pt idx="27">
                  <c:v>106.85772773797339</c:v>
                </c:pt>
                <c:pt idx="28">
                  <c:v>107.67656090071648</c:v>
                </c:pt>
                <c:pt idx="29">
                  <c:v>107.88126919140225</c:v>
                </c:pt>
                <c:pt idx="30">
                  <c:v>107.77891504605937</c:v>
                </c:pt>
                <c:pt idx="31">
                  <c:v>108.2906857727738</c:v>
                </c:pt>
                <c:pt idx="32">
                  <c:v>108.80245649948823</c:v>
                </c:pt>
                <c:pt idx="33">
                  <c:v>109.21187308085977</c:v>
                </c:pt>
                <c:pt idx="34">
                  <c:v>109.82599795291709</c:v>
                </c:pt>
                <c:pt idx="35">
                  <c:v>109.10951893551689</c:v>
                </c:pt>
                <c:pt idx="36">
                  <c:v>109.31422722620266</c:v>
                </c:pt>
                <c:pt idx="37">
                  <c:v>109.51893551688843</c:v>
                </c:pt>
                <c:pt idx="38">
                  <c:v>110.44012282497441</c:v>
                </c:pt>
                <c:pt idx="39">
                  <c:v>111.66837256908906</c:v>
                </c:pt>
                <c:pt idx="40">
                  <c:v>113.81780962128967</c:v>
                </c:pt>
              </c:numCache>
            </c:numRef>
          </c:val>
          <c:smooth val="0"/>
          <c:extLst>
            <c:ext xmlns:c16="http://schemas.microsoft.com/office/drawing/2014/chart" uri="{C3380CC4-5D6E-409C-BE32-E72D297353CC}">
              <c16:uniqueId val="{00000001-1C15-4126-BAB4-DA6ECB4C8082}"/>
            </c:ext>
          </c:extLst>
        </c:ser>
        <c:dLbls>
          <c:showLegendKey val="0"/>
          <c:showVal val="0"/>
          <c:showCatName val="0"/>
          <c:showSerName val="0"/>
          <c:showPercent val="0"/>
          <c:showBubbleSize val="0"/>
        </c:dLbls>
        <c:smooth val="0"/>
        <c:axId val="1408476480"/>
        <c:axId val="1408478976"/>
      </c:lineChart>
      <c:catAx>
        <c:axId val="140847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478976"/>
        <c:crosses val="autoZero"/>
        <c:auto val="1"/>
        <c:lblAlgn val="ctr"/>
        <c:lblOffset val="100"/>
        <c:noMultiLvlLbl val="0"/>
      </c:catAx>
      <c:valAx>
        <c:axId val="1408478976"/>
        <c:scaling>
          <c:orientation val="minMax"/>
          <c:max val="120"/>
          <c:min val="9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47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035541510093728E-2"/>
          <c:y val="4.3392504930966469E-2"/>
          <c:w val="0.88523146242470108"/>
          <c:h val="0.77804811380825922"/>
        </c:manualLayout>
      </c:layout>
      <c:lineChart>
        <c:grouping val="standard"/>
        <c:varyColors val="0"/>
        <c:ser>
          <c:idx val="0"/>
          <c:order val="0"/>
          <c:spPr>
            <a:ln w="28575" cap="rnd">
              <a:solidFill>
                <a:schemeClr val="dk1">
                  <a:tint val="88500"/>
                </a:schemeClr>
              </a:solidFill>
              <a:round/>
            </a:ln>
            <a:effectLst/>
          </c:spPr>
          <c:marker>
            <c:symbol val="none"/>
          </c:marker>
          <c:cat>
            <c:strRef>
              <c:f>matrix!$A$103:$A$119</c:f>
              <c:strCache>
                <c:ptCount val="17"/>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strCache>
            </c:strRef>
          </c:cat>
          <c:val>
            <c:numRef>
              <c:f>matrix!$B$103:$B$119</c:f>
              <c:numCache>
                <c:formatCode>General</c:formatCode>
                <c:ptCount val="17"/>
                <c:pt idx="0">
                  <c:v>1.9</c:v>
                </c:pt>
                <c:pt idx="1">
                  <c:v>1.8</c:v>
                </c:pt>
                <c:pt idx="2">
                  <c:v>1.8</c:v>
                </c:pt>
                <c:pt idx="3">
                  <c:v>1.9</c:v>
                </c:pt>
                <c:pt idx="4">
                  <c:v>1.8</c:v>
                </c:pt>
                <c:pt idx="5">
                  <c:v>1.9</c:v>
                </c:pt>
                <c:pt idx="6">
                  <c:v>2</c:v>
                </c:pt>
                <c:pt idx="7">
                  <c:v>2.1</c:v>
                </c:pt>
                <c:pt idx="8">
                  <c:v>2.4</c:v>
                </c:pt>
                <c:pt idx="9">
                  <c:v>2.6</c:v>
                </c:pt>
                <c:pt idx="10">
                  <c:v>2.5</c:v>
                </c:pt>
                <c:pt idx="11">
                  <c:v>2.1</c:v>
                </c:pt>
                <c:pt idx="12">
                  <c:v>1.9</c:v>
                </c:pt>
                <c:pt idx="13">
                  <c:v>1.6</c:v>
                </c:pt>
                <c:pt idx="14">
                  <c:v>1.6</c:v>
                </c:pt>
                <c:pt idx="15">
                  <c:v>2.1</c:v>
                </c:pt>
                <c:pt idx="16">
                  <c:v>2.4</c:v>
                </c:pt>
              </c:numCache>
            </c:numRef>
          </c:val>
          <c:smooth val="0"/>
          <c:extLst>
            <c:ext xmlns:c16="http://schemas.microsoft.com/office/drawing/2014/chart" uri="{C3380CC4-5D6E-409C-BE32-E72D297353CC}">
              <c16:uniqueId val="{00000000-F4FF-4371-9C00-45047B505F79}"/>
            </c:ext>
          </c:extLst>
        </c:ser>
        <c:dLbls>
          <c:showLegendKey val="0"/>
          <c:showVal val="0"/>
          <c:showCatName val="0"/>
          <c:showSerName val="0"/>
          <c:showPercent val="0"/>
          <c:showBubbleSize val="0"/>
        </c:dLbls>
        <c:smooth val="0"/>
        <c:axId val="727125696"/>
        <c:axId val="727119456"/>
      </c:lineChart>
      <c:catAx>
        <c:axId val="72712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19456"/>
        <c:crosses val="autoZero"/>
        <c:auto val="1"/>
        <c:lblAlgn val="ctr"/>
        <c:lblOffset val="100"/>
        <c:noMultiLvlLbl val="0"/>
      </c:catAx>
      <c:valAx>
        <c:axId val="72711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layout>
            <c:manualLayout>
              <c:xMode val="edge"/>
              <c:yMode val="edge"/>
              <c:x val="1.7987633501967398E-2"/>
              <c:y val="0.333225240336082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25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28575" cap="rnd">
              <a:solidFill>
                <a:schemeClr val="dk1">
                  <a:tint val="88500"/>
                </a:schemeClr>
              </a:solidFill>
              <a:round/>
            </a:ln>
            <a:effectLst/>
          </c:spPr>
          <c:marker>
            <c:symbol val="none"/>
          </c:marker>
          <c:cat>
            <c:strRef>
              <c:f>matrix!$A$119:$A$135</c:f>
              <c:strCache>
                <c:ptCount val="17"/>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strCache>
            </c:strRef>
          </c:cat>
          <c:val>
            <c:numRef>
              <c:f>matrix!$B$119:$B$135</c:f>
              <c:numCache>
                <c:formatCode>General</c:formatCode>
                <c:ptCount val="17"/>
                <c:pt idx="0">
                  <c:v>2.4</c:v>
                </c:pt>
                <c:pt idx="1">
                  <c:v>3.1</c:v>
                </c:pt>
                <c:pt idx="2">
                  <c:v>2.7</c:v>
                </c:pt>
                <c:pt idx="3">
                  <c:v>2.9</c:v>
                </c:pt>
                <c:pt idx="4">
                  <c:v>3.2</c:v>
                </c:pt>
                <c:pt idx="5">
                  <c:v>3.2</c:v>
                </c:pt>
                <c:pt idx="6">
                  <c:v>3</c:v>
                </c:pt>
                <c:pt idx="7">
                  <c:v>4</c:v>
                </c:pt>
                <c:pt idx="8">
                  <c:v>3.4</c:v>
                </c:pt>
                <c:pt idx="9">
                  <c:v>3.3</c:v>
                </c:pt>
                <c:pt idx="10">
                  <c:v>3.7</c:v>
                </c:pt>
                <c:pt idx="11">
                  <c:v>3</c:v>
                </c:pt>
                <c:pt idx="12">
                  <c:v>4.2</c:v>
                </c:pt>
                <c:pt idx="13">
                  <c:v>4.3</c:v>
                </c:pt>
                <c:pt idx="14">
                  <c:v>4</c:v>
                </c:pt>
                <c:pt idx="15">
                  <c:v>4</c:v>
                </c:pt>
                <c:pt idx="16">
                  <c:v>3.5</c:v>
                </c:pt>
              </c:numCache>
            </c:numRef>
          </c:val>
          <c:smooth val="0"/>
          <c:extLst>
            <c:ext xmlns:c16="http://schemas.microsoft.com/office/drawing/2014/chart" uri="{C3380CC4-5D6E-409C-BE32-E72D297353CC}">
              <c16:uniqueId val="{00000000-CB0F-42DF-B854-B93161EFF66E}"/>
            </c:ext>
          </c:extLst>
        </c:ser>
        <c:dLbls>
          <c:showLegendKey val="0"/>
          <c:showVal val="0"/>
          <c:showCatName val="0"/>
          <c:showSerName val="0"/>
          <c:showPercent val="0"/>
          <c:showBubbleSize val="0"/>
        </c:dLbls>
        <c:smooth val="0"/>
        <c:axId val="727123200"/>
        <c:axId val="727118624"/>
      </c:lineChart>
      <c:catAx>
        <c:axId val="72712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18624"/>
        <c:crosses val="autoZero"/>
        <c:auto val="1"/>
        <c:lblAlgn val="ctr"/>
        <c:lblOffset val="100"/>
        <c:noMultiLvlLbl val="0"/>
      </c:catAx>
      <c:valAx>
        <c:axId val="72711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layout>
            <c:manualLayout>
              <c:xMode val="edge"/>
              <c:yMode val="edge"/>
              <c:x val="1.560758082497213E-2"/>
              <c:y val="0.396931943140135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2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spPr>
            <a:ln w="28575" cap="rnd">
              <a:solidFill>
                <a:schemeClr val="dk1">
                  <a:tint val="88500"/>
                </a:schemeClr>
              </a:solidFill>
              <a:round/>
            </a:ln>
            <a:effectLst/>
          </c:spPr>
          <c:marker>
            <c:symbol val="none"/>
          </c:marker>
          <c:cat>
            <c:strRef>
              <c:f>matrix!$A$130:$A$146</c:f>
              <c:strCache>
                <c:ptCount val="17"/>
                <c:pt idx="0">
                  <c:v>2017Q3</c:v>
                </c:pt>
                <c:pt idx="1">
                  <c:v>2017Q4</c:v>
                </c:pt>
                <c:pt idx="2">
                  <c:v>2018Q1</c:v>
                </c:pt>
                <c:pt idx="3">
                  <c:v>2018Q2</c:v>
                </c:pt>
                <c:pt idx="4">
                  <c:v>2018Q3</c:v>
                </c:pt>
                <c:pt idx="5">
                  <c:v>2018Q4</c:v>
                </c:pt>
                <c:pt idx="6">
                  <c:v>2019Q1</c:v>
                </c:pt>
                <c:pt idx="7">
                  <c:v>2019Q2</c:v>
                </c:pt>
                <c:pt idx="8">
                  <c:v>2019Q3</c:v>
                </c:pt>
                <c:pt idx="9">
                  <c:v>2019Q4</c:v>
                </c:pt>
                <c:pt idx="10">
                  <c:v>2020Q1</c:v>
                </c:pt>
                <c:pt idx="11">
                  <c:v>2020Q2</c:v>
                </c:pt>
                <c:pt idx="12">
                  <c:v>2020Q3</c:v>
                </c:pt>
                <c:pt idx="13">
                  <c:v>2020Q4</c:v>
                </c:pt>
                <c:pt idx="14">
                  <c:v>2021Q1</c:v>
                </c:pt>
                <c:pt idx="15">
                  <c:v>2021Q2</c:v>
                </c:pt>
                <c:pt idx="16">
                  <c:v>2021Q3</c:v>
                </c:pt>
              </c:strCache>
            </c:strRef>
          </c:cat>
          <c:val>
            <c:numRef>
              <c:f>matrix!$B$130:$B$146</c:f>
              <c:numCache>
                <c:formatCode>General</c:formatCode>
                <c:ptCount val="17"/>
                <c:pt idx="0">
                  <c:v>4.8</c:v>
                </c:pt>
                <c:pt idx="1">
                  <c:v>4.5</c:v>
                </c:pt>
                <c:pt idx="2">
                  <c:v>4.4000000000000004</c:v>
                </c:pt>
                <c:pt idx="3">
                  <c:v>4.5999999999999996</c:v>
                </c:pt>
                <c:pt idx="4">
                  <c:v>4</c:v>
                </c:pt>
                <c:pt idx="5">
                  <c:v>4.3</c:v>
                </c:pt>
                <c:pt idx="6">
                  <c:v>4.2</c:v>
                </c:pt>
                <c:pt idx="7">
                  <c:v>4</c:v>
                </c:pt>
                <c:pt idx="8">
                  <c:v>4.2</c:v>
                </c:pt>
                <c:pt idx="9">
                  <c:v>4</c:v>
                </c:pt>
                <c:pt idx="10">
                  <c:v>4.2</c:v>
                </c:pt>
                <c:pt idx="11">
                  <c:v>4.0999999999999996</c:v>
                </c:pt>
                <c:pt idx="12">
                  <c:v>5.3</c:v>
                </c:pt>
                <c:pt idx="13">
                  <c:v>4.8</c:v>
                </c:pt>
                <c:pt idx="14">
                  <c:v>4.5999999999999996</c:v>
                </c:pt>
                <c:pt idx="15">
                  <c:v>4</c:v>
                </c:pt>
                <c:pt idx="16">
                  <c:v>3.4</c:v>
                </c:pt>
              </c:numCache>
            </c:numRef>
          </c:val>
          <c:smooth val="0"/>
          <c:extLst>
            <c:ext xmlns:c16="http://schemas.microsoft.com/office/drawing/2014/chart" uri="{C3380CC4-5D6E-409C-BE32-E72D297353CC}">
              <c16:uniqueId val="{00000000-411C-4B38-8E59-D2E8FB89417B}"/>
            </c:ext>
          </c:extLst>
        </c:ser>
        <c:dLbls>
          <c:showLegendKey val="0"/>
          <c:showVal val="0"/>
          <c:showCatName val="0"/>
          <c:showSerName val="0"/>
          <c:showPercent val="0"/>
          <c:showBubbleSize val="0"/>
        </c:dLbls>
        <c:smooth val="0"/>
        <c:axId val="776961472"/>
        <c:axId val="776961888"/>
      </c:lineChart>
      <c:catAx>
        <c:axId val="77696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961888"/>
        <c:crosses val="autoZero"/>
        <c:auto val="1"/>
        <c:lblAlgn val="ctr"/>
        <c:lblOffset val="100"/>
        <c:noMultiLvlLbl val="0"/>
      </c:catAx>
      <c:valAx>
        <c:axId val="77696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layout>
            <c:manualLayout>
              <c:xMode val="edge"/>
              <c:yMode val="edge"/>
              <c:x val="1.728795245813074E-2"/>
              <c:y val="0.467634639511703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6961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ZCTU">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9e6dde-f822-4bb0-ac5c-c0898670d246">6M5XUEYWA3D4-1797282320-360640</_dlc_DocId>
    <_dlc_DocIdUrl xmlns="f09e6dde-f822-4bb0-ac5c-c0898670d246">
      <Url>https://nzctu.sharepoint.com/sites/CentralDrive/_layouts/15/DocIdRedir.aspx?ID=6M5XUEYWA3D4-1797282320-360640</Url>
      <Description>6M5XUEYWA3D4-1797282320-360640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6F4488C5A314E93458768F1F2E8C9" ma:contentTypeVersion="566" ma:contentTypeDescription="Create a new document." ma:contentTypeScope="" ma:versionID="7d4bff812cb2a4d255fcc92e317819af">
  <xsd:schema xmlns:xsd="http://www.w3.org/2001/XMLSchema" xmlns:xs="http://www.w3.org/2001/XMLSchema" xmlns:p="http://schemas.microsoft.com/office/2006/metadata/properties" xmlns:ns2="f09e6dde-f822-4bb0-ac5c-c0898670d246" xmlns:ns3="572d2d51-17b7-4db8-93a3-637292ea829c" targetNamespace="http://schemas.microsoft.com/office/2006/metadata/properties" ma:root="true" ma:fieldsID="7e7c9a91a0944f9724b9a0862131a75a" ns2:_="" ns3:_="">
    <xsd:import namespace="f09e6dde-f822-4bb0-ac5c-c0898670d246"/>
    <xsd:import namespace="572d2d51-17b7-4db8-93a3-637292ea829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6dde-f822-4bb0-ac5c-c0898670d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d2d51-17b7-4db8-93a3-637292ea8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094D-756D-417D-81E1-9999604623D1}">
  <ds:schemaRefs>
    <ds:schemaRef ds:uri="http://schemas.microsoft.com/office/2006/metadata/properties"/>
    <ds:schemaRef ds:uri="http://schemas.microsoft.com/office/infopath/2007/PartnerControls"/>
    <ds:schemaRef ds:uri="f09e6dde-f822-4bb0-ac5c-c0898670d246"/>
  </ds:schemaRefs>
</ds:datastoreItem>
</file>

<file path=customXml/itemProps2.xml><?xml version="1.0" encoding="utf-8"?>
<ds:datastoreItem xmlns:ds="http://schemas.openxmlformats.org/officeDocument/2006/customXml" ds:itemID="{A2FBC70A-F77F-4633-B5C0-36B9A1E9708E}">
  <ds:schemaRefs>
    <ds:schemaRef ds:uri="http://schemas.microsoft.com/sharepoint/v3/contenttype/forms"/>
  </ds:schemaRefs>
</ds:datastoreItem>
</file>

<file path=customXml/itemProps3.xml><?xml version="1.0" encoding="utf-8"?>
<ds:datastoreItem xmlns:ds="http://schemas.openxmlformats.org/officeDocument/2006/customXml" ds:itemID="{B09C769C-7BFB-45F2-90E5-9A280C59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6dde-f822-4bb0-ac5c-c0898670d246"/>
    <ds:schemaRef ds:uri="572d2d51-17b7-4db8-93a3-637292ea8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2474B-D3C0-414C-A37C-A08475B9D565}">
  <ds:schemaRefs>
    <ds:schemaRef ds:uri="http://schemas.microsoft.com/sharepoint/events"/>
  </ds:schemaRefs>
</ds:datastoreItem>
</file>

<file path=customXml/itemProps5.xml><?xml version="1.0" encoding="utf-8"?>
<ds:datastoreItem xmlns:ds="http://schemas.openxmlformats.org/officeDocument/2006/customXml" ds:itemID="{80AA1C11-5A2D-47AB-A451-8A8717E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NZCTU Letterhead</Template>
  <TotalTime>0</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2021-11-15T20:06:00Z</dcterms:created>
  <dcterms:modified xsi:type="dcterms:W3CDTF">2021-11-15T20:06:00Z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0x0101007C26F4488C5A314E93458768F1F2E8C9</vt:lpwstr>
  </property>
  <property fmtid="{D5CDD505-2E9C-101B-9397-08002B2CF9AE}" pid="3" name="_dlc_DocIdItemGuid">
    <vt:lpwstr>524af0ea-1b5f-4126-a4b6-9c6970d0434d</vt:lpwstr>
  </property>
</Properties>
</file>