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16596" w14:textId="53FE74A3" w:rsidR="00E05715" w:rsidRPr="00E01B53" w:rsidRDefault="00E05715" w:rsidP="003A27A1">
      <w:pPr>
        <w:pStyle w:val="Platform1Heading"/>
        <w:spacing w:line="240" w:lineRule="auto"/>
      </w:pPr>
      <w:r w:rsidRPr="00E01B53">
        <w:t>Key Messages</w:t>
      </w:r>
      <w:r w:rsidR="00226F68" w:rsidRPr="00E01B53">
        <w:t xml:space="preserve"> that support the need for major improvements to Deaf mental health services</w:t>
      </w:r>
    </w:p>
    <w:p w14:paraId="36BED4E2" w14:textId="77777777" w:rsidR="007F6B12" w:rsidRPr="00E01B53" w:rsidRDefault="007F6B12" w:rsidP="007F6B12">
      <w:pPr>
        <w:jc w:val="center"/>
      </w:pPr>
    </w:p>
    <w:p w14:paraId="62182380" w14:textId="74F68E0F" w:rsidR="001F71A9" w:rsidRPr="00E01B53" w:rsidRDefault="007F6B12" w:rsidP="007F6B12">
      <w:pPr>
        <w:spacing w:after="0" w:line="240" w:lineRule="auto"/>
        <w:jc w:val="center"/>
        <w:rPr>
          <w:sz w:val="24"/>
          <w:szCs w:val="24"/>
        </w:rPr>
      </w:pPr>
      <w:r w:rsidRPr="00E01B53">
        <w:rPr>
          <w:sz w:val="24"/>
          <w:szCs w:val="24"/>
        </w:rPr>
        <w:t>Submission from the Coalition of Deaf Mental Health Professional</w:t>
      </w:r>
    </w:p>
    <w:p w14:paraId="7532F824" w14:textId="48B8DE95" w:rsidR="007F6B12" w:rsidRPr="00E01B53" w:rsidRDefault="007F6B12" w:rsidP="007F6B12">
      <w:pPr>
        <w:spacing w:after="0" w:line="240" w:lineRule="auto"/>
        <w:jc w:val="center"/>
        <w:rPr>
          <w:sz w:val="24"/>
          <w:szCs w:val="24"/>
        </w:rPr>
      </w:pPr>
      <w:r w:rsidRPr="00E01B53">
        <w:rPr>
          <w:sz w:val="24"/>
          <w:szCs w:val="24"/>
        </w:rPr>
        <w:t>8/09/2021</w:t>
      </w:r>
    </w:p>
    <w:p w14:paraId="4EED3596" w14:textId="77777777" w:rsidR="007F6B12" w:rsidRPr="00E01B53" w:rsidRDefault="007F6B12" w:rsidP="007F6B12">
      <w:pPr>
        <w:pStyle w:val="Platform2Heading"/>
        <w:rPr>
          <w:lang w:val="en-NZ"/>
        </w:rPr>
      </w:pPr>
    </w:p>
    <w:p w14:paraId="33B146F1" w14:textId="029325A7" w:rsidR="001F33A3" w:rsidRPr="00E01B53" w:rsidRDefault="001F33A3" w:rsidP="007F6B12">
      <w:pPr>
        <w:pStyle w:val="Platform2Heading"/>
        <w:rPr>
          <w:lang w:val="en-NZ"/>
        </w:rPr>
      </w:pPr>
      <w:r w:rsidRPr="00E01B53">
        <w:rPr>
          <w:lang w:val="en-NZ"/>
        </w:rPr>
        <w:t xml:space="preserve">Key information on </w:t>
      </w:r>
      <w:r w:rsidR="00340688" w:rsidRPr="00E01B53">
        <w:rPr>
          <w:lang w:val="en-NZ"/>
        </w:rPr>
        <w:t>mental illness in the Deaf community</w:t>
      </w:r>
    </w:p>
    <w:p w14:paraId="1AE2FE4A" w14:textId="18262F20" w:rsidR="000B0B1D" w:rsidRPr="00E01B53" w:rsidRDefault="00E05715" w:rsidP="003A27A1">
      <w:pPr>
        <w:pStyle w:val="ListParagraph"/>
        <w:numPr>
          <w:ilvl w:val="0"/>
          <w:numId w:val="2"/>
        </w:numPr>
        <w:spacing w:line="240" w:lineRule="auto"/>
        <w:rPr>
          <w:rFonts w:cstheme="minorHAnsi"/>
        </w:rPr>
      </w:pPr>
      <w:r w:rsidRPr="00E01B53">
        <w:rPr>
          <w:rFonts w:cstheme="minorHAnsi"/>
        </w:rPr>
        <w:t>There are approximately 4.500 Deaf NZSL users in NZ</w:t>
      </w:r>
      <w:r w:rsidR="000B0B1D" w:rsidRPr="00E01B53">
        <w:rPr>
          <w:rFonts w:cstheme="minorHAnsi"/>
          <w:vertAlign w:val="superscript"/>
        </w:rPr>
        <w:endnoteReference w:id="1"/>
      </w:r>
      <w:r w:rsidR="000B0B1D" w:rsidRPr="00E01B53">
        <w:rPr>
          <w:rFonts w:cstheme="minorHAnsi"/>
        </w:rPr>
        <w:t xml:space="preserve">. </w:t>
      </w:r>
    </w:p>
    <w:p w14:paraId="11422BB6" w14:textId="0880745C" w:rsidR="000B0B1D" w:rsidRPr="00E01B53" w:rsidRDefault="000B0B1D" w:rsidP="003A27A1">
      <w:pPr>
        <w:pStyle w:val="ListParagraph"/>
        <w:numPr>
          <w:ilvl w:val="0"/>
          <w:numId w:val="2"/>
        </w:numPr>
        <w:spacing w:line="240" w:lineRule="auto"/>
        <w:rPr>
          <w:rFonts w:cstheme="minorHAnsi"/>
        </w:rPr>
      </w:pPr>
      <w:r w:rsidRPr="00E01B53">
        <w:rPr>
          <w:rFonts w:cstheme="minorHAnsi"/>
        </w:rPr>
        <w:t>47% of deaf children who use NZSL in school identify as Māori</w:t>
      </w:r>
      <w:r w:rsidRPr="00E01B53">
        <w:rPr>
          <w:rFonts w:cstheme="minorHAnsi"/>
          <w:vertAlign w:val="superscript"/>
        </w:rPr>
        <w:endnoteReference w:id="2"/>
      </w:r>
      <w:r w:rsidRPr="00E01B53">
        <w:rPr>
          <w:rFonts w:cstheme="minorHAnsi"/>
        </w:rPr>
        <w:t xml:space="preserve">.  </w:t>
      </w:r>
    </w:p>
    <w:p w14:paraId="57FA056B" w14:textId="573ECCE0" w:rsidR="000B0B1D" w:rsidRPr="00E01B53" w:rsidRDefault="000B0B1D" w:rsidP="003A27A1">
      <w:pPr>
        <w:pStyle w:val="ListParagraph"/>
        <w:numPr>
          <w:ilvl w:val="0"/>
          <w:numId w:val="2"/>
        </w:numPr>
        <w:spacing w:line="240" w:lineRule="auto"/>
        <w:rPr>
          <w:rFonts w:cstheme="minorHAnsi"/>
        </w:rPr>
      </w:pPr>
      <w:r w:rsidRPr="00E01B53">
        <w:rPr>
          <w:rFonts w:cstheme="minorHAnsi"/>
        </w:rPr>
        <w:t>Deaf children experience high levels of abuse and neglect which lead to mental illness as adults</w:t>
      </w:r>
      <w:r w:rsidRPr="00E01B53">
        <w:rPr>
          <w:rStyle w:val="EndnoteReference"/>
          <w:rFonts w:cstheme="minorHAnsi"/>
        </w:rPr>
        <w:endnoteReference w:id="3"/>
      </w:r>
      <w:r w:rsidRPr="00E01B53">
        <w:rPr>
          <w:rFonts w:cstheme="minorHAnsi"/>
        </w:rPr>
        <w:t xml:space="preserve">.  </w:t>
      </w:r>
    </w:p>
    <w:p w14:paraId="5F39B2E5" w14:textId="74CFA9B8" w:rsidR="000B0B1D" w:rsidRPr="00E01B53" w:rsidRDefault="000B0B1D" w:rsidP="003A27A1">
      <w:pPr>
        <w:pStyle w:val="ListParagraph"/>
        <w:numPr>
          <w:ilvl w:val="0"/>
          <w:numId w:val="2"/>
        </w:numPr>
        <w:spacing w:line="240" w:lineRule="auto"/>
        <w:rPr>
          <w:rFonts w:cstheme="minorHAnsi"/>
        </w:rPr>
      </w:pPr>
      <w:r w:rsidRPr="00E01B53">
        <w:rPr>
          <w:rFonts w:cstheme="minorHAnsi"/>
        </w:rPr>
        <w:t xml:space="preserve">Deaf people face multiple barriers to equitable education, employment and </w:t>
      </w:r>
    </w:p>
    <w:p w14:paraId="03037FEA" w14:textId="339D8E91" w:rsidR="000B0B1D" w:rsidRPr="00E01B53" w:rsidRDefault="000B0B1D" w:rsidP="003A27A1">
      <w:pPr>
        <w:pStyle w:val="ListParagraph"/>
        <w:numPr>
          <w:ilvl w:val="0"/>
          <w:numId w:val="2"/>
        </w:numPr>
        <w:spacing w:line="240" w:lineRule="auto"/>
        <w:rPr>
          <w:rFonts w:cstheme="minorHAnsi"/>
        </w:rPr>
      </w:pPr>
      <w:r w:rsidRPr="00E01B53">
        <w:rPr>
          <w:rFonts w:cstheme="minorHAnsi"/>
        </w:rPr>
        <w:t>healthcare,</w:t>
      </w:r>
      <w:r w:rsidRPr="00E01B53">
        <w:rPr>
          <w:rFonts w:cstheme="minorHAnsi"/>
          <w:vertAlign w:val="superscript"/>
        </w:rPr>
        <w:t>3,</w:t>
      </w:r>
      <w:r w:rsidRPr="00E01B53">
        <w:rPr>
          <w:rFonts w:cstheme="minorHAnsi"/>
          <w:vertAlign w:val="superscript"/>
        </w:rPr>
        <w:endnoteReference w:id="4"/>
      </w:r>
      <w:r w:rsidRPr="00E01B53">
        <w:rPr>
          <w:rFonts w:cstheme="minorHAnsi"/>
        </w:rPr>
        <w:t xml:space="preserve"> and have worse outcomes compared to the general population</w:t>
      </w:r>
      <w:r w:rsidRPr="00E01B53">
        <w:rPr>
          <w:rFonts w:cstheme="minorHAnsi"/>
          <w:vertAlign w:val="superscript"/>
        </w:rPr>
        <w:endnoteReference w:id="5"/>
      </w:r>
      <w:r w:rsidRPr="00E01B53">
        <w:rPr>
          <w:rFonts w:cstheme="minorHAnsi"/>
          <w:vertAlign w:val="superscript"/>
        </w:rPr>
        <w:t xml:space="preserve"> </w:t>
      </w:r>
      <w:r w:rsidRPr="00E01B53">
        <w:rPr>
          <w:rStyle w:val="EndnoteReference"/>
          <w:rFonts w:cstheme="minorHAnsi"/>
        </w:rPr>
        <w:endnoteReference w:id="6"/>
      </w:r>
      <w:r w:rsidRPr="00E01B53">
        <w:rPr>
          <w:rFonts w:cstheme="minorHAnsi"/>
        </w:rPr>
        <w:t xml:space="preserve">. </w:t>
      </w:r>
    </w:p>
    <w:p w14:paraId="2D2FC9BE" w14:textId="1D5B5564" w:rsidR="000B0B1D" w:rsidRPr="00E01B53" w:rsidRDefault="000B0B1D" w:rsidP="003A27A1">
      <w:pPr>
        <w:pStyle w:val="ListParagraph"/>
        <w:numPr>
          <w:ilvl w:val="0"/>
          <w:numId w:val="2"/>
        </w:numPr>
        <w:spacing w:line="240" w:lineRule="auto"/>
        <w:rPr>
          <w:rFonts w:cstheme="minorHAnsi"/>
        </w:rPr>
      </w:pPr>
      <w:r w:rsidRPr="00E01B53">
        <w:rPr>
          <w:rFonts w:cstheme="minorHAnsi"/>
        </w:rPr>
        <w:t>30-40% of  Deaf have a disability other than being Deaf</w:t>
      </w:r>
      <w:r w:rsidRPr="00E01B53">
        <w:rPr>
          <w:rStyle w:val="EndnoteReference"/>
          <w:rFonts w:cstheme="minorHAnsi"/>
        </w:rPr>
        <w:endnoteReference w:id="7"/>
      </w:r>
    </w:p>
    <w:p w14:paraId="1523A195" w14:textId="77777777" w:rsidR="000B0B1D" w:rsidRPr="00E01B53" w:rsidRDefault="000B0B1D" w:rsidP="003A27A1">
      <w:pPr>
        <w:pStyle w:val="ListParagraph"/>
        <w:numPr>
          <w:ilvl w:val="0"/>
          <w:numId w:val="2"/>
        </w:numPr>
        <w:spacing w:line="240" w:lineRule="auto"/>
        <w:jc w:val="both"/>
        <w:rPr>
          <w:rFonts w:cstheme="minorHAnsi"/>
        </w:rPr>
      </w:pPr>
      <w:r w:rsidRPr="00E01B53">
        <w:rPr>
          <w:rFonts w:cstheme="minorHAnsi"/>
        </w:rPr>
        <w:t>General mental health promotion information does not reach the Deaf community.  This limits their ability to engage in prevention and self-management of mental distress</w:t>
      </w:r>
      <w:r w:rsidRPr="00E01B53">
        <w:rPr>
          <w:rFonts w:cstheme="minorHAnsi"/>
          <w:vertAlign w:val="superscript"/>
        </w:rPr>
        <w:t>1,</w:t>
      </w:r>
      <w:r w:rsidRPr="00E01B53">
        <w:rPr>
          <w:rFonts w:cstheme="minorHAnsi"/>
          <w:vertAlign w:val="superscript"/>
        </w:rPr>
        <w:endnoteReference w:id="8"/>
      </w:r>
    </w:p>
    <w:p w14:paraId="63D04B33" w14:textId="1A906076" w:rsidR="000B0B1D" w:rsidRPr="00E01B53" w:rsidRDefault="000B0B1D" w:rsidP="003A27A1">
      <w:pPr>
        <w:pStyle w:val="ListParagraph"/>
        <w:numPr>
          <w:ilvl w:val="0"/>
          <w:numId w:val="2"/>
        </w:numPr>
        <w:spacing w:line="240" w:lineRule="auto"/>
        <w:rPr>
          <w:rFonts w:cstheme="minorHAnsi"/>
        </w:rPr>
      </w:pPr>
      <w:r w:rsidRPr="00E01B53">
        <w:rPr>
          <w:rFonts w:cstheme="minorHAnsi"/>
        </w:rPr>
        <w:t>International and New Zealand research suggests Deaf people are 2-3 times higher than the general population</w:t>
      </w:r>
      <w:r w:rsidRPr="00E01B53">
        <w:rPr>
          <w:rFonts w:cstheme="minorHAnsi"/>
          <w:vertAlign w:val="superscript"/>
        </w:rPr>
        <w:t>3,6</w:t>
      </w:r>
      <w:r w:rsidRPr="00E01B53">
        <w:rPr>
          <w:rFonts w:cstheme="minorHAnsi"/>
        </w:rPr>
        <w:t xml:space="preserve"> in their need for mental health and addictions support.  A 2015 report estimated 1500 Deaf people likely need </w:t>
      </w:r>
      <w:r w:rsidR="00FD1516" w:rsidRPr="00E01B53">
        <w:rPr>
          <w:rFonts w:cstheme="minorHAnsi"/>
        </w:rPr>
        <w:t>mental health and addictions</w:t>
      </w:r>
      <w:r w:rsidRPr="00E01B53">
        <w:rPr>
          <w:rFonts w:cstheme="minorHAnsi"/>
        </w:rPr>
        <w:t xml:space="preserve"> support</w:t>
      </w:r>
      <w:r w:rsidRPr="00E01B53">
        <w:rPr>
          <w:rFonts w:cstheme="minorHAnsi"/>
          <w:vertAlign w:val="superscript"/>
        </w:rPr>
        <w:endnoteReference w:id="9"/>
      </w:r>
      <w:r w:rsidRPr="00E01B53">
        <w:rPr>
          <w:rFonts w:cstheme="minorHAnsi"/>
        </w:rPr>
        <w:t>.</w:t>
      </w:r>
    </w:p>
    <w:p w14:paraId="1C99A806" w14:textId="401FCF5F" w:rsidR="000B0B1D" w:rsidRPr="00E01B53" w:rsidRDefault="000B0B1D" w:rsidP="007F6B12">
      <w:pPr>
        <w:pStyle w:val="Platform2Heading"/>
        <w:rPr>
          <w:lang w:val="en-NZ"/>
        </w:rPr>
      </w:pPr>
      <w:r w:rsidRPr="00E01B53">
        <w:rPr>
          <w:lang w:val="en-NZ"/>
        </w:rPr>
        <w:t>Discrimination and Stigma against Deaf</w:t>
      </w:r>
    </w:p>
    <w:p w14:paraId="1A7ACF17" w14:textId="655492CE" w:rsidR="000B0B1D" w:rsidRPr="00E01B53" w:rsidRDefault="000B0B1D" w:rsidP="003A27A1">
      <w:pPr>
        <w:pStyle w:val="ListParagraph"/>
        <w:numPr>
          <w:ilvl w:val="0"/>
          <w:numId w:val="2"/>
        </w:numPr>
        <w:spacing w:line="240" w:lineRule="auto"/>
        <w:jc w:val="both"/>
        <w:rPr>
          <w:rFonts w:cstheme="minorHAnsi"/>
        </w:rPr>
      </w:pPr>
      <w:r w:rsidRPr="00E01B53">
        <w:rPr>
          <w:rFonts w:cstheme="minorHAnsi"/>
        </w:rPr>
        <w:t>There has been major historical oppression of Deaf language and culture</w:t>
      </w:r>
      <w:r w:rsidRPr="00E01B53">
        <w:rPr>
          <w:rStyle w:val="EndnoteReference"/>
          <w:rFonts w:cstheme="minorHAnsi"/>
        </w:rPr>
        <w:endnoteReference w:id="10"/>
      </w:r>
      <w:r w:rsidRPr="00E01B53">
        <w:rPr>
          <w:rFonts w:cstheme="minorHAnsi"/>
        </w:rPr>
        <w:t xml:space="preserve"> and the ongoing impacts have resulted in collective trauma that must be recognised and addressed. </w:t>
      </w:r>
    </w:p>
    <w:p w14:paraId="44F9767F" w14:textId="756AFAD4" w:rsidR="000B0B1D" w:rsidRPr="00E01B53" w:rsidRDefault="000B0B1D" w:rsidP="003A27A1">
      <w:pPr>
        <w:pStyle w:val="ListParagraph"/>
        <w:numPr>
          <w:ilvl w:val="0"/>
          <w:numId w:val="2"/>
        </w:numPr>
        <w:spacing w:line="240" w:lineRule="auto"/>
        <w:rPr>
          <w:rFonts w:cstheme="minorHAnsi"/>
        </w:rPr>
      </w:pPr>
      <w:r w:rsidRPr="00E01B53">
        <w:rPr>
          <w:rFonts w:cstheme="minorHAnsi"/>
        </w:rPr>
        <w:t xml:space="preserve">Widespread </w:t>
      </w:r>
      <w:r w:rsidRPr="00E01B53">
        <w:rPr>
          <w:rFonts w:cstheme="minorHAnsi"/>
          <w:i/>
          <w:iCs/>
        </w:rPr>
        <w:t>audism</w:t>
      </w:r>
      <w:r w:rsidRPr="00E01B53">
        <w:rPr>
          <w:rFonts w:cstheme="minorHAnsi"/>
          <w:i/>
          <w:iCs/>
          <w:vertAlign w:val="superscript"/>
        </w:rPr>
        <w:t>3</w:t>
      </w:r>
      <w:r w:rsidRPr="00E01B53">
        <w:rPr>
          <w:rFonts w:cstheme="minorHAnsi"/>
        </w:rPr>
        <w:t xml:space="preserve"> (a belief that hearing people are superior to Deaf) and  </w:t>
      </w:r>
      <w:r w:rsidRPr="00E01B53">
        <w:rPr>
          <w:rFonts w:cstheme="minorHAnsi"/>
          <w:i/>
          <w:iCs/>
        </w:rPr>
        <w:t>linguicism</w:t>
      </w:r>
      <w:r w:rsidRPr="00E01B53">
        <w:rPr>
          <w:rFonts w:cstheme="minorHAnsi"/>
        </w:rPr>
        <w:t xml:space="preserve"> (discrimination against users of NZSL) have had harmful impacts on Deaf causing isolation, distress and sign language suppression  at both individual and community levels</w:t>
      </w:r>
      <w:r w:rsidRPr="00E01B53">
        <w:rPr>
          <w:rStyle w:val="EndnoteReference"/>
          <w:rFonts w:cstheme="minorHAnsi"/>
        </w:rPr>
        <w:endnoteReference w:id="11"/>
      </w:r>
      <w:r w:rsidRPr="00E01B53">
        <w:rPr>
          <w:rFonts w:cstheme="minorHAnsi"/>
          <w:vertAlign w:val="superscript"/>
        </w:rPr>
        <w:t>,</w:t>
      </w:r>
      <w:r w:rsidRPr="00E01B53">
        <w:rPr>
          <w:rStyle w:val="EndnoteReference"/>
          <w:rFonts w:cstheme="minorHAnsi"/>
        </w:rPr>
        <w:endnoteReference w:id="12"/>
      </w:r>
      <w:r w:rsidRPr="00E01B53">
        <w:rPr>
          <w:rFonts w:cstheme="minorHAnsi"/>
          <w:vertAlign w:val="superscript"/>
        </w:rPr>
        <w:t>.</w:t>
      </w:r>
      <w:r w:rsidRPr="00E01B53">
        <w:rPr>
          <w:rStyle w:val="EndnoteReference"/>
          <w:rFonts w:cstheme="minorHAnsi"/>
        </w:rPr>
        <w:endnoteReference w:id="13"/>
      </w:r>
      <w:r w:rsidRPr="00E01B53">
        <w:rPr>
          <w:rFonts w:cstheme="minorHAnsi"/>
          <w:vertAlign w:val="superscript"/>
        </w:rPr>
        <w:t>,</w:t>
      </w:r>
      <w:r w:rsidRPr="00E01B53">
        <w:rPr>
          <w:rStyle w:val="EndnoteReference"/>
          <w:rFonts w:cstheme="minorHAnsi"/>
        </w:rPr>
        <w:endnoteReference w:id="14"/>
      </w:r>
      <w:r w:rsidRPr="00E01B53">
        <w:rPr>
          <w:rFonts w:cstheme="minorHAnsi"/>
          <w:vertAlign w:val="superscript"/>
        </w:rPr>
        <w:t>.</w:t>
      </w:r>
      <w:r w:rsidRPr="00E01B53">
        <w:rPr>
          <w:rFonts w:cstheme="minorHAnsi"/>
        </w:rPr>
        <w:t xml:space="preserve"> </w:t>
      </w:r>
    </w:p>
    <w:p w14:paraId="242595B9" w14:textId="3E731C5B" w:rsidR="000B0B1D" w:rsidRPr="00E01B53" w:rsidRDefault="000B0B1D" w:rsidP="003A27A1">
      <w:pPr>
        <w:pStyle w:val="ListParagraph"/>
        <w:numPr>
          <w:ilvl w:val="0"/>
          <w:numId w:val="2"/>
        </w:numPr>
        <w:spacing w:line="240" w:lineRule="auto"/>
        <w:rPr>
          <w:rFonts w:cs="Arial"/>
        </w:rPr>
      </w:pPr>
      <w:r w:rsidRPr="00E01B53">
        <w:rPr>
          <w:rFonts w:cstheme="minorHAnsi"/>
        </w:rPr>
        <w:t>One harmful impact of audism is the acceptance by Deaf of the negative ideas about Deaf promoted by audism</w:t>
      </w:r>
      <w:r w:rsidRPr="00E01B53">
        <w:rPr>
          <w:rStyle w:val="EndnoteReference"/>
          <w:rFonts w:cstheme="minorHAnsi"/>
        </w:rPr>
        <w:endnoteReference w:id="15"/>
      </w:r>
      <w:r w:rsidRPr="00E01B53">
        <w:rPr>
          <w:rFonts w:cstheme="minorHAnsi"/>
        </w:rPr>
        <w:t xml:space="preserve">. This is a colonizing process where hearing people </w:t>
      </w:r>
      <w:r w:rsidRPr="00E01B53">
        <w:rPr>
          <w:rFonts w:ascii="Arial" w:hAnsi="Arial" w:cs="Arial"/>
          <w:i/>
          <w:iCs/>
          <w:color w:val="202124"/>
          <w:sz w:val="21"/>
          <w:szCs w:val="21"/>
          <w:shd w:val="clear" w:color="auto" w:fill="FFFFFF"/>
        </w:rPr>
        <w:t>establish control over</w:t>
      </w:r>
      <w:r w:rsidRPr="00E01B53">
        <w:rPr>
          <w:rFonts w:ascii="Arial" w:hAnsi="Arial" w:cs="Arial"/>
          <w:color w:val="202124"/>
          <w:sz w:val="21"/>
          <w:szCs w:val="21"/>
          <w:shd w:val="clear" w:color="auto" w:fill="FFFFFF"/>
        </w:rPr>
        <w:t xml:space="preserve"> Deaf and explains the </w:t>
      </w:r>
      <w:r w:rsidRPr="00E01B53">
        <w:rPr>
          <w:rFonts w:cstheme="minorHAnsi"/>
        </w:rPr>
        <w:t>p</w:t>
      </w:r>
      <w:r w:rsidRPr="00E01B53">
        <w:rPr>
          <w:rFonts w:cs="Arial"/>
        </w:rPr>
        <w:t xml:space="preserve">sychological harm of negative Deaf-hearing interactions, such as the </w:t>
      </w:r>
      <w:r w:rsidRPr="00E01B53">
        <w:rPr>
          <w:rFonts w:cs="Arial"/>
          <w:i/>
          <w:iCs/>
        </w:rPr>
        <w:t>Dinner Table Syndrome</w:t>
      </w:r>
      <w:r w:rsidRPr="00E01B53">
        <w:rPr>
          <w:rFonts w:cs="Arial"/>
        </w:rPr>
        <w:t xml:space="preserve"> </w:t>
      </w:r>
      <w:r w:rsidRPr="00E01B53">
        <w:rPr>
          <w:rStyle w:val="EndnoteReference"/>
          <w:rFonts w:cs="Arial"/>
        </w:rPr>
        <w:endnoteReference w:id="16"/>
      </w:r>
      <w:r w:rsidRPr="00E01B53">
        <w:rPr>
          <w:rFonts w:cs="Arial"/>
          <w:vertAlign w:val="superscript"/>
        </w:rPr>
        <w:t>,</w:t>
      </w:r>
      <w:r w:rsidRPr="00E01B53">
        <w:rPr>
          <w:rStyle w:val="EndnoteReference"/>
          <w:rFonts w:cs="Arial"/>
        </w:rPr>
        <w:endnoteReference w:id="17"/>
      </w:r>
      <w:r w:rsidRPr="00E01B53">
        <w:rPr>
          <w:rFonts w:cs="Arial"/>
        </w:rPr>
        <w:t>, where Deaf people are perpetually left out of conversations. Increasing the opportunities for the use of Sign Language is a protective factor creating  resistance and resilience against audism</w:t>
      </w:r>
    </w:p>
    <w:p w14:paraId="12BD558E" w14:textId="4FA92A0A" w:rsidR="000B0B1D" w:rsidRPr="00E01B53" w:rsidRDefault="000B0B1D" w:rsidP="007F6B12">
      <w:pPr>
        <w:pStyle w:val="Platform2Heading"/>
        <w:rPr>
          <w:lang w:val="en-NZ"/>
        </w:rPr>
      </w:pPr>
      <w:r w:rsidRPr="00E01B53">
        <w:rPr>
          <w:lang w:val="en-NZ"/>
        </w:rPr>
        <w:t>Deaf identity and Deaf rights</w:t>
      </w:r>
    </w:p>
    <w:p w14:paraId="45B1EB9C" w14:textId="3A1CDA59" w:rsidR="000B0B1D" w:rsidRPr="00E01B53" w:rsidRDefault="000B0B1D" w:rsidP="003A27A1">
      <w:pPr>
        <w:pStyle w:val="ListParagraph"/>
        <w:numPr>
          <w:ilvl w:val="0"/>
          <w:numId w:val="2"/>
        </w:numPr>
        <w:spacing w:line="240" w:lineRule="auto"/>
        <w:jc w:val="both"/>
        <w:rPr>
          <w:rFonts w:cstheme="minorHAnsi"/>
        </w:rPr>
      </w:pPr>
      <w:r w:rsidRPr="00E01B53">
        <w:rPr>
          <w:rFonts w:cstheme="minorHAnsi"/>
        </w:rPr>
        <w:t>For Deaf,  cultural identity is always plural</w:t>
      </w:r>
      <w:r w:rsidRPr="00E01B53">
        <w:rPr>
          <w:rFonts w:cstheme="minorHAnsi"/>
          <w:vertAlign w:val="superscript"/>
        </w:rPr>
        <w:t>3</w:t>
      </w:r>
      <w:r w:rsidRPr="00E01B53">
        <w:rPr>
          <w:rFonts w:cstheme="minorHAnsi"/>
        </w:rPr>
        <w:t xml:space="preserve"> (e.g. Māori Deaf, Pakeha Deaf, Samoan Deaf, etc) and then with other communities of connection such as rainbow Deaf, Deaf refugee and Deaf plus). Deaf people want to choose where they get support, that considers the intersections of their identities.</w:t>
      </w:r>
    </w:p>
    <w:p w14:paraId="6DBF30C2" w14:textId="2B7805DB" w:rsidR="000B0B1D" w:rsidRPr="00E01B53" w:rsidRDefault="000B0B1D" w:rsidP="003A27A1">
      <w:pPr>
        <w:pStyle w:val="ListParagraph"/>
        <w:numPr>
          <w:ilvl w:val="0"/>
          <w:numId w:val="2"/>
        </w:numPr>
        <w:spacing w:line="240" w:lineRule="auto"/>
        <w:jc w:val="both"/>
        <w:rPr>
          <w:rFonts w:cstheme="minorHAnsi"/>
        </w:rPr>
      </w:pPr>
      <w:r w:rsidRPr="00E01B53">
        <w:rPr>
          <w:rFonts w:cstheme="minorHAnsi"/>
        </w:rPr>
        <w:t>The cultural trauma caused by colonisation and sign language suppression</w:t>
      </w:r>
      <w:r w:rsidRPr="00E01B53">
        <w:rPr>
          <w:rFonts w:cstheme="minorHAnsi"/>
          <w:vertAlign w:val="superscript"/>
        </w:rPr>
        <w:t>10</w:t>
      </w:r>
      <w:r w:rsidRPr="00E01B53">
        <w:rPr>
          <w:rFonts w:cstheme="minorHAnsi"/>
        </w:rPr>
        <w:t xml:space="preserve"> has to be addressed and healed based on the restoration of Deaf and Māori Deaf cultural values and perspectives. Deaf and Māori Deaf approaches to trauma and healing must be defined, controlled and undertaken by Deaf for Deaf and Māori Deaf for Māori Deaf</w:t>
      </w:r>
      <w:r w:rsidRPr="00E01B53">
        <w:rPr>
          <w:rFonts w:cstheme="minorHAnsi"/>
          <w:vertAlign w:val="superscript"/>
        </w:rPr>
        <w:endnoteReference w:id="18"/>
      </w:r>
      <w:r w:rsidRPr="00E01B53">
        <w:rPr>
          <w:rFonts w:cstheme="minorHAnsi"/>
        </w:rPr>
        <w:t xml:space="preserve">.   </w:t>
      </w:r>
    </w:p>
    <w:p w14:paraId="398FD344" w14:textId="7173EB60" w:rsidR="000B0B1D" w:rsidRPr="00E01B53" w:rsidRDefault="000B0B1D" w:rsidP="003A27A1">
      <w:pPr>
        <w:pStyle w:val="ListParagraph"/>
        <w:numPr>
          <w:ilvl w:val="0"/>
          <w:numId w:val="2"/>
        </w:numPr>
        <w:spacing w:line="240" w:lineRule="auto"/>
        <w:jc w:val="both"/>
        <w:rPr>
          <w:rFonts w:cstheme="minorHAnsi"/>
        </w:rPr>
      </w:pPr>
      <w:r w:rsidRPr="00E01B53">
        <w:rPr>
          <w:rFonts w:cstheme="minorHAnsi"/>
        </w:rPr>
        <w:t xml:space="preserve">Effective mental health services depend on </w:t>
      </w:r>
      <w:r w:rsidRPr="00E01B53">
        <w:rPr>
          <w:rFonts w:cstheme="minorHAnsi"/>
          <w:i/>
          <w:iCs/>
        </w:rPr>
        <w:t>co-design processes</w:t>
      </w:r>
      <w:r w:rsidRPr="00E01B53">
        <w:rPr>
          <w:rFonts w:cs="Arial"/>
        </w:rPr>
        <w:t xml:space="preserve"> with create an authentic Deaf presence, leading to self-determination and community empowerment. </w:t>
      </w:r>
      <w:r w:rsidRPr="00E01B53">
        <w:rPr>
          <w:rFonts w:cstheme="minorHAnsi"/>
        </w:rPr>
        <w:t xml:space="preserve">Māori must partner with Māori Deaf to create leadership roles, lead discussions and make decisons about service design that are shaped by Māori models of health.  </w:t>
      </w:r>
    </w:p>
    <w:p w14:paraId="0BBD101A" w14:textId="281099CC" w:rsidR="000B0B1D" w:rsidRPr="00E01B53" w:rsidRDefault="000B0B1D" w:rsidP="003A27A1">
      <w:pPr>
        <w:pStyle w:val="ListParagraph"/>
        <w:numPr>
          <w:ilvl w:val="0"/>
          <w:numId w:val="2"/>
        </w:numPr>
        <w:spacing w:line="240" w:lineRule="auto"/>
        <w:rPr>
          <w:rFonts w:cs="Arial"/>
        </w:rPr>
      </w:pPr>
      <w:r w:rsidRPr="00E01B53">
        <w:rPr>
          <w:rFonts w:cs="Arial"/>
        </w:rPr>
        <w:t xml:space="preserve">Deaf need to utilise current legislation and government obligations (e.g. the NZSL Act, the United Nations Convention on the Rights of People with a Disability, United Nations </w:t>
      </w:r>
      <w:r w:rsidRPr="00E01B53">
        <w:rPr>
          <w:rFonts w:cs="Arial"/>
        </w:rPr>
        <w:lastRenderedPageBreak/>
        <w:t xml:space="preserve">Universal Declaration of Human Rights, The Human Rights Act, </w:t>
      </w:r>
      <w:r w:rsidR="00FD1516" w:rsidRPr="00E01B53">
        <w:rPr>
          <w:rFonts w:cs="Arial"/>
        </w:rPr>
        <w:t xml:space="preserve">the Code of Health and Disability Services Consumers' Rights, </w:t>
      </w:r>
      <w:r w:rsidRPr="00E01B53">
        <w:rPr>
          <w:rFonts w:cs="Arial"/>
        </w:rPr>
        <w:t xml:space="preserve">the Disability Strategy. The Enabling Good </w:t>
      </w:r>
      <w:r w:rsidR="00FD1516" w:rsidRPr="00E01B53">
        <w:rPr>
          <w:rFonts w:cs="Arial"/>
        </w:rPr>
        <w:t>L</w:t>
      </w:r>
      <w:r w:rsidRPr="00E01B53">
        <w:rPr>
          <w:rFonts w:cs="Arial"/>
        </w:rPr>
        <w:t>ives Principles</w:t>
      </w:r>
      <w:r w:rsidRPr="00E01B53">
        <w:rPr>
          <w:rStyle w:val="EndnoteReference"/>
          <w:rFonts w:cs="Arial"/>
        </w:rPr>
        <w:endnoteReference w:id="19"/>
      </w:r>
      <w:r w:rsidRPr="00E01B53">
        <w:rPr>
          <w:rFonts w:cs="Arial"/>
        </w:rPr>
        <w:t>)  to ensure human rights for Deaf relating to non-discrimination, education, employment, health, social security and housing are protected.</w:t>
      </w:r>
    </w:p>
    <w:p w14:paraId="05593D8F" w14:textId="5594CC8A" w:rsidR="000B0B1D" w:rsidRPr="00E01B53" w:rsidRDefault="000B0B1D" w:rsidP="003A27A1">
      <w:pPr>
        <w:pStyle w:val="ListParagraph"/>
        <w:numPr>
          <w:ilvl w:val="0"/>
          <w:numId w:val="2"/>
        </w:numPr>
        <w:spacing w:line="240" w:lineRule="auto"/>
        <w:rPr>
          <w:rFonts w:cs="Arial"/>
        </w:rPr>
      </w:pPr>
      <w:r w:rsidRPr="00E01B53">
        <w:rPr>
          <w:rFonts w:cs="Arial"/>
        </w:rPr>
        <w:t>A fundamental right that is often ignored by health professionals is the right to access NZSL interpreters</w:t>
      </w:r>
      <w:r w:rsidRPr="00E01B53">
        <w:rPr>
          <w:rFonts w:cs="Arial"/>
          <w:vertAlign w:val="superscript"/>
        </w:rPr>
        <w:t>1,3</w:t>
      </w:r>
      <w:r w:rsidRPr="00E01B53">
        <w:rPr>
          <w:rFonts w:cs="Arial"/>
        </w:rPr>
        <w:t>.</w:t>
      </w:r>
    </w:p>
    <w:p w14:paraId="3DA31A6D" w14:textId="5962DFE8" w:rsidR="000B0B1D" w:rsidRPr="00E01B53" w:rsidRDefault="000B0B1D" w:rsidP="007F6B12">
      <w:pPr>
        <w:pStyle w:val="Platform2Heading"/>
        <w:rPr>
          <w:vertAlign w:val="superscript"/>
          <w:lang w:val="en-NZ"/>
        </w:rPr>
      </w:pPr>
      <w:r w:rsidRPr="00E01B53">
        <w:rPr>
          <w:lang w:val="en-NZ"/>
        </w:rPr>
        <w:t>The need for a nationally coordinated Deaf mental health approach</w:t>
      </w:r>
      <w:r w:rsidRPr="00E01B53">
        <w:rPr>
          <w:vertAlign w:val="superscript"/>
          <w:lang w:val="en-NZ"/>
        </w:rPr>
        <w:t>3</w:t>
      </w:r>
    </w:p>
    <w:p w14:paraId="6A6D7B1F" w14:textId="2AFEE65E" w:rsidR="000B0B1D" w:rsidRPr="00E01B53" w:rsidRDefault="000B0B1D" w:rsidP="003A27A1">
      <w:pPr>
        <w:pStyle w:val="ListParagraph"/>
        <w:numPr>
          <w:ilvl w:val="0"/>
          <w:numId w:val="2"/>
        </w:numPr>
        <w:spacing w:line="240" w:lineRule="auto"/>
        <w:jc w:val="both"/>
        <w:rPr>
          <w:rFonts w:cstheme="minorHAnsi"/>
        </w:rPr>
      </w:pPr>
      <w:r w:rsidRPr="00E01B53">
        <w:rPr>
          <w:rFonts w:cstheme="minorHAnsi"/>
        </w:rPr>
        <w:t xml:space="preserve">The Deaf community is a cultural and linguistic community that requires a targeted and nationally coordinated response  covering acute services, community support, counselling, telehealth, and residential and vocational services. Just making the mental health staff more Deaf aware and relying on interpreters will not be sufficient  </w:t>
      </w:r>
    </w:p>
    <w:p w14:paraId="34187574" w14:textId="20B86692" w:rsidR="000B0B1D" w:rsidRPr="00E01B53" w:rsidRDefault="000B0B1D" w:rsidP="003A27A1">
      <w:pPr>
        <w:pStyle w:val="ListParagraph"/>
        <w:numPr>
          <w:ilvl w:val="0"/>
          <w:numId w:val="2"/>
        </w:numPr>
        <w:tabs>
          <w:tab w:val="left" w:pos="1240"/>
        </w:tabs>
        <w:spacing w:line="240" w:lineRule="auto"/>
        <w:jc w:val="both"/>
        <w:rPr>
          <w:rFonts w:cstheme="minorHAnsi"/>
        </w:rPr>
      </w:pPr>
      <w:r w:rsidRPr="00E01B53">
        <w:rPr>
          <w:rFonts w:cstheme="minorHAnsi"/>
        </w:rPr>
        <w:t>Being Deaf must be part of the health data base so that the outcomes for Deaf within the health system can be measure and improved over time</w:t>
      </w:r>
    </w:p>
    <w:p w14:paraId="13560023" w14:textId="65C19F77" w:rsidR="000B0B1D" w:rsidRPr="00E01B53" w:rsidRDefault="000B0B1D" w:rsidP="003A27A1">
      <w:pPr>
        <w:pStyle w:val="ListParagraph"/>
        <w:numPr>
          <w:ilvl w:val="0"/>
          <w:numId w:val="4"/>
        </w:numPr>
        <w:spacing w:line="240" w:lineRule="auto"/>
        <w:rPr>
          <w:rFonts w:cstheme="minorHAnsi"/>
        </w:rPr>
      </w:pPr>
      <w:r w:rsidRPr="00E01B53">
        <w:rPr>
          <w:rFonts w:cstheme="minorHAnsi"/>
        </w:rPr>
        <w:t xml:space="preserve">There needs to be a nationally coordinated approach to building the capability and capacity of Deaf to become qualified </w:t>
      </w:r>
      <w:r w:rsidR="006E0EE0" w:rsidRPr="00E01B53">
        <w:rPr>
          <w:rFonts w:cstheme="minorHAnsi"/>
        </w:rPr>
        <w:t xml:space="preserve">in </w:t>
      </w:r>
      <w:r w:rsidR="006E0EE0" w:rsidRPr="00E01B53">
        <w:rPr>
          <w:rFonts w:eastAsia="Times New Roman"/>
        </w:rPr>
        <w:t>NZSL Support Roles</w:t>
      </w:r>
      <w:r w:rsidR="006E0EE0" w:rsidRPr="00E01B53">
        <w:rPr>
          <w:rFonts w:cstheme="minorHAnsi"/>
        </w:rPr>
        <w:t xml:space="preserve"> and as h</w:t>
      </w:r>
      <w:r w:rsidRPr="00E01B53">
        <w:rPr>
          <w:rFonts w:cstheme="minorHAnsi"/>
        </w:rPr>
        <w:t xml:space="preserve">ealth and mental health </w:t>
      </w:r>
      <w:r w:rsidR="006E0EE0" w:rsidRPr="00E01B53">
        <w:rPr>
          <w:rFonts w:cstheme="minorHAnsi"/>
        </w:rPr>
        <w:t>&amp;</w:t>
      </w:r>
      <w:r w:rsidRPr="00E01B53">
        <w:rPr>
          <w:rFonts w:cstheme="minorHAnsi"/>
        </w:rPr>
        <w:t xml:space="preserve"> addiction practitioners, counsellors, psychologists, </w:t>
      </w:r>
      <w:r w:rsidR="006E0EE0" w:rsidRPr="00E01B53">
        <w:rPr>
          <w:rFonts w:cstheme="minorHAnsi"/>
        </w:rPr>
        <w:t>etc.</w:t>
      </w:r>
      <w:r w:rsidRPr="00E01B53">
        <w:rPr>
          <w:rFonts w:cstheme="minorHAnsi"/>
        </w:rPr>
        <w:t xml:space="preserve">  Such training would recognise the challenges Deaf professionals face at work (minority tax (burden of extra responsibilities placed on minority </w:t>
      </w:r>
      <w:r w:rsidR="00F66C8E" w:rsidRPr="00E01B53">
        <w:rPr>
          <w:rFonts w:cstheme="minorHAnsi"/>
        </w:rPr>
        <w:t>communities</w:t>
      </w:r>
      <w:r w:rsidRPr="00E01B53">
        <w:rPr>
          <w:rFonts w:cstheme="minorHAnsi"/>
        </w:rPr>
        <w:t xml:space="preserve"> in the name of diversity), audism, linguicism and social barriers with colleagues) </w:t>
      </w:r>
      <w:r w:rsidRPr="00E01B53">
        <w:rPr>
          <w:rStyle w:val="EndnoteReference"/>
          <w:rFonts w:cstheme="minorHAnsi"/>
        </w:rPr>
        <w:endnoteReference w:id="20"/>
      </w:r>
      <w:r w:rsidRPr="00E01B53">
        <w:rPr>
          <w:rFonts w:cstheme="minorHAnsi"/>
          <w:vertAlign w:val="superscript"/>
        </w:rPr>
        <w:t>,</w:t>
      </w:r>
      <w:r w:rsidRPr="00E01B53">
        <w:rPr>
          <w:rStyle w:val="EndnoteReference"/>
          <w:rFonts w:cstheme="minorHAnsi"/>
        </w:rPr>
        <w:endnoteReference w:id="21"/>
      </w:r>
      <w:r w:rsidRPr="00E01B53">
        <w:rPr>
          <w:rFonts w:cstheme="minorHAnsi"/>
          <w:vertAlign w:val="superscript"/>
        </w:rPr>
        <w:t>,</w:t>
      </w:r>
      <w:r w:rsidRPr="00E01B53">
        <w:rPr>
          <w:rStyle w:val="EndnoteReference"/>
          <w:rFonts w:cstheme="minorHAnsi"/>
        </w:rPr>
        <w:endnoteReference w:id="22"/>
      </w:r>
      <w:r w:rsidRPr="00E01B53">
        <w:rPr>
          <w:rFonts w:cstheme="minorHAnsi"/>
        </w:rPr>
        <w:t xml:space="preserve"> and provide strategies to minimising their risk of burn-out and struggles in maintaining boundaries. </w:t>
      </w:r>
    </w:p>
    <w:p w14:paraId="676F697D" w14:textId="77777777" w:rsidR="001231F1" w:rsidRPr="00E01B53" w:rsidRDefault="000B0B1D" w:rsidP="003A27A1">
      <w:pPr>
        <w:pStyle w:val="ListParagraph"/>
        <w:numPr>
          <w:ilvl w:val="0"/>
          <w:numId w:val="4"/>
        </w:numPr>
        <w:spacing w:line="240" w:lineRule="auto"/>
        <w:rPr>
          <w:rFonts w:cstheme="minorHAnsi"/>
        </w:rPr>
      </w:pPr>
      <w:r w:rsidRPr="00E01B53">
        <w:rPr>
          <w:rFonts w:cstheme="minorHAnsi"/>
        </w:rPr>
        <w:t xml:space="preserve">There needs to be a nationally coordinated approach to building the capability and capacity of hearing health professionals competent in NZSL </w:t>
      </w:r>
    </w:p>
    <w:p w14:paraId="1A04E039" w14:textId="30BB4B7C" w:rsidR="000B0B1D" w:rsidRPr="00E01B53" w:rsidRDefault="001231F1" w:rsidP="003A27A1">
      <w:pPr>
        <w:pStyle w:val="ListParagraph"/>
        <w:numPr>
          <w:ilvl w:val="0"/>
          <w:numId w:val="4"/>
        </w:numPr>
        <w:spacing w:line="240" w:lineRule="auto"/>
        <w:rPr>
          <w:rFonts w:cstheme="minorHAnsi"/>
        </w:rPr>
      </w:pPr>
      <w:r w:rsidRPr="00E01B53">
        <w:rPr>
          <w:rFonts w:cstheme="minorHAnsi"/>
        </w:rPr>
        <w:t xml:space="preserve">There needs to be a national management structure for interpreters that builds the capability and capacity </w:t>
      </w:r>
      <w:r w:rsidR="000B0B1D" w:rsidRPr="00E01B53">
        <w:rPr>
          <w:rFonts w:cstheme="minorHAnsi"/>
        </w:rPr>
        <w:t>of interpreters skilled in mental health interpreting</w:t>
      </w:r>
      <w:r w:rsidRPr="00E01B53">
        <w:rPr>
          <w:rFonts w:cstheme="minorHAnsi"/>
        </w:rPr>
        <w:t xml:space="preserve">, </w:t>
      </w:r>
      <w:r w:rsidR="00CE6132" w:rsidRPr="00E01B53">
        <w:rPr>
          <w:rFonts w:cstheme="minorHAnsi"/>
        </w:rPr>
        <w:t xml:space="preserve"> including </w:t>
      </w:r>
      <w:r w:rsidRPr="00E01B53">
        <w:rPr>
          <w:rFonts w:cstheme="minorHAnsi"/>
        </w:rPr>
        <w:t>telehealth interpreting, D</w:t>
      </w:r>
      <w:r w:rsidR="00CE6132" w:rsidRPr="00E01B53">
        <w:rPr>
          <w:rFonts w:cstheme="minorHAnsi"/>
        </w:rPr>
        <w:t xml:space="preserve">eaf interpreters, communication support </w:t>
      </w:r>
      <w:r w:rsidRPr="00E01B53">
        <w:rPr>
          <w:rFonts w:cstheme="minorHAnsi"/>
        </w:rPr>
        <w:t>roles and tri-lingual interpreters.</w:t>
      </w:r>
    </w:p>
    <w:p w14:paraId="07F19526" w14:textId="645FEAB2" w:rsidR="000B0B1D" w:rsidRPr="00E01B53" w:rsidRDefault="000B0B1D" w:rsidP="003A27A1">
      <w:pPr>
        <w:pStyle w:val="ListParagraph"/>
        <w:numPr>
          <w:ilvl w:val="0"/>
          <w:numId w:val="4"/>
        </w:numPr>
        <w:spacing w:line="240" w:lineRule="auto"/>
        <w:rPr>
          <w:rFonts w:cstheme="minorHAnsi"/>
        </w:rPr>
      </w:pPr>
      <w:r w:rsidRPr="00E01B53">
        <w:rPr>
          <w:rFonts w:cstheme="minorHAnsi"/>
        </w:rPr>
        <w:t>There needs to be a nationally coordinated approach to building services for Deaf children and their carers that will prevent and address the trauma of abuse and identity formation that many Deaf have experienced grow</w:t>
      </w:r>
      <w:r w:rsidR="00B00417" w:rsidRPr="00E01B53">
        <w:rPr>
          <w:rFonts w:cstheme="minorHAnsi"/>
        </w:rPr>
        <w:t>i</w:t>
      </w:r>
      <w:r w:rsidRPr="00E01B53">
        <w:rPr>
          <w:rFonts w:cstheme="minorHAnsi"/>
        </w:rPr>
        <w:t>ng up in New Zealand.</w:t>
      </w:r>
    </w:p>
    <w:p w14:paraId="4274BD4C" w14:textId="45ADFA49" w:rsidR="000B0B1D" w:rsidRPr="00E01B53" w:rsidRDefault="000B0B1D" w:rsidP="003A27A1">
      <w:pPr>
        <w:pStyle w:val="ListParagraph"/>
        <w:numPr>
          <w:ilvl w:val="0"/>
          <w:numId w:val="4"/>
        </w:numPr>
        <w:spacing w:line="240" w:lineRule="auto"/>
        <w:rPr>
          <w:color w:val="000000" w:themeColor="text1"/>
        </w:rPr>
      </w:pPr>
      <w:r w:rsidRPr="00E01B53">
        <w:rPr>
          <w:color w:val="000000" w:themeColor="text1"/>
        </w:rPr>
        <w:t xml:space="preserve">The national funding support for Deaf with mental health must recognise that because of the cultural-linguistic barriers Deaf face they will require </w:t>
      </w:r>
      <w:r w:rsidRPr="00E01B53">
        <w:rPr>
          <w:i/>
          <w:iCs/>
          <w:color w:val="000000" w:themeColor="text1"/>
        </w:rPr>
        <w:t>Very High Needs</w:t>
      </w:r>
      <w:r w:rsidRPr="00E01B53">
        <w:rPr>
          <w:color w:val="000000" w:themeColor="text1"/>
        </w:rPr>
        <w:t xml:space="preserve"> (VHN) funding to ensure an adequate level of service. The current community needs-assessment processes under the disability model does not have the flexibility for Deaf to gain access to services they need.  </w:t>
      </w:r>
      <w:r w:rsidR="001231F1" w:rsidRPr="00E01B53">
        <w:rPr>
          <w:color w:val="000000" w:themeColor="text1"/>
        </w:rPr>
        <w:t>Also,</w:t>
      </w:r>
      <w:r w:rsidRPr="00E01B53">
        <w:rPr>
          <w:color w:val="000000" w:themeColor="text1"/>
        </w:rPr>
        <w:t xml:space="preserve"> we need to remove the silo approach of MOE, MOH and MSD that creates commercial competition (come here, but can’t go elsewhere) and isolation (not sharing information, not promoting other services) </w:t>
      </w:r>
    </w:p>
    <w:p w14:paraId="44020135" w14:textId="6C4506BF" w:rsidR="000B0B1D" w:rsidRPr="00E01B53" w:rsidRDefault="000B0B1D" w:rsidP="003A27A1">
      <w:pPr>
        <w:pStyle w:val="ListParagraph"/>
        <w:numPr>
          <w:ilvl w:val="0"/>
          <w:numId w:val="4"/>
        </w:numPr>
        <w:spacing w:line="240" w:lineRule="auto"/>
        <w:rPr>
          <w:rFonts w:cs="Arial"/>
          <w:color w:val="000000" w:themeColor="text1"/>
        </w:rPr>
      </w:pPr>
      <w:r w:rsidRPr="00E01B53">
        <w:rPr>
          <w:rFonts w:cs="Arial"/>
          <w:color w:val="000000" w:themeColor="text1"/>
        </w:rPr>
        <w:t xml:space="preserve">Deaf need a nationally coordinated information service on how to get mental health support.  A one-stop-shop centre for quick signposting and direction.  Deaf experience a labyrinth of primary-tertiary services, are confused where and how to get help, and not knowing what is wrong with them. </w:t>
      </w:r>
      <w:r w:rsidR="00964358" w:rsidRPr="00E01B53">
        <w:rPr>
          <w:rFonts w:cs="Arial"/>
          <w:color w:val="000000" w:themeColor="text1"/>
        </w:rPr>
        <w:t>Deaf</w:t>
      </w:r>
      <w:r w:rsidRPr="00E01B53">
        <w:rPr>
          <w:rFonts w:cs="Arial"/>
          <w:color w:val="000000" w:themeColor="text1"/>
        </w:rPr>
        <w:t xml:space="preserve"> need more clarity on referral routes with</w:t>
      </w:r>
      <w:r w:rsidRPr="00E01B53">
        <w:rPr>
          <w:color w:val="000000" w:themeColor="text1"/>
        </w:rPr>
        <w:t xml:space="preserve"> self-referral recommended to bypass family GP for more confidentiality</w:t>
      </w:r>
    </w:p>
    <w:p w14:paraId="36857DD2" w14:textId="07E1B565" w:rsidR="000B0B1D" w:rsidRPr="00E01B53" w:rsidRDefault="000B0B1D" w:rsidP="003A27A1">
      <w:pPr>
        <w:pStyle w:val="ListParagraph"/>
        <w:spacing w:line="240" w:lineRule="auto"/>
        <w:rPr>
          <w:rFonts w:cs="Arial"/>
          <w:color w:val="000000" w:themeColor="text1"/>
        </w:rPr>
      </w:pPr>
    </w:p>
    <w:p w14:paraId="56165C23" w14:textId="0D4B31B5" w:rsidR="000B0B1D" w:rsidRPr="00E01B53" w:rsidRDefault="000B0B1D" w:rsidP="007F6B12">
      <w:pPr>
        <w:pStyle w:val="Platform2Heading"/>
        <w:rPr>
          <w:lang w:val="en-NZ"/>
        </w:rPr>
      </w:pPr>
      <w:r w:rsidRPr="00E01B53">
        <w:rPr>
          <w:lang w:val="en-NZ"/>
        </w:rPr>
        <w:t>Specifics issues for a Deaf menta</w:t>
      </w:r>
      <w:r w:rsidR="00293E68" w:rsidRPr="00E01B53">
        <w:rPr>
          <w:lang w:val="en-NZ"/>
        </w:rPr>
        <w:t>l</w:t>
      </w:r>
      <w:r w:rsidRPr="00E01B53">
        <w:rPr>
          <w:lang w:val="en-NZ"/>
        </w:rPr>
        <w:t xml:space="preserve"> health support services</w:t>
      </w:r>
    </w:p>
    <w:p w14:paraId="4250815E" w14:textId="18BEB49D" w:rsidR="000B0B1D" w:rsidRPr="00E01B53" w:rsidRDefault="000B0B1D" w:rsidP="003A27A1">
      <w:pPr>
        <w:pStyle w:val="ListParagraph"/>
        <w:numPr>
          <w:ilvl w:val="0"/>
          <w:numId w:val="4"/>
        </w:numPr>
        <w:spacing w:line="240" w:lineRule="auto"/>
        <w:rPr>
          <w:rFonts w:cs="Arial"/>
        </w:rPr>
      </w:pPr>
      <w:r w:rsidRPr="00E01B53">
        <w:rPr>
          <w:rFonts w:cs="Arial"/>
        </w:rPr>
        <w:t>Deaf want a holistic, wrap-around</w:t>
      </w:r>
      <w:r w:rsidR="00293E68" w:rsidRPr="00E01B53">
        <w:rPr>
          <w:rFonts w:cs="Arial"/>
        </w:rPr>
        <w:t>,</w:t>
      </w:r>
      <w:r w:rsidRPr="00E01B53">
        <w:rPr>
          <w:rFonts w:cs="Arial"/>
        </w:rPr>
        <w:t xml:space="preserve"> womb to tomb service </w:t>
      </w:r>
      <w:r w:rsidRPr="00E01B53">
        <w:rPr>
          <w:rStyle w:val="EndnoteReference"/>
          <w:rFonts w:cs="Arial"/>
        </w:rPr>
        <w:endnoteReference w:id="23"/>
      </w:r>
      <w:r w:rsidRPr="00E01B53">
        <w:rPr>
          <w:rFonts w:cs="Arial"/>
        </w:rPr>
        <w:t>, with responsive (not reactive) networks for early support and reflecting Te Whare Tapa Whā, a Māori unified theory of health. Deaf want Deaf and Deaf-friendly Mentoring pathways and Allyship</w:t>
      </w:r>
      <w:r w:rsidRPr="00E01B53">
        <w:rPr>
          <w:rStyle w:val="EndnoteReference"/>
          <w:rFonts w:cs="Arial"/>
        </w:rPr>
        <w:endnoteReference w:id="24"/>
      </w:r>
      <w:r w:rsidRPr="00E01B53">
        <w:rPr>
          <w:rFonts w:cs="Arial"/>
          <w:vertAlign w:val="superscript"/>
        </w:rPr>
        <w:t>,</w:t>
      </w:r>
      <w:r w:rsidRPr="00E01B53">
        <w:rPr>
          <w:rStyle w:val="EndnoteReference"/>
          <w:rFonts w:cs="Arial"/>
        </w:rPr>
        <w:endnoteReference w:id="25"/>
      </w:r>
      <w:r w:rsidRPr="00E01B53">
        <w:rPr>
          <w:rFonts w:cs="Arial"/>
        </w:rPr>
        <w:t xml:space="preserve">.  </w:t>
      </w:r>
    </w:p>
    <w:p w14:paraId="2AE21F35" w14:textId="73907DDC" w:rsidR="000B0B1D" w:rsidRPr="00E01B53" w:rsidRDefault="000B0B1D" w:rsidP="003A27A1">
      <w:pPr>
        <w:pStyle w:val="ListParagraph"/>
        <w:numPr>
          <w:ilvl w:val="0"/>
          <w:numId w:val="4"/>
        </w:numPr>
        <w:spacing w:line="240" w:lineRule="auto"/>
        <w:rPr>
          <w:rFonts w:cs="Arial"/>
        </w:rPr>
      </w:pPr>
      <w:r w:rsidRPr="00E01B53">
        <w:rPr>
          <w:rFonts w:cs="Arial"/>
        </w:rPr>
        <w:t>Family involvement is vital</w:t>
      </w:r>
      <w:r w:rsidR="00181AD8" w:rsidRPr="00E01B53">
        <w:rPr>
          <w:rFonts w:cs="Arial"/>
          <w:vertAlign w:val="superscript"/>
        </w:rPr>
        <w:t>17</w:t>
      </w:r>
      <w:r w:rsidR="00181AD8" w:rsidRPr="00E01B53">
        <w:rPr>
          <w:rFonts w:cs="Arial"/>
        </w:rPr>
        <w:t xml:space="preserve"> </w:t>
      </w:r>
      <w:r w:rsidRPr="00E01B53">
        <w:rPr>
          <w:rFonts w:cs="Arial"/>
        </w:rPr>
        <w:t>and the protective role of Deaf community as a second family  must be recognised.</w:t>
      </w:r>
      <w:r w:rsidR="00181AD8" w:rsidRPr="00E01B53">
        <w:rPr>
          <w:rFonts w:cs="Arial"/>
          <w:vertAlign w:val="superscript"/>
        </w:rPr>
        <w:t>17</w:t>
      </w:r>
    </w:p>
    <w:p w14:paraId="4D7D7360" w14:textId="183E1E7E" w:rsidR="000B0B1D" w:rsidRPr="00E01B53" w:rsidRDefault="008A24FC" w:rsidP="003A27A1">
      <w:pPr>
        <w:pStyle w:val="ListParagraph"/>
        <w:numPr>
          <w:ilvl w:val="0"/>
          <w:numId w:val="4"/>
        </w:numPr>
        <w:spacing w:line="240" w:lineRule="auto"/>
        <w:rPr>
          <w:rFonts w:cs="Arial"/>
        </w:rPr>
      </w:pPr>
      <w:r w:rsidRPr="00E01B53">
        <w:rPr>
          <w:rFonts w:cs="Arial"/>
        </w:rPr>
        <w:lastRenderedPageBreak/>
        <w:t>There is an</w:t>
      </w:r>
      <w:r w:rsidR="000B0B1D" w:rsidRPr="00E01B53">
        <w:rPr>
          <w:rFonts w:cs="Arial"/>
        </w:rPr>
        <w:t xml:space="preserve"> urgent need for </w:t>
      </w:r>
      <w:r w:rsidRPr="00E01B53">
        <w:rPr>
          <w:rFonts w:cs="Arial"/>
        </w:rPr>
        <w:t>quality</w:t>
      </w:r>
      <w:r w:rsidR="000B0B1D" w:rsidRPr="00E01B53">
        <w:rPr>
          <w:rFonts w:cs="Arial"/>
        </w:rPr>
        <w:t xml:space="preserve"> acute care </w:t>
      </w:r>
      <w:r w:rsidRPr="00E01B53">
        <w:rPr>
          <w:rFonts w:cs="Arial"/>
        </w:rPr>
        <w:t xml:space="preserve">for the Deaf in </w:t>
      </w:r>
      <w:r w:rsidR="000B0B1D" w:rsidRPr="00E01B53">
        <w:rPr>
          <w:rFonts w:cs="Arial"/>
        </w:rPr>
        <w:t>a culturally, linguistically appropriate environment</w:t>
      </w:r>
      <w:r w:rsidRPr="00E01B53">
        <w:rPr>
          <w:rFonts w:cs="Arial"/>
        </w:rPr>
        <w:t xml:space="preserve"> to enable </w:t>
      </w:r>
      <w:r w:rsidR="000B0B1D" w:rsidRPr="00E01B53">
        <w:rPr>
          <w:rFonts w:cs="Arial"/>
        </w:rPr>
        <w:t xml:space="preserve"> effective assessment-diagnosis-treatment-recovery.</w:t>
      </w:r>
      <w:r w:rsidRPr="00E01B53">
        <w:rPr>
          <w:rFonts w:cs="Arial"/>
        </w:rPr>
        <w:t xml:space="preserve"> How Deaf can access these most specialised mental health services with New Zealand’s spread-out Deaf community needs to be solved. </w:t>
      </w:r>
    </w:p>
    <w:p w14:paraId="5F15AA16" w14:textId="3C2ED32B" w:rsidR="008D70AD" w:rsidRPr="00E01B53" w:rsidRDefault="008D70AD" w:rsidP="003A27A1">
      <w:pPr>
        <w:pStyle w:val="ListParagraph"/>
        <w:numPr>
          <w:ilvl w:val="0"/>
          <w:numId w:val="4"/>
        </w:numPr>
        <w:spacing w:line="240" w:lineRule="auto"/>
        <w:rPr>
          <w:rFonts w:cs="Arial"/>
        </w:rPr>
      </w:pPr>
      <w:r w:rsidRPr="00E01B53">
        <w:rPr>
          <w:rFonts w:cs="Arial"/>
        </w:rPr>
        <w:t xml:space="preserve">Deaf expect  signing </w:t>
      </w:r>
      <w:r w:rsidR="008A24FC" w:rsidRPr="00E01B53">
        <w:rPr>
          <w:rFonts w:cs="Arial"/>
        </w:rPr>
        <w:t xml:space="preserve">community support services </w:t>
      </w:r>
      <w:r w:rsidRPr="00E01B53">
        <w:rPr>
          <w:rFonts w:cs="Arial"/>
        </w:rPr>
        <w:t>including counselling (Deaf and interpreter supported), telehealth, and residential and vocational services.</w:t>
      </w:r>
    </w:p>
    <w:p w14:paraId="4CBC3A4A" w14:textId="5A9FEB91" w:rsidR="00EC4B59" w:rsidRPr="00E01B53" w:rsidRDefault="008D70AD" w:rsidP="00EC4B59">
      <w:pPr>
        <w:pStyle w:val="ListParagraph"/>
        <w:numPr>
          <w:ilvl w:val="0"/>
          <w:numId w:val="4"/>
        </w:numPr>
        <w:spacing w:line="240" w:lineRule="auto"/>
        <w:rPr>
          <w:rFonts w:cs="Arial"/>
        </w:rPr>
      </w:pPr>
      <w:r w:rsidRPr="00E01B53">
        <w:rPr>
          <w:rFonts w:cs="Arial"/>
        </w:rPr>
        <w:t xml:space="preserve">A strong Deaf friendly </w:t>
      </w:r>
      <w:r w:rsidR="000B0B1D" w:rsidRPr="00E01B53">
        <w:rPr>
          <w:rFonts w:cs="Arial"/>
        </w:rPr>
        <w:t xml:space="preserve">health promotion and general community psychoeducation </w:t>
      </w:r>
      <w:r w:rsidRPr="00E01B53">
        <w:rPr>
          <w:rFonts w:cs="Arial"/>
        </w:rPr>
        <w:t xml:space="preserve">programme </w:t>
      </w:r>
      <w:r w:rsidR="000B0B1D" w:rsidRPr="00E01B53">
        <w:rPr>
          <w:rFonts w:cs="Arial"/>
        </w:rPr>
        <w:t>align</w:t>
      </w:r>
      <w:r w:rsidR="00EC4B59" w:rsidRPr="00E01B53">
        <w:rPr>
          <w:rFonts w:cs="Arial"/>
        </w:rPr>
        <w:t>ed</w:t>
      </w:r>
      <w:r w:rsidR="000B0B1D" w:rsidRPr="00E01B53">
        <w:rPr>
          <w:rFonts w:cs="Arial"/>
        </w:rPr>
        <w:t xml:space="preserve"> with Deafhood, </w:t>
      </w:r>
      <w:r w:rsidR="00EC4B59" w:rsidRPr="00E01B53">
        <w:rPr>
          <w:rFonts w:cs="Arial"/>
        </w:rPr>
        <w:t xml:space="preserve">creating a </w:t>
      </w:r>
      <w:r w:rsidR="000B0B1D" w:rsidRPr="00E01B53">
        <w:rPr>
          <w:rFonts w:cs="Arial"/>
        </w:rPr>
        <w:t xml:space="preserve">cultural toolbox and community capital for resilience and self-advocacy against audism and linguicism </w:t>
      </w:r>
      <w:r w:rsidR="00EC4B59" w:rsidRPr="00E01B53">
        <w:rPr>
          <w:rFonts w:cs="Arial"/>
        </w:rPr>
        <w:t>resulting in</w:t>
      </w:r>
      <w:r w:rsidR="000B0B1D" w:rsidRPr="00E01B53">
        <w:rPr>
          <w:rFonts w:cs="Arial"/>
        </w:rPr>
        <w:t xml:space="preserve"> better individual and collective mental health wellbeing</w:t>
      </w:r>
      <w:r w:rsidR="00181AD8" w:rsidRPr="00E01B53">
        <w:rPr>
          <w:rFonts w:cs="Arial"/>
          <w:vertAlign w:val="superscript"/>
        </w:rPr>
        <w:t>20</w:t>
      </w:r>
      <w:r w:rsidR="000B0B1D" w:rsidRPr="00E01B53">
        <w:rPr>
          <w:rFonts w:cs="Arial"/>
          <w:vertAlign w:val="superscript"/>
        </w:rPr>
        <w:t>,</w:t>
      </w:r>
      <w:r w:rsidR="000B0B1D" w:rsidRPr="00E01B53">
        <w:rPr>
          <w:rStyle w:val="EndnoteReference"/>
          <w:rFonts w:cs="Arial"/>
        </w:rPr>
        <w:endnoteReference w:id="26"/>
      </w:r>
      <w:r w:rsidR="000B0B1D" w:rsidRPr="00E01B53">
        <w:rPr>
          <w:rFonts w:cs="Arial"/>
          <w:vertAlign w:val="superscript"/>
        </w:rPr>
        <w:t>,</w:t>
      </w:r>
      <w:r w:rsidR="000B0B1D" w:rsidRPr="00E01B53">
        <w:rPr>
          <w:rStyle w:val="EndnoteReference"/>
          <w:rFonts w:cs="Arial"/>
        </w:rPr>
        <w:endnoteReference w:id="27"/>
      </w:r>
      <w:r w:rsidR="00EC4B59" w:rsidRPr="00E01B53">
        <w:rPr>
          <w:rFonts w:cs="Arial"/>
        </w:rPr>
        <w:t xml:space="preserve">.  This could include </w:t>
      </w:r>
      <w:r w:rsidR="000B0B1D" w:rsidRPr="00E01B53">
        <w:rPr>
          <w:rFonts w:cs="Arial"/>
          <w:i/>
          <w:iCs/>
        </w:rPr>
        <w:t>Deaf Ecosystems</w:t>
      </w:r>
      <w:r w:rsidR="00615F78" w:rsidRPr="00E01B53">
        <w:rPr>
          <w:rStyle w:val="EndnoteReference"/>
          <w:rFonts w:cs="Arial"/>
          <w:i/>
          <w:iCs/>
        </w:rPr>
        <w:endnoteReference w:id="28"/>
      </w:r>
      <w:r w:rsidR="000B0B1D" w:rsidRPr="00E01B53">
        <w:rPr>
          <w:rFonts w:cs="Arial"/>
        </w:rPr>
        <w:t>, a directory of Deaf and NZSL accessible resources and services</w:t>
      </w:r>
      <w:r w:rsidR="00EC4B59" w:rsidRPr="00E01B53">
        <w:rPr>
          <w:rFonts w:cs="Arial"/>
        </w:rPr>
        <w:t xml:space="preserve"> and/or an independent health promotion central hub for resources such as the UK SignHealth</w:t>
      </w:r>
      <w:r w:rsidR="00615F78" w:rsidRPr="00E01B53">
        <w:rPr>
          <w:rStyle w:val="EndnoteReference"/>
          <w:rFonts w:cs="Arial"/>
        </w:rPr>
        <w:endnoteReference w:id="29"/>
      </w:r>
      <w:r w:rsidR="00293E68" w:rsidRPr="00E01B53">
        <w:rPr>
          <w:rFonts w:cs="Arial"/>
        </w:rPr>
        <w:t xml:space="preserve"> </w:t>
      </w:r>
      <w:r w:rsidR="00EC4B59" w:rsidRPr="00E01B53">
        <w:rPr>
          <w:rFonts w:cs="Arial"/>
        </w:rPr>
        <w:t>with Deaf interpretation, videos with real stories as examples</w:t>
      </w:r>
    </w:p>
    <w:p w14:paraId="7568689C" w14:textId="1B517731" w:rsidR="00A32397" w:rsidRDefault="00293E68" w:rsidP="003A27A1">
      <w:pPr>
        <w:pStyle w:val="ListParagraph"/>
        <w:numPr>
          <w:ilvl w:val="0"/>
          <w:numId w:val="4"/>
        </w:numPr>
        <w:spacing w:line="240" w:lineRule="auto"/>
        <w:rPr>
          <w:rFonts w:cs="Arial"/>
        </w:rPr>
      </w:pPr>
      <w:r w:rsidRPr="00E01B53">
        <w:rPr>
          <w:rFonts w:cs="Arial"/>
        </w:rPr>
        <w:t xml:space="preserve">Key elements </w:t>
      </w:r>
      <w:r w:rsidR="003E76AF">
        <w:rPr>
          <w:rFonts w:cs="Arial"/>
        </w:rPr>
        <w:t>for general</w:t>
      </w:r>
      <w:r w:rsidRPr="00E01B53">
        <w:rPr>
          <w:rFonts w:cs="Arial"/>
        </w:rPr>
        <w:t xml:space="preserve"> Deaf health promotion are </w:t>
      </w:r>
      <w:r w:rsidR="000B0B1D" w:rsidRPr="00E01B53">
        <w:rPr>
          <w:rFonts w:cs="Arial"/>
        </w:rPr>
        <w:t>Healthy Relationships</w:t>
      </w:r>
      <w:r w:rsidRPr="00E01B53">
        <w:rPr>
          <w:rFonts w:cs="Arial"/>
        </w:rPr>
        <w:t xml:space="preserve"> and </w:t>
      </w:r>
      <w:r w:rsidR="000B0B1D" w:rsidRPr="00E01B53">
        <w:rPr>
          <w:rFonts w:cs="Arial"/>
        </w:rPr>
        <w:t xml:space="preserve"> Sex Education, </w:t>
      </w:r>
      <w:r w:rsidRPr="00E01B53">
        <w:rPr>
          <w:rFonts w:cs="Arial"/>
        </w:rPr>
        <w:t>and for children, i</w:t>
      </w:r>
      <w:r w:rsidR="000B0B1D" w:rsidRPr="00E01B53">
        <w:rPr>
          <w:rFonts w:cs="Arial"/>
        </w:rPr>
        <w:t xml:space="preserve">dentity </w:t>
      </w:r>
      <w:r w:rsidRPr="00E01B53">
        <w:rPr>
          <w:rFonts w:cs="Arial"/>
        </w:rPr>
        <w:t>f</w:t>
      </w:r>
      <w:r w:rsidR="000B0B1D" w:rsidRPr="00E01B53">
        <w:rPr>
          <w:rFonts w:cs="Arial"/>
        </w:rPr>
        <w:t>ormation in the school curriculum for positive psychosocial positioning in community and wider society</w:t>
      </w:r>
      <w:r w:rsidR="000B0B1D" w:rsidRPr="00E01B53">
        <w:rPr>
          <w:rStyle w:val="EndnoteReference"/>
          <w:rFonts w:cs="Arial"/>
        </w:rPr>
        <w:endnoteReference w:id="30"/>
      </w:r>
    </w:p>
    <w:p w14:paraId="5D3C79D5" w14:textId="77777777" w:rsidR="00293413" w:rsidRPr="00E01B53" w:rsidRDefault="00293413" w:rsidP="003A27A1">
      <w:pPr>
        <w:pStyle w:val="ListParagraph"/>
        <w:spacing w:line="240" w:lineRule="auto"/>
        <w:rPr>
          <w:rFonts w:ascii="Arial" w:hAnsi="Arial" w:cs="Arial"/>
        </w:rPr>
      </w:pPr>
    </w:p>
    <w:sectPr w:rsidR="00293413" w:rsidRPr="00E01B53">
      <w:footerReference w:type="default" r:id="rId1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31157" w14:textId="77777777" w:rsidR="005E0FDD" w:rsidRDefault="005E0FDD" w:rsidP="00E05715">
      <w:pPr>
        <w:spacing w:after="0" w:line="240" w:lineRule="auto"/>
      </w:pPr>
      <w:r>
        <w:separator/>
      </w:r>
    </w:p>
  </w:endnote>
  <w:endnote w:type="continuationSeparator" w:id="0">
    <w:p w14:paraId="09E04F67" w14:textId="77777777" w:rsidR="005E0FDD" w:rsidRDefault="005E0FDD" w:rsidP="00E05715">
      <w:pPr>
        <w:spacing w:after="0" w:line="240" w:lineRule="auto"/>
      </w:pPr>
      <w:r>
        <w:continuationSeparator/>
      </w:r>
    </w:p>
  </w:endnote>
  <w:endnote w:id="1">
    <w:p w14:paraId="2EAAC737" w14:textId="77777777" w:rsidR="000B0B1D" w:rsidRPr="006C131E" w:rsidRDefault="000B0B1D" w:rsidP="00E05715">
      <w:pPr>
        <w:pStyle w:val="EndnoteText"/>
        <w:rPr>
          <w:lang w:val="mi-NZ"/>
        </w:rPr>
      </w:pPr>
      <w:r>
        <w:rPr>
          <w:rStyle w:val="EndnoteReference"/>
        </w:rPr>
        <w:endnoteRef/>
      </w:r>
      <w:r>
        <w:t xml:space="preserve"> </w:t>
      </w:r>
      <w:r>
        <w:rPr>
          <w:lang w:val="mi-NZ"/>
        </w:rPr>
        <w:t>Witko, et. al. (2017). Deaf New Zealand Sign Lanuage users’ access to healthcare. NZMJ, Vol30, No. 1466:53-61.</w:t>
      </w:r>
    </w:p>
  </w:endnote>
  <w:endnote w:id="2">
    <w:p w14:paraId="68A95C73" w14:textId="77777777" w:rsidR="000B0B1D" w:rsidRPr="006C131E" w:rsidRDefault="000B0B1D" w:rsidP="00E05715">
      <w:pPr>
        <w:pStyle w:val="EndnoteText"/>
        <w:rPr>
          <w:lang w:val="mi-NZ"/>
        </w:rPr>
      </w:pPr>
      <w:r>
        <w:rPr>
          <w:rStyle w:val="EndnoteReference"/>
        </w:rPr>
        <w:endnoteRef/>
      </w:r>
      <w:r>
        <w:t xml:space="preserve"> </w:t>
      </w:r>
      <w:r>
        <w:rPr>
          <w:lang w:val="mi-NZ"/>
        </w:rPr>
        <w:t>NZSL@School (2015). Te Reo-a-Tohu kei roto i nga kura o Aotearoa Report. Ministry of Edcuation, van Asch and Kelston Deaf Education Centres.</w:t>
      </w:r>
    </w:p>
  </w:endnote>
  <w:endnote w:id="3">
    <w:p w14:paraId="0BC56E00" w14:textId="17A95C18" w:rsidR="000B0B1D" w:rsidRDefault="000B0B1D">
      <w:pPr>
        <w:pStyle w:val="EndnoteText"/>
      </w:pPr>
      <w:r>
        <w:rPr>
          <w:rStyle w:val="EndnoteReference"/>
        </w:rPr>
        <w:endnoteRef/>
      </w:r>
      <w:r>
        <w:t xml:space="preserve"> </w:t>
      </w:r>
      <w:r w:rsidRPr="00BD5D9F">
        <w:t>Coppage, R,  Sainsbury, C, Bridgman, G &amp; Goodwin, S. (2021). Mental Health Experiences of Deaf in New</w:t>
      </w:r>
      <w:r>
        <w:t xml:space="preserve"> Zealand - Interviews with twelve Deaf with mental illness. Coalition of Deaf Mental Health Professionals. </w:t>
      </w:r>
      <w:r w:rsidRPr="00725E23">
        <w:t>https://drive.google.com/file/d/1r8tR1tGMNSaqp_zzFn4tROml_f6ooFgr/view?usp=sharing</w:t>
      </w:r>
    </w:p>
  </w:endnote>
  <w:endnote w:id="4">
    <w:p w14:paraId="444C8EF4" w14:textId="77777777" w:rsidR="000B0B1D" w:rsidRPr="00BD5D9F" w:rsidRDefault="000B0B1D" w:rsidP="0053642F">
      <w:pPr>
        <w:spacing w:after="0"/>
        <w:rPr>
          <w:sz w:val="20"/>
          <w:szCs w:val="20"/>
          <w:lang w:val="mi-NZ"/>
        </w:rPr>
      </w:pPr>
      <w:r w:rsidRPr="00BD5D9F">
        <w:rPr>
          <w:rStyle w:val="EndnoteReference"/>
          <w:sz w:val="20"/>
          <w:szCs w:val="20"/>
        </w:rPr>
        <w:endnoteRef/>
      </w:r>
      <w:r w:rsidRPr="00BD5D9F">
        <w:rPr>
          <w:sz w:val="20"/>
          <w:szCs w:val="20"/>
        </w:rPr>
        <w:t xml:space="preserve"> Fellinger, J., Holzinger, D. &amp; Pollard, R. (2012). Mental Health of Deaf People. Lancet 2012; 379-1037-44. </w:t>
      </w:r>
    </w:p>
  </w:endnote>
  <w:endnote w:id="5">
    <w:p w14:paraId="4815050D" w14:textId="77777777" w:rsidR="000B0B1D" w:rsidRPr="00FE2358" w:rsidRDefault="000B0B1D" w:rsidP="00E05715">
      <w:pPr>
        <w:pStyle w:val="EndnoteText"/>
        <w:rPr>
          <w:lang w:val="mi-NZ"/>
        </w:rPr>
      </w:pPr>
      <w:r>
        <w:rPr>
          <w:rStyle w:val="EndnoteReference"/>
        </w:rPr>
        <w:endnoteRef/>
      </w:r>
      <w:r>
        <w:t xml:space="preserve"> </w:t>
      </w:r>
      <w:r>
        <w:rPr>
          <w:lang w:val="mi-NZ"/>
        </w:rPr>
        <w:t xml:space="preserve">Sign Health. (2014). A report into the Health of Deaf people in the UK – Sick of it report.  </w:t>
      </w:r>
    </w:p>
  </w:endnote>
  <w:endnote w:id="6">
    <w:p w14:paraId="35B87780" w14:textId="52007A5B" w:rsidR="000B0B1D" w:rsidRDefault="000B0B1D">
      <w:pPr>
        <w:pStyle w:val="EndnoteText"/>
      </w:pPr>
      <w:r>
        <w:rPr>
          <w:rStyle w:val="EndnoteReference"/>
        </w:rPr>
        <w:endnoteRef/>
      </w:r>
      <w:r>
        <w:t xml:space="preserve"> </w:t>
      </w:r>
      <w:r w:rsidRPr="000A4118">
        <w:t>Bridgman, G, Macpherson B, Rako M, Campbell J, Manning V, Norman-Kelly TA (2001) National Epidemiological Survey of Mental Illness in the New Zealand Deaf Community, in Hjortso, T., von der Lieth, L. &amp; Carlson, C, (Eds), Proceedings of the 5th European and 2nd World Conference on Mental Health and Deafness, 2000, European Society for Mental Health and Deafness, pp 216-234.</w:t>
      </w:r>
    </w:p>
  </w:endnote>
  <w:endnote w:id="7">
    <w:p w14:paraId="53E7AF39" w14:textId="0189AE02" w:rsidR="000B0B1D" w:rsidRDefault="000B0B1D">
      <w:pPr>
        <w:pStyle w:val="EndnoteText"/>
      </w:pPr>
      <w:r>
        <w:rPr>
          <w:rStyle w:val="EndnoteReference"/>
        </w:rPr>
        <w:endnoteRef/>
      </w:r>
      <w:r>
        <w:t xml:space="preserve"> </w:t>
      </w:r>
      <w:r w:rsidRPr="0028153B">
        <w:t>Fitzgerald &amp; Associates (2010b). Scoping Support for New Zealand Sign Language Users Accessing the Curriculum Part I, Ministry of Education. Retrieved from https://www.educationcounts.govt.nz/__data/assets/pdf_file/0003/87042/ScopingSupportNZSL-UsersPart-I-13122010-nw.pdf</w:t>
      </w:r>
    </w:p>
  </w:endnote>
  <w:endnote w:id="8">
    <w:p w14:paraId="12FA83EF" w14:textId="77777777" w:rsidR="000B0B1D" w:rsidRDefault="000B0B1D" w:rsidP="001F33A3">
      <w:pPr>
        <w:pStyle w:val="EndnoteText"/>
      </w:pPr>
      <w:r>
        <w:rPr>
          <w:rStyle w:val="EndnoteReference"/>
        </w:rPr>
        <w:endnoteRef/>
      </w:r>
      <w:r>
        <w:t xml:space="preserve"> </w:t>
      </w:r>
      <w:r>
        <w:rPr>
          <w:lang w:val="mi-NZ"/>
        </w:rPr>
        <w:t>Mohay HA, Kleinig DF. Providng medical care for deaf patients. Med J Australia. 1991; 155:498-9.</w:t>
      </w:r>
    </w:p>
  </w:endnote>
  <w:endnote w:id="9">
    <w:p w14:paraId="7938F7C6" w14:textId="77777777" w:rsidR="000B0B1D" w:rsidRPr="006C131E" w:rsidRDefault="000B0B1D" w:rsidP="00E05715">
      <w:pPr>
        <w:pStyle w:val="EndnoteText"/>
        <w:rPr>
          <w:lang w:val="mi-NZ"/>
        </w:rPr>
      </w:pPr>
      <w:r>
        <w:rPr>
          <w:rStyle w:val="EndnoteReference"/>
        </w:rPr>
        <w:endnoteRef/>
      </w:r>
      <w:r>
        <w:t xml:space="preserve"> </w:t>
      </w:r>
      <w:r>
        <w:rPr>
          <w:lang w:val="mi-NZ"/>
        </w:rPr>
        <w:t xml:space="preserve">Te Pou (2015) Overview of Deaf mental health servcies. Te Pou. </w:t>
      </w:r>
    </w:p>
  </w:endnote>
  <w:endnote w:id="10">
    <w:p w14:paraId="07B44F96" w14:textId="39C3B364" w:rsidR="000B0B1D" w:rsidRDefault="000B0B1D">
      <w:pPr>
        <w:pStyle w:val="EndnoteText"/>
      </w:pPr>
      <w:r>
        <w:rPr>
          <w:rStyle w:val="EndnoteReference"/>
        </w:rPr>
        <w:endnoteRef/>
      </w:r>
      <w:r>
        <w:t xml:space="preserve"> </w:t>
      </w:r>
      <w:r w:rsidRPr="00E0532C">
        <w:t>Bridgman, G.,  Dugdale, P. and Witko, J. (2001) Deaf Awareness Training Workshop, Deaf Association of New Zealand. Auckland</w:t>
      </w:r>
      <w:r>
        <w:t xml:space="preserve">. </w:t>
      </w:r>
      <w:r w:rsidRPr="00E0532C">
        <w:t>https://docs.google.com/document/d/1eDA_TbRqqMQAwWccXKBKZfKsJPTkhE6M/edit?usp=sharing&amp;ouid=118354833600788398941&amp;rtpof=true&amp;sd=true</w:t>
      </w:r>
    </w:p>
  </w:endnote>
  <w:endnote w:id="11">
    <w:p w14:paraId="16332B8A" w14:textId="77777777" w:rsidR="000B0B1D" w:rsidRPr="002161FC" w:rsidRDefault="000B0B1D" w:rsidP="002161FC">
      <w:pPr>
        <w:spacing w:after="0" w:line="240" w:lineRule="auto"/>
        <w:rPr>
          <w:rFonts w:eastAsia="Times New Roman" w:cstheme="minorHAnsi"/>
          <w:sz w:val="20"/>
          <w:szCs w:val="20"/>
        </w:rPr>
      </w:pPr>
      <w:r w:rsidRPr="002161FC">
        <w:rPr>
          <w:rStyle w:val="EndnoteReference"/>
          <w:rFonts w:cstheme="minorHAnsi"/>
          <w:sz w:val="20"/>
          <w:szCs w:val="20"/>
        </w:rPr>
        <w:endnoteRef/>
      </w:r>
      <w:r w:rsidRPr="002161FC">
        <w:rPr>
          <w:rFonts w:cstheme="minorHAnsi"/>
          <w:sz w:val="20"/>
          <w:szCs w:val="20"/>
        </w:rPr>
        <w:t xml:space="preserve"> </w:t>
      </w:r>
      <w:r w:rsidRPr="002161FC">
        <w:rPr>
          <w:rFonts w:eastAsia="Times New Roman" w:cstheme="minorHAnsi"/>
          <w:sz w:val="20"/>
          <w:szCs w:val="20"/>
        </w:rPr>
        <w:t>Hauser, P. C., O’Hearn, A., McKee, M., Steider, A., &amp; Thew, D. (2010). Deaf epistemology: Deafhood and deafness. American annals of the deaf, 154(5), 486-492.</w:t>
      </w:r>
    </w:p>
  </w:endnote>
  <w:endnote w:id="12">
    <w:p w14:paraId="4419FBE3" w14:textId="77777777" w:rsidR="000B0B1D" w:rsidRPr="002161FC" w:rsidRDefault="000B0B1D" w:rsidP="002161FC">
      <w:pPr>
        <w:spacing w:after="0" w:line="240" w:lineRule="auto"/>
        <w:rPr>
          <w:rFonts w:eastAsia="Times New Roman" w:cstheme="minorHAnsi"/>
          <w:sz w:val="20"/>
          <w:szCs w:val="20"/>
        </w:rPr>
      </w:pPr>
      <w:r w:rsidRPr="002161FC">
        <w:rPr>
          <w:rStyle w:val="EndnoteReference"/>
          <w:rFonts w:cstheme="minorHAnsi"/>
          <w:sz w:val="20"/>
          <w:szCs w:val="20"/>
        </w:rPr>
        <w:endnoteRef/>
      </w:r>
      <w:r w:rsidRPr="002161FC">
        <w:rPr>
          <w:rFonts w:cstheme="minorHAnsi"/>
          <w:sz w:val="20"/>
          <w:szCs w:val="20"/>
        </w:rPr>
        <w:t xml:space="preserve"> </w:t>
      </w:r>
      <w:r w:rsidRPr="002161FC">
        <w:rPr>
          <w:rFonts w:eastAsia="Times New Roman" w:cstheme="minorHAnsi"/>
          <w:sz w:val="20"/>
          <w:szCs w:val="20"/>
        </w:rPr>
        <w:t>Fellinger, J., Holzinger, D., Dobner, U., Gerich, J., Lehner, R., Lenz, G., &amp; Goldberg, D. (2005). An innovative and reliable way of measuring health-related quality of life and mental distress in the deaf community. Social Psychiatry and Psychiatric Epidemiology, 40(3), 245-250.</w:t>
      </w:r>
    </w:p>
  </w:endnote>
  <w:endnote w:id="13">
    <w:p w14:paraId="33E11A7E" w14:textId="77777777" w:rsidR="000B0B1D" w:rsidRPr="0061094D" w:rsidRDefault="000B0B1D" w:rsidP="0061094D">
      <w:pPr>
        <w:spacing w:after="0" w:line="240" w:lineRule="auto"/>
        <w:rPr>
          <w:rFonts w:eastAsia="Times New Roman" w:cstheme="minorHAnsi"/>
          <w:sz w:val="20"/>
          <w:szCs w:val="20"/>
        </w:rPr>
      </w:pPr>
      <w:r w:rsidRPr="002161FC">
        <w:rPr>
          <w:rStyle w:val="EndnoteReference"/>
          <w:rFonts w:cstheme="minorHAnsi"/>
          <w:sz w:val="20"/>
          <w:szCs w:val="20"/>
        </w:rPr>
        <w:endnoteRef/>
      </w:r>
      <w:r w:rsidRPr="002161FC">
        <w:rPr>
          <w:rFonts w:cstheme="minorHAnsi"/>
          <w:sz w:val="20"/>
          <w:szCs w:val="20"/>
        </w:rPr>
        <w:t xml:space="preserve"> </w:t>
      </w:r>
      <w:r w:rsidRPr="002161FC">
        <w:rPr>
          <w:rFonts w:eastAsia="Times New Roman" w:cstheme="minorHAnsi"/>
          <w:sz w:val="20"/>
          <w:szCs w:val="20"/>
        </w:rPr>
        <w:t xml:space="preserve">Glickman, N. S., &amp; Hall, W. C. (Eds.). (2018). Language deprivation and deaf mental health. Routledge. Hall, W. C. (2017). What you don’t know can hurt you: The risk of language deprivation by impairing sign language </w:t>
      </w:r>
      <w:r w:rsidRPr="0061094D">
        <w:rPr>
          <w:rFonts w:eastAsia="Times New Roman" w:cstheme="minorHAnsi"/>
          <w:sz w:val="20"/>
          <w:szCs w:val="20"/>
        </w:rPr>
        <w:t>development in deaf children. Maternal and child health journal, 21(5), 961-965.</w:t>
      </w:r>
    </w:p>
  </w:endnote>
  <w:endnote w:id="14">
    <w:p w14:paraId="7BF561DF" w14:textId="2C948E2F" w:rsidR="000B0B1D" w:rsidRPr="0061094D" w:rsidRDefault="000B0B1D" w:rsidP="0061094D">
      <w:pPr>
        <w:pStyle w:val="EndnoteText"/>
        <w:rPr>
          <w:rFonts w:cstheme="minorHAnsi"/>
          <w:lang w:val="en-US"/>
        </w:rPr>
      </w:pPr>
      <w:r w:rsidRPr="0061094D">
        <w:rPr>
          <w:rStyle w:val="EndnoteReference"/>
          <w:rFonts w:cstheme="minorHAnsi"/>
        </w:rPr>
        <w:endnoteRef/>
      </w:r>
      <w:r w:rsidRPr="0061094D">
        <w:rPr>
          <w:rFonts w:cstheme="minorHAnsi"/>
        </w:rPr>
        <w:t xml:space="preserve"> </w:t>
      </w:r>
      <w:r w:rsidRPr="0061094D">
        <w:rPr>
          <w:rFonts w:cstheme="minorHAnsi"/>
          <w:lang w:val="en-US"/>
        </w:rPr>
        <w:t xml:space="preserve">Eckert, R., &amp; Rowley, A. (2013). Audism: A Theory and Practice of Audiocentric Privilege. Humanity &amp; Society, 37(2), 101-130. </w:t>
      </w:r>
    </w:p>
  </w:endnote>
  <w:endnote w:id="15">
    <w:p w14:paraId="0FB891D0" w14:textId="77777777" w:rsidR="000B0B1D" w:rsidRPr="0061094D" w:rsidRDefault="000B0B1D" w:rsidP="0061094D">
      <w:pPr>
        <w:spacing w:after="0" w:line="240" w:lineRule="auto"/>
        <w:rPr>
          <w:rFonts w:eastAsia="Times New Roman" w:cstheme="minorHAnsi"/>
          <w:sz w:val="20"/>
          <w:szCs w:val="20"/>
        </w:rPr>
      </w:pPr>
      <w:r w:rsidRPr="0061094D">
        <w:rPr>
          <w:rStyle w:val="EndnoteReference"/>
          <w:rFonts w:cstheme="minorHAnsi"/>
          <w:sz w:val="20"/>
          <w:szCs w:val="20"/>
        </w:rPr>
        <w:endnoteRef/>
      </w:r>
      <w:r w:rsidRPr="0061094D">
        <w:rPr>
          <w:rFonts w:cstheme="minorHAnsi"/>
          <w:sz w:val="20"/>
          <w:szCs w:val="20"/>
        </w:rPr>
        <w:t xml:space="preserve"> </w:t>
      </w:r>
      <w:r w:rsidRPr="0061094D">
        <w:rPr>
          <w:rFonts w:eastAsia="Times New Roman" w:cstheme="minorHAnsi"/>
          <w:color w:val="333333"/>
          <w:sz w:val="20"/>
          <w:szCs w:val="20"/>
          <w:shd w:val="clear" w:color="auto" w:fill="FFFFFF"/>
        </w:rPr>
        <w:t>Gertz, G. (2016). Dysconscious audism. In G. Gertz, &amp; P. Boudreault (Eds.), </w:t>
      </w:r>
      <w:r w:rsidRPr="0061094D">
        <w:rPr>
          <w:rFonts w:eastAsia="Times New Roman" w:cstheme="minorHAnsi"/>
          <w:i/>
          <w:iCs/>
          <w:color w:val="333333"/>
          <w:sz w:val="20"/>
          <w:szCs w:val="20"/>
          <w:shd w:val="clear" w:color="auto" w:fill="FFFFFF"/>
        </w:rPr>
        <w:t>The sage deaf studies encyclopedia</w:t>
      </w:r>
      <w:r w:rsidRPr="0061094D">
        <w:rPr>
          <w:rFonts w:eastAsia="Times New Roman" w:cstheme="minorHAnsi"/>
          <w:color w:val="333333"/>
          <w:sz w:val="20"/>
          <w:szCs w:val="20"/>
          <w:shd w:val="clear" w:color="auto" w:fill="FFFFFF"/>
        </w:rPr>
        <w:t> (pp. 330-332). SAGE Publications, Inc.</w:t>
      </w:r>
    </w:p>
  </w:endnote>
  <w:endnote w:id="16">
    <w:p w14:paraId="36BE9E52" w14:textId="77777777" w:rsidR="000B0B1D" w:rsidRPr="0061094D" w:rsidRDefault="000B0B1D" w:rsidP="0061094D">
      <w:pPr>
        <w:spacing w:after="0" w:line="240" w:lineRule="auto"/>
        <w:rPr>
          <w:rFonts w:eastAsia="Times New Roman" w:cstheme="minorHAnsi"/>
          <w:sz w:val="20"/>
          <w:szCs w:val="20"/>
        </w:rPr>
      </w:pPr>
      <w:r w:rsidRPr="0061094D">
        <w:rPr>
          <w:rStyle w:val="EndnoteReference"/>
          <w:rFonts w:cstheme="minorHAnsi"/>
          <w:sz w:val="20"/>
          <w:szCs w:val="20"/>
        </w:rPr>
        <w:endnoteRef/>
      </w:r>
      <w:r w:rsidRPr="0061094D">
        <w:rPr>
          <w:rFonts w:cstheme="minorHAnsi"/>
          <w:sz w:val="20"/>
          <w:szCs w:val="20"/>
        </w:rPr>
        <w:t xml:space="preserve"> </w:t>
      </w:r>
      <w:r w:rsidRPr="0061094D">
        <w:rPr>
          <w:rFonts w:eastAsia="Times New Roman" w:cstheme="minorHAnsi"/>
          <w:sz w:val="20"/>
          <w:szCs w:val="20"/>
        </w:rPr>
        <w:t>Major, B., Mendes, W. B., &amp; Dovidio, J. F. (2013). Intergroup relations and health disparities: a social psychological perspective. Health Psychology, 32(5), 514.</w:t>
      </w:r>
    </w:p>
  </w:endnote>
  <w:endnote w:id="17">
    <w:p w14:paraId="49CC8DC0" w14:textId="77777777" w:rsidR="000B0B1D" w:rsidRPr="0061094D" w:rsidRDefault="000B0B1D" w:rsidP="0061094D">
      <w:pPr>
        <w:spacing w:after="0" w:line="240" w:lineRule="auto"/>
        <w:rPr>
          <w:rFonts w:eastAsia="Times New Roman" w:cstheme="minorHAnsi"/>
          <w:sz w:val="20"/>
          <w:szCs w:val="20"/>
        </w:rPr>
      </w:pPr>
      <w:r w:rsidRPr="0061094D">
        <w:rPr>
          <w:rStyle w:val="EndnoteReference"/>
          <w:rFonts w:cstheme="minorHAnsi"/>
          <w:sz w:val="20"/>
          <w:szCs w:val="20"/>
        </w:rPr>
        <w:endnoteRef/>
      </w:r>
      <w:r w:rsidRPr="0061094D">
        <w:rPr>
          <w:rFonts w:cstheme="minorHAnsi"/>
          <w:sz w:val="20"/>
          <w:szCs w:val="20"/>
        </w:rPr>
        <w:t xml:space="preserve"> </w:t>
      </w:r>
      <w:r w:rsidRPr="0061094D">
        <w:rPr>
          <w:rFonts w:eastAsia="Times New Roman" w:cstheme="minorHAnsi"/>
          <w:sz w:val="20"/>
          <w:szCs w:val="20"/>
        </w:rPr>
        <w:t>Listman, J. D., &amp; Kurz, K. B. (2020). Lived Experience: Deaf Professionals’ Stories of Resilience and Risks. The Journal of Deaf Studies and Deaf Education, 25(2), 239-249.</w:t>
      </w:r>
    </w:p>
  </w:endnote>
  <w:endnote w:id="18">
    <w:p w14:paraId="194E3264" w14:textId="77777777" w:rsidR="000B0B1D" w:rsidRPr="0061094D" w:rsidRDefault="000B0B1D" w:rsidP="0061094D">
      <w:pPr>
        <w:pStyle w:val="EndnoteText"/>
        <w:rPr>
          <w:rFonts w:cstheme="minorHAnsi"/>
        </w:rPr>
      </w:pPr>
      <w:r w:rsidRPr="0061094D">
        <w:rPr>
          <w:rStyle w:val="EndnoteReference"/>
          <w:rFonts w:cstheme="minorHAnsi"/>
        </w:rPr>
        <w:endnoteRef/>
      </w:r>
      <w:r w:rsidRPr="0061094D">
        <w:rPr>
          <w:rFonts w:cstheme="minorHAnsi"/>
        </w:rPr>
        <w:t xml:space="preserve"> Pihama, L., Cameron, N., &amp; Te Nana, R. (2019). Historical trauma and whānau violence. Issues Paper 15.</w:t>
      </w:r>
    </w:p>
    <w:p w14:paraId="5A1839FD" w14:textId="74A9A8CB" w:rsidR="000B0B1D" w:rsidRPr="0061094D" w:rsidRDefault="000B0B1D" w:rsidP="0061094D">
      <w:pPr>
        <w:pStyle w:val="EndnoteText"/>
        <w:rPr>
          <w:rFonts w:cstheme="minorHAnsi"/>
          <w:lang w:val="mi-NZ"/>
        </w:rPr>
      </w:pPr>
      <w:r w:rsidRPr="0061094D">
        <w:rPr>
          <w:rFonts w:cstheme="minorHAnsi"/>
        </w:rPr>
        <w:t xml:space="preserve">Auckland: New Zealand Family Violence Clearinghouse, University of Auckland. </w:t>
      </w:r>
      <w:hyperlink r:id="rId1" w:history="1">
        <w:r w:rsidRPr="0061094D">
          <w:rPr>
            <w:rStyle w:val="Hyperlink"/>
            <w:rFonts w:cstheme="minorHAnsi"/>
          </w:rPr>
          <w:t>https://nzfvc.org.nz/sites/default/files/NZFVC-Issues-Paper-15-historical-trauma_0.pdf</w:t>
        </w:r>
      </w:hyperlink>
      <w:r>
        <w:rPr>
          <w:rFonts w:cstheme="minorHAnsi"/>
        </w:rPr>
        <w:t xml:space="preserve"> </w:t>
      </w:r>
    </w:p>
  </w:endnote>
  <w:endnote w:id="19">
    <w:p w14:paraId="44732DD7" w14:textId="62221E2E" w:rsidR="000B0B1D" w:rsidRDefault="000B0B1D">
      <w:pPr>
        <w:pStyle w:val="EndnoteText"/>
      </w:pPr>
      <w:r>
        <w:rPr>
          <w:rStyle w:val="EndnoteReference"/>
        </w:rPr>
        <w:endnoteRef/>
      </w:r>
      <w:r>
        <w:t xml:space="preserve"> Enabling Good Lives (2021). Principles. </w:t>
      </w:r>
      <w:r w:rsidRPr="00F74A76">
        <w:t>https://www.enablinggoodlives.co.nz/about-egl/egl-approach/principles/</w:t>
      </w:r>
    </w:p>
  </w:endnote>
  <w:endnote w:id="20">
    <w:p w14:paraId="4FB86B54" w14:textId="77777777" w:rsidR="000B0B1D" w:rsidRPr="0061094D" w:rsidRDefault="000B0B1D" w:rsidP="00805D3C">
      <w:pPr>
        <w:spacing w:after="0" w:line="240" w:lineRule="auto"/>
        <w:rPr>
          <w:rFonts w:eastAsia="Times New Roman" w:cstheme="minorHAnsi"/>
          <w:sz w:val="20"/>
          <w:szCs w:val="20"/>
        </w:rPr>
      </w:pPr>
      <w:r w:rsidRPr="0061094D">
        <w:rPr>
          <w:rStyle w:val="EndnoteReference"/>
          <w:rFonts w:cstheme="minorHAnsi"/>
          <w:sz w:val="20"/>
          <w:szCs w:val="20"/>
        </w:rPr>
        <w:endnoteRef/>
      </w:r>
      <w:r w:rsidRPr="0061094D">
        <w:rPr>
          <w:rFonts w:cstheme="minorHAnsi"/>
          <w:sz w:val="20"/>
          <w:szCs w:val="20"/>
        </w:rPr>
        <w:t xml:space="preserve"> </w:t>
      </w:r>
      <w:r w:rsidRPr="0061094D">
        <w:rPr>
          <w:rFonts w:eastAsia="Times New Roman" w:cstheme="minorHAnsi"/>
          <w:sz w:val="20"/>
          <w:szCs w:val="20"/>
        </w:rPr>
        <w:t>Kurz, K. B., Hauser, P. C., &amp; Listman, J. D. (2016). Work-related resilience: Deaf professionals’ perspectives. JADARA, 50(3), 88-109.</w:t>
      </w:r>
    </w:p>
  </w:endnote>
  <w:endnote w:id="21">
    <w:p w14:paraId="70FA666E" w14:textId="77777777" w:rsidR="000B0B1D" w:rsidRPr="0061094D" w:rsidRDefault="000B0B1D" w:rsidP="00805D3C">
      <w:pPr>
        <w:spacing w:after="0" w:line="240" w:lineRule="auto"/>
        <w:rPr>
          <w:rFonts w:eastAsia="Times New Roman" w:cstheme="minorHAnsi"/>
          <w:sz w:val="20"/>
          <w:szCs w:val="20"/>
        </w:rPr>
      </w:pPr>
      <w:r w:rsidRPr="0061094D">
        <w:rPr>
          <w:rStyle w:val="EndnoteReference"/>
          <w:rFonts w:cstheme="minorHAnsi"/>
          <w:sz w:val="20"/>
          <w:szCs w:val="20"/>
        </w:rPr>
        <w:endnoteRef/>
      </w:r>
      <w:r w:rsidRPr="0061094D">
        <w:rPr>
          <w:rFonts w:cstheme="minorHAnsi"/>
          <w:sz w:val="20"/>
          <w:szCs w:val="20"/>
        </w:rPr>
        <w:t xml:space="preserve"> </w:t>
      </w:r>
      <w:r w:rsidRPr="0061094D">
        <w:rPr>
          <w:rFonts w:eastAsia="Times New Roman" w:cstheme="minorHAnsi"/>
          <w:sz w:val="20"/>
          <w:szCs w:val="20"/>
        </w:rPr>
        <w:t>Kelly, R. R., Quagliata, A. B., DeMartino, R., &amp; Perotti, V. (2016). 21st-century deaf workers: Going beyond" just employed" to career growth and entrepreneurship.</w:t>
      </w:r>
    </w:p>
  </w:endnote>
  <w:endnote w:id="22">
    <w:p w14:paraId="51387FE6" w14:textId="77777777" w:rsidR="000B0B1D" w:rsidRPr="0061094D" w:rsidRDefault="000B0B1D" w:rsidP="00805D3C">
      <w:pPr>
        <w:spacing w:after="0" w:line="240" w:lineRule="auto"/>
        <w:rPr>
          <w:rFonts w:cstheme="minorHAnsi"/>
          <w:sz w:val="20"/>
          <w:szCs w:val="20"/>
          <w:lang w:val="en-US"/>
        </w:rPr>
      </w:pPr>
      <w:r w:rsidRPr="0061094D">
        <w:rPr>
          <w:rStyle w:val="EndnoteReference"/>
          <w:rFonts w:cstheme="minorHAnsi"/>
          <w:sz w:val="20"/>
          <w:szCs w:val="20"/>
        </w:rPr>
        <w:endnoteRef/>
      </w:r>
      <w:r w:rsidRPr="0061094D">
        <w:rPr>
          <w:rFonts w:cstheme="minorHAnsi"/>
          <w:sz w:val="20"/>
          <w:szCs w:val="20"/>
        </w:rPr>
        <w:t xml:space="preserve"> </w:t>
      </w:r>
      <w:r w:rsidRPr="0061094D">
        <w:rPr>
          <w:rFonts w:eastAsia="Times New Roman" w:cstheme="minorHAnsi"/>
          <w:sz w:val="20"/>
          <w:szCs w:val="20"/>
        </w:rPr>
        <w:t>Lussier, R. N., Say, K., &amp; Corman, J. (2000). Need satisfaction of deaf and hearing employees. The Mid-Atlantic Journal of Business, 36(1), 47.</w:t>
      </w:r>
    </w:p>
  </w:endnote>
  <w:endnote w:id="23">
    <w:p w14:paraId="04505219" w14:textId="77777777" w:rsidR="000B0B1D" w:rsidRPr="0061094D" w:rsidRDefault="000B0B1D" w:rsidP="003A27A1">
      <w:pPr>
        <w:spacing w:after="0" w:line="240" w:lineRule="auto"/>
        <w:rPr>
          <w:rFonts w:eastAsia="Times New Roman" w:cstheme="minorHAnsi"/>
          <w:sz w:val="20"/>
          <w:szCs w:val="20"/>
        </w:rPr>
      </w:pPr>
      <w:r w:rsidRPr="0061094D">
        <w:rPr>
          <w:rStyle w:val="EndnoteReference"/>
          <w:rFonts w:cstheme="minorHAnsi"/>
          <w:sz w:val="20"/>
          <w:szCs w:val="20"/>
        </w:rPr>
        <w:endnoteRef/>
      </w:r>
      <w:r w:rsidRPr="0061094D">
        <w:rPr>
          <w:rFonts w:cstheme="minorHAnsi"/>
          <w:sz w:val="20"/>
          <w:szCs w:val="20"/>
        </w:rPr>
        <w:t xml:space="preserve"> Engel. (1977). </w:t>
      </w:r>
      <w:r w:rsidRPr="0061094D">
        <w:rPr>
          <w:rFonts w:eastAsia="Times New Roman" w:cstheme="minorHAnsi"/>
          <w:color w:val="2E2E2E"/>
          <w:sz w:val="20"/>
          <w:szCs w:val="20"/>
        </w:rPr>
        <w:t>“The Need for a New Medical Model: A Challenge for Biomedicine” [</w:t>
      </w:r>
      <w:r w:rsidRPr="0061094D">
        <w:rPr>
          <w:rFonts w:eastAsia="Times New Roman" w:cstheme="minorHAnsi"/>
          <w:i/>
          <w:iCs/>
          <w:color w:val="2E2E2E"/>
          <w:sz w:val="20"/>
          <w:szCs w:val="20"/>
        </w:rPr>
        <w:t>Science</w:t>
      </w:r>
      <w:r w:rsidRPr="0061094D">
        <w:rPr>
          <w:rFonts w:eastAsia="Times New Roman" w:cstheme="minorHAnsi"/>
          <w:color w:val="2E2E2E"/>
          <w:sz w:val="20"/>
          <w:szCs w:val="20"/>
        </w:rPr>
        <w:t> 196 (1977) 129–136]</w:t>
      </w:r>
    </w:p>
  </w:endnote>
  <w:endnote w:id="24">
    <w:p w14:paraId="6B3B80B3" w14:textId="77777777" w:rsidR="000B0B1D" w:rsidRPr="0061094D" w:rsidRDefault="000B0B1D" w:rsidP="003A27A1">
      <w:pPr>
        <w:spacing w:after="0" w:line="240" w:lineRule="auto"/>
        <w:rPr>
          <w:rFonts w:cstheme="minorHAnsi"/>
          <w:sz w:val="20"/>
          <w:szCs w:val="20"/>
          <w:lang w:val="en-US"/>
        </w:rPr>
      </w:pPr>
      <w:r w:rsidRPr="0061094D">
        <w:rPr>
          <w:rStyle w:val="EndnoteReference"/>
          <w:rFonts w:cstheme="minorHAnsi"/>
          <w:sz w:val="20"/>
          <w:szCs w:val="20"/>
        </w:rPr>
        <w:endnoteRef/>
      </w:r>
      <w:r w:rsidRPr="0061094D">
        <w:rPr>
          <w:rFonts w:cstheme="minorHAnsi"/>
          <w:sz w:val="20"/>
          <w:szCs w:val="20"/>
        </w:rPr>
        <w:t xml:space="preserve"> </w:t>
      </w:r>
      <w:r w:rsidRPr="0061094D">
        <w:rPr>
          <w:rFonts w:eastAsia="Times New Roman" w:cstheme="minorHAnsi"/>
          <w:sz w:val="20"/>
          <w:szCs w:val="20"/>
        </w:rPr>
        <w:t>Braun, D. C., Gormally, C., &amp; Clark, M. D. (2017). The deaf mentoring survey: A community cultural wealth framework for measuring mentoring effectiveness with underrepresented students. CBE—Life Sciences Education, 16(1), ar10.</w:t>
      </w:r>
    </w:p>
  </w:endnote>
  <w:endnote w:id="25">
    <w:p w14:paraId="6C9E2B33" w14:textId="77777777" w:rsidR="000B0B1D" w:rsidRPr="0061094D" w:rsidRDefault="000B0B1D" w:rsidP="003A27A1">
      <w:pPr>
        <w:spacing w:after="0" w:line="240" w:lineRule="auto"/>
        <w:rPr>
          <w:rFonts w:eastAsia="Times New Roman" w:cstheme="minorHAnsi"/>
          <w:sz w:val="20"/>
          <w:szCs w:val="20"/>
        </w:rPr>
      </w:pPr>
      <w:r w:rsidRPr="0061094D">
        <w:rPr>
          <w:rStyle w:val="EndnoteReference"/>
          <w:rFonts w:cstheme="minorHAnsi"/>
          <w:sz w:val="20"/>
          <w:szCs w:val="20"/>
        </w:rPr>
        <w:endnoteRef/>
      </w:r>
      <w:r w:rsidRPr="0061094D">
        <w:rPr>
          <w:rFonts w:cstheme="minorHAnsi"/>
          <w:sz w:val="20"/>
          <w:szCs w:val="20"/>
        </w:rPr>
        <w:t xml:space="preserve"> </w:t>
      </w:r>
      <w:r w:rsidRPr="0061094D">
        <w:rPr>
          <w:rFonts w:eastAsia="Times New Roman" w:cstheme="minorHAnsi"/>
          <w:color w:val="333333"/>
          <w:sz w:val="20"/>
          <w:szCs w:val="20"/>
          <w:shd w:val="clear" w:color="auto" w:fill="FCFCFC"/>
        </w:rPr>
        <w:t>Rochford, T. Whare Tapa Wha: A Mäori Model of a Unified Theory of Health. </w:t>
      </w:r>
      <w:r w:rsidRPr="0061094D">
        <w:rPr>
          <w:rFonts w:eastAsia="Times New Roman" w:cstheme="minorHAnsi"/>
          <w:i/>
          <w:iCs/>
          <w:color w:val="333333"/>
          <w:sz w:val="20"/>
          <w:szCs w:val="20"/>
          <w:shd w:val="clear" w:color="auto" w:fill="FCFCFC"/>
        </w:rPr>
        <w:t>The Journal of Primary Prevention</w:t>
      </w:r>
      <w:r w:rsidRPr="0061094D">
        <w:rPr>
          <w:rFonts w:eastAsia="Times New Roman" w:cstheme="minorHAnsi"/>
          <w:color w:val="333333"/>
          <w:sz w:val="20"/>
          <w:szCs w:val="20"/>
          <w:shd w:val="clear" w:color="auto" w:fill="FCFCFC"/>
        </w:rPr>
        <w:t> </w:t>
      </w:r>
      <w:r w:rsidRPr="0061094D">
        <w:rPr>
          <w:rFonts w:eastAsia="Times New Roman" w:cstheme="minorHAnsi"/>
          <w:b/>
          <w:bCs/>
          <w:color w:val="333333"/>
          <w:sz w:val="20"/>
          <w:szCs w:val="20"/>
          <w:shd w:val="clear" w:color="auto" w:fill="FCFCFC"/>
        </w:rPr>
        <w:t>25, </w:t>
      </w:r>
      <w:r w:rsidRPr="0061094D">
        <w:rPr>
          <w:rFonts w:eastAsia="Times New Roman" w:cstheme="minorHAnsi"/>
          <w:color w:val="333333"/>
          <w:sz w:val="20"/>
          <w:szCs w:val="20"/>
          <w:shd w:val="clear" w:color="auto" w:fill="FCFCFC"/>
        </w:rPr>
        <w:t>41–57 (2004)</w:t>
      </w:r>
    </w:p>
  </w:endnote>
  <w:endnote w:id="26">
    <w:p w14:paraId="7CE20BDE" w14:textId="75B8EC78" w:rsidR="000B0B1D" w:rsidRPr="0061094D" w:rsidRDefault="000B0B1D" w:rsidP="0061094D">
      <w:pPr>
        <w:spacing w:after="0" w:line="240" w:lineRule="auto"/>
        <w:rPr>
          <w:rFonts w:eastAsia="Times New Roman" w:cstheme="minorHAnsi"/>
          <w:sz w:val="20"/>
          <w:szCs w:val="20"/>
        </w:rPr>
      </w:pPr>
      <w:r w:rsidRPr="0061094D">
        <w:rPr>
          <w:rStyle w:val="EndnoteReference"/>
          <w:rFonts w:cstheme="minorHAnsi"/>
          <w:sz w:val="20"/>
          <w:szCs w:val="20"/>
        </w:rPr>
        <w:endnoteRef/>
      </w:r>
      <w:r w:rsidRPr="0061094D">
        <w:rPr>
          <w:rFonts w:cstheme="minorHAnsi"/>
          <w:sz w:val="20"/>
          <w:szCs w:val="20"/>
        </w:rPr>
        <w:t xml:space="preserve"> </w:t>
      </w:r>
      <w:r w:rsidRPr="0061094D">
        <w:rPr>
          <w:rFonts w:eastAsia="Times New Roman" w:cstheme="minorHAnsi"/>
          <w:sz w:val="20"/>
          <w:szCs w:val="20"/>
        </w:rPr>
        <w:t>Listman, J., Rogers, K. D., &amp; Hauser, P. C. (2011). Community cultural wealth and deaf adolescents’ resilience. In Resilience in deaf children (pp. 279-297). Springer, New York, NY</w:t>
      </w:r>
    </w:p>
  </w:endnote>
  <w:endnote w:id="27">
    <w:p w14:paraId="208FC506" w14:textId="2869FF1A" w:rsidR="000B0B1D" w:rsidRPr="0061094D" w:rsidRDefault="000B0B1D" w:rsidP="0061094D">
      <w:pPr>
        <w:spacing w:after="0" w:line="240" w:lineRule="auto"/>
        <w:rPr>
          <w:rFonts w:eastAsia="Times New Roman" w:cstheme="minorHAnsi"/>
          <w:sz w:val="20"/>
          <w:szCs w:val="20"/>
        </w:rPr>
      </w:pPr>
      <w:r w:rsidRPr="0061094D">
        <w:rPr>
          <w:rStyle w:val="EndnoteReference"/>
          <w:rFonts w:cstheme="minorHAnsi"/>
          <w:sz w:val="20"/>
          <w:szCs w:val="20"/>
        </w:rPr>
        <w:endnoteRef/>
      </w:r>
      <w:r w:rsidRPr="0061094D">
        <w:rPr>
          <w:rFonts w:cstheme="minorHAnsi"/>
          <w:sz w:val="20"/>
          <w:szCs w:val="20"/>
        </w:rPr>
        <w:t xml:space="preserve"> </w:t>
      </w:r>
      <w:r w:rsidRPr="0061094D">
        <w:rPr>
          <w:rFonts w:eastAsia="Times New Roman" w:cstheme="minorHAnsi"/>
          <w:sz w:val="20"/>
          <w:szCs w:val="20"/>
        </w:rPr>
        <w:t>Listman, J. D., &amp; Dingus-Eason, J. (2018). How to be a deaf scientist: Building navigational capital. Journal of Diversity in Higher Education, 11(3), 279.</w:t>
      </w:r>
    </w:p>
  </w:endnote>
  <w:endnote w:id="28">
    <w:p w14:paraId="0A6B5C4B" w14:textId="40A42E54" w:rsidR="00615F78" w:rsidRDefault="00615F78">
      <w:pPr>
        <w:pStyle w:val="EndnoteText"/>
      </w:pPr>
      <w:r>
        <w:rPr>
          <w:rStyle w:val="EndnoteReference"/>
        </w:rPr>
        <w:endnoteRef/>
      </w:r>
      <w:r>
        <w:t xml:space="preserve"> Deaf Aotearoa (2021. Deaf Ecosystems. </w:t>
      </w:r>
      <w:r w:rsidRPr="00615F78">
        <w:t xml:space="preserve"> https://www.deaf.org.nz/deaf-ecosystem/ </w:t>
      </w:r>
    </w:p>
  </w:endnote>
  <w:endnote w:id="29">
    <w:p w14:paraId="0D8411B9" w14:textId="4E37E43E" w:rsidR="00615F78" w:rsidRDefault="00615F78" w:rsidP="00293E68">
      <w:pPr>
        <w:pStyle w:val="EndnoteText"/>
      </w:pPr>
      <w:r>
        <w:rPr>
          <w:rStyle w:val="EndnoteReference"/>
        </w:rPr>
        <w:endnoteRef/>
      </w:r>
      <w:r>
        <w:t xml:space="preserve"> </w:t>
      </w:r>
      <w:r w:rsidR="00293E68">
        <w:t xml:space="preserve">Signhealth (2021). We are SignHealth - We are here to improve Deaf people’s health and wellbeing. </w:t>
      </w:r>
      <w:hyperlink r:id="rId2" w:history="1">
        <w:r w:rsidR="00293E68" w:rsidRPr="00C66F76">
          <w:rPr>
            <w:rStyle w:val="Hyperlink"/>
            <w:rFonts w:cs="Arial"/>
          </w:rPr>
          <w:t>https://signhealth.org.uk/</w:t>
        </w:r>
      </w:hyperlink>
    </w:p>
  </w:endnote>
  <w:endnote w:id="30">
    <w:p w14:paraId="46178E0C" w14:textId="77777777" w:rsidR="000B0B1D" w:rsidRPr="0061094D" w:rsidRDefault="000B0B1D" w:rsidP="0061094D">
      <w:pPr>
        <w:spacing w:after="0" w:line="240" w:lineRule="auto"/>
        <w:rPr>
          <w:rFonts w:eastAsia="Times New Roman" w:cstheme="minorHAnsi"/>
          <w:sz w:val="20"/>
          <w:szCs w:val="20"/>
        </w:rPr>
      </w:pPr>
      <w:r w:rsidRPr="0061094D">
        <w:rPr>
          <w:rStyle w:val="EndnoteReference"/>
          <w:rFonts w:cstheme="minorHAnsi"/>
          <w:sz w:val="20"/>
          <w:szCs w:val="20"/>
        </w:rPr>
        <w:endnoteRef/>
      </w:r>
      <w:r w:rsidRPr="0061094D">
        <w:rPr>
          <w:rFonts w:cstheme="minorHAnsi"/>
          <w:sz w:val="20"/>
          <w:szCs w:val="20"/>
        </w:rPr>
        <w:t xml:space="preserve"> </w:t>
      </w:r>
      <w:r w:rsidRPr="0061094D">
        <w:rPr>
          <w:rFonts w:eastAsia="Times New Roman" w:cstheme="minorHAnsi"/>
          <w:sz w:val="20"/>
          <w:szCs w:val="20"/>
        </w:rPr>
        <w:t>Kushalnagar, P., Topolski, T. D., Schick, B., Edwards, T. C., Skalicky, A. M., &amp; Patrick, D. L. (2011). Mode of communication, perceived level of understanding, and perceived quality of life in youth who are deaf or hard of hearing. Journal of deaf studies and deaf education, 16(4), 512-523.</w:t>
      </w:r>
    </w:p>
    <w:p w14:paraId="58F806E2" w14:textId="5A674CC4" w:rsidR="000B0B1D" w:rsidRPr="0061094D" w:rsidRDefault="000B0B1D" w:rsidP="0061094D">
      <w:pPr>
        <w:pStyle w:val="EndnoteText"/>
        <w:rPr>
          <w:rFonts w:cstheme="minorHAnsi"/>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SemiBold">
    <w:charset w:val="00"/>
    <w:family w:val="swiss"/>
    <w:pitch w:val="variable"/>
    <w:sig w:usb0="E00002EF" w:usb1="4000205B" w:usb2="00000028" w:usb3="00000000" w:csb0="0000019F" w:csb1="00000000"/>
  </w:font>
  <w:font w:name="Yu Mincho">
    <w:panose1 w:val="02020400000000000000"/>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617408"/>
      <w:docPartObj>
        <w:docPartGallery w:val="Page Numbers (Bottom of Page)"/>
        <w:docPartUnique/>
      </w:docPartObj>
    </w:sdtPr>
    <w:sdtEndPr>
      <w:rPr>
        <w:noProof/>
      </w:rPr>
    </w:sdtEndPr>
    <w:sdtContent>
      <w:p w14:paraId="5DF2F69F" w14:textId="161B8968" w:rsidR="00351F22" w:rsidRDefault="00351F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9ABD6E" w14:textId="77777777" w:rsidR="00351F22" w:rsidRDefault="00351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31EC2" w14:textId="77777777" w:rsidR="005E0FDD" w:rsidRDefault="005E0FDD" w:rsidP="00E05715">
      <w:pPr>
        <w:spacing w:after="0" w:line="240" w:lineRule="auto"/>
      </w:pPr>
      <w:r>
        <w:separator/>
      </w:r>
    </w:p>
  </w:footnote>
  <w:footnote w:type="continuationSeparator" w:id="0">
    <w:p w14:paraId="5CC7868A" w14:textId="77777777" w:rsidR="005E0FDD" w:rsidRDefault="005E0FDD" w:rsidP="00E05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9F9"/>
    <w:multiLevelType w:val="hybridMultilevel"/>
    <w:tmpl w:val="7DFE19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9875CC8"/>
    <w:multiLevelType w:val="hybridMultilevel"/>
    <w:tmpl w:val="4EEAF2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2D95D2B"/>
    <w:multiLevelType w:val="hybridMultilevel"/>
    <w:tmpl w:val="1ACA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A5349"/>
    <w:multiLevelType w:val="hybridMultilevel"/>
    <w:tmpl w:val="B85C4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715"/>
    <w:rsid w:val="000122C6"/>
    <w:rsid w:val="000A4118"/>
    <w:rsid w:val="000B0B1D"/>
    <w:rsid w:val="000B232E"/>
    <w:rsid w:val="001231F1"/>
    <w:rsid w:val="00133BE1"/>
    <w:rsid w:val="00181AD8"/>
    <w:rsid w:val="00184345"/>
    <w:rsid w:val="00193DB9"/>
    <w:rsid w:val="001E504B"/>
    <w:rsid w:val="001F33A3"/>
    <w:rsid w:val="001F71A9"/>
    <w:rsid w:val="002161FC"/>
    <w:rsid w:val="00226F68"/>
    <w:rsid w:val="00260947"/>
    <w:rsid w:val="0028153B"/>
    <w:rsid w:val="00293413"/>
    <w:rsid w:val="00293E68"/>
    <w:rsid w:val="002A2D78"/>
    <w:rsid w:val="002B0B18"/>
    <w:rsid w:val="002B5F4A"/>
    <w:rsid w:val="002F74E3"/>
    <w:rsid w:val="00340688"/>
    <w:rsid w:val="00351F22"/>
    <w:rsid w:val="003A27A1"/>
    <w:rsid w:val="003A4856"/>
    <w:rsid w:val="003E1306"/>
    <w:rsid w:val="003E73C0"/>
    <w:rsid w:val="003E76AF"/>
    <w:rsid w:val="004020AE"/>
    <w:rsid w:val="00443D1B"/>
    <w:rsid w:val="004444E3"/>
    <w:rsid w:val="0053642F"/>
    <w:rsid w:val="005E0FDD"/>
    <w:rsid w:val="0061094D"/>
    <w:rsid w:val="006150E1"/>
    <w:rsid w:val="00615F78"/>
    <w:rsid w:val="006169F1"/>
    <w:rsid w:val="00617815"/>
    <w:rsid w:val="00655D0D"/>
    <w:rsid w:val="00687973"/>
    <w:rsid w:val="006A4988"/>
    <w:rsid w:val="006B1629"/>
    <w:rsid w:val="006E09DE"/>
    <w:rsid w:val="006E0EE0"/>
    <w:rsid w:val="006F0699"/>
    <w:rsid w:val="00725E23"/>
    <w:rsid w:val="00747875"/>
    <w:rsid w:val="00754E8D"/>
    <w:rsid w:val="007823C2"/>
    <w:rsid w:val="0079718F"/>
    <w:rsid w:val="007E34CA"/>
    <w:rsid w:val="007E7085"/>
    <w:rsid w:val="007F361D"/>
    <w:rsid w:val="007F6B12"/>
    <w:rsid w:val="00805D3C"/>
    <w:rsid w:val="008417A1"/>
    <w:rsid w:val="0085677A"/>
    <w:rsid w:val="008A24FC"/>
    <w:rsid w:val="008B4EA1"/>
    <w:rsid w:val="008D70AD"/>
    <w:rsid w:val="008E6584"/>
    <w:rsid w:val="00934A05"/>
    <w:rsid w:val="00964358"/>
    <w:rsid w:val="009863B3"/>
    <w:rsid w:val="009B6ADF"/>
    <w:rsid w:val="009F0CFA"/>
    <w:rsid w:val="00A12C8E"/>
    <w:rsid w:val="00A12DB3"/>
    <w:rsid w:val="00A16450"/>
    <w:rsid w:val="00A32397"/>
    <w:rsid w:val="00A37289"/>
    <w:rsid w:val="00A54372"/>
    <w:rsid w:val="00A561F4"/>
    <w:rsid w:val="00AA3602"/>
    <w:rsid w:val="00AD14BA"/>
    <w:rsid w:val="00B00417"/>
    <w:rsid w:val="00B02AF5"/>
    <w:rsid w:val="00B21B89"/>
    <w:rsid w:val="00B53EF4"/>
    <w:rsid w:val="00B94203"/>
    <w:rsid w:val="00BB0F24"/>
    <w:rsid w:val="00BD5D9F"/>
    <w:rsid w:val="00CB27F3"/>
    <w:rsid w:val="00CC2ED5"/>
    <w:rsid w:val="00CD6483"/>
    <w:rsid w:val="00CE6132"/>
    <w:rsid w:val="00D41C3E"/>
    <w:rsid w:val="00E01B53"/>
    <w:rsid w:val="00E0532C"/>
    <w:rsid w:val="00E05715"/>
    <w:rsid w:val="00E17CED"/>
    <w:rsid w:val="00E23B68"/>
    <w:rsid w:val="00E87F00"/>
    <w:rsid w:val="00EA759D"/>
    <w:rsid w:val="00EC4B59"/>
    <w:rsid w:val="00F009EE"/>
    <w:rsid w:val="00F12967"/>
    <w:rsid w:val="00F66C8E"/>
    <w:rsid w:val="00F74A76"/>
    <w:rsid w:val="00F903F6"/>
    <w:rsid w:val="00FB3DD4"/>
    <w:rsid w:val="00FC7D27"/>
    <w:rsid w:val="00FD1516"/>
    <w:rsid w:val="00FD21A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0B3FA"/>
  <w15:docId w15:val="{389FE13D-9F52-4B91-ACDF-D6862C89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6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B16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16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tform1Heading">
    <w:name w:val="Platform 1 Heading"/>
    <w:basedOn w:val="Heading1"/>
    <w:autoRedefine/>
    <w:qFormat/>
    <w:rsid w:val="001F71A9"/>
    <w:pPr>
      <w:keepNext w:val="0"/>
      <w:keepLines w:val="0"/>
      <w:pBdr>
        <w:top w:val="single" w:sz="24" w:space="0" w:color="0D7678"/>
        <w:left w:val="single" w:sz="24" w:space="0" w:color="0D7678"/>
        <w:bottom w:val="single" w:sz="24" w:space="0" w:color="0D7678"/>
        <w:right w:val="single" w:sz="24" w:space="0" w:color="0D7678"/>
      </w:pBdr>
      <w:shd w:val="clear" w:color="auto" w:fill="0D7678"/>
      <w:spacing w:before="200" w:line="276" w:lineRule="auto"/>
      <w:jc w:val="center"/>
    </w:pPr>
    <w:rPr>
      <w:rFonts w:ascii="Open Sans SemiBold" w:eastAsiaTheme="minorEastAsia" w:hAnsi="Open Sans SemiBold" w:cs="Open Sans SemiBold"/>
      <w:b/>
      <w:bCs/>
      <w:caps/>
      <w:snapToGrid w:val="0"/>
      <w:color w:val="FFFFFF" w:themeColor="background1"/>
      <w:spacing w:val="15"/>
      <w:sz w:val="28"/>
      <w:szCs w:val="20"/>
      <w:lang w:bidi="en-US"/>
    </w:rPr>
  </w:style>
  <w:style w:type="character" w:customStyle="1" w:styleId="Heading1Char">
    <w:name w:val="Heading 1 Char"/>
    <w:basedOn w:val="DefaultParagraphFont"/>
    <w:link w:val="Heading1"/>
    <w:uiPriority w:val="9"/>
    <w:rsid w:val="006B1629"/>
    <w:rPr>
      <w:rFonts w:asciiTheme="majorHAnsi" w:eastAsiaTheme="majorEastAsia" w:hAnsiTheme="majorHAnsi" w:cstheme="majorBidi"/>
      <w:color w:val="2F5496" w:themeColor="accent1" w:themeShade="BF"/>
      <w:sz w:val="32"/>
      <w:szCs w:val="32"/>
    </w:rPr>
  </w:style>
  <w:style w:type="paragraph" w:customStyle="1" w:styleId="Platform3Heading">
    <w:name w:val="Platform 3 Heading"/>
    <w:basedOn w:val="Heading3"/>
    <w:link w:val="Platform3HeadingChar"/>
    <w:autoRedefine/>
    <w:qFormat/>
    <w:rsid w:val="006B1629"/>
    <w:pPr>
      <w:keepNext w:val="0"/>
      <w:keepLines w:val="0"/>
      <w:spacing w:before="300" w:line="276" w:lineRule="auto"/>
    </w:pPr>
    <w:rPr>
      <w:rFonts w:ascii="Open Sans" w:hAnsi="Open Sans" w:cs="Open Sans"/>
      <w:b/>
      <w:snapToGrid w:val="0"/>
      <w:color w:val="0D7678"/>
      <w:spacing w:val="15"/>
      <w:szCs w:val="20"/>
    </w:rPr>
  </w:style>
  <w:style w:type="character" w:customStyle="1" w:styleId="Platform3HeadingChar">
    <w:name w:val="Platform 3 Heading Char"/>
    <w:basedOn w:val="Heading3Char"/>
    <w:link w:val="Platform3Heading"/>
    <w:rsid w:val="006B1629"/>
    <w:rPr>
      <w:rFonts w:ascii="Open Sans" w:eastAsiaTheme="majorEastAsia" w:hAnsi="Open Sans" w:cs="Open Sans"/>
      <w:b/>
      <w:snapToGrid w:val="0"/>
      <w:color w:val="0D7678"/>
      <w:spacing w:val="15"/>
      <w:sz w:val="24"/>
      <w:szCs w:val="20"/>
    </w:rPr>
  </w:style>
  <w:style w:type="character" w:customStyle="1" w:styleId="Heading3Char">
    <w:name w:val="Heading 3 Char"/>
    <w:basedOn w:val="DefaultParagraphFont"/>
    <w:link w:val="Heading3"/>
    <w:uiPriority w:val="9"/>
    <w:semiHidden/>
    <w:rsid w:val="006B1629"/>
    <w:rPr>
      <w:rFonts w:asciiTheme="majorHAnsi" w:eastAsiaTheme="majorEastAsia" w:hAnsiTheme="majorHAnsi" w:cstheme="majorBidi"/>
      <w:color w:val="1F3763" w:themeColor="accent1" w:themeShade="7F"/>
      <w:sz w:val="24"/>
      <w:szCs w:val="24"/>
    </w:rPr>
  </w:style>
  <w:style w:type="paragraph" w:customStyle="1" w:styleId="Platform2Heading">
    <w:name w:val="Platform 2 Heading"/>
    <w:basedOn w:val="Heading2"/>
    <w:link w:val="Platform2HeadingChar"/>
    <w:autoRedefine/>
    <w:qFormat/>
    <w:rsid w:val="007F6B12"/>
    <w:pPr>
      <w:keepNext w:val="0"/>
      <w:keepLines w:val="0"/>
      <w:pBdr>
        <w:bottom w:val="single" w:sz="12" w:space="0" w:color="CCCCE5"/>
      </w:pBdr>
      <w:spacing w:before="0" w:line="240" w:lineRule="auto"/>
    </w:pPr>
    <w:rPr>
      <w:rFonts w:asciiTheme="minorHAnsi" w:hAnsiTheme="minorHAnsi" w:cstheme="minorHAnsi"/>
      <w:b/>
      <w:snapToGrid w:val="0"/>
      <w:color w:val="18616E"/>
      <w:spacing w:val="15"/>
      <w:sz w:val="24"/>
      <w:szCs w:val="24"/>
      <w:lang w:val="mi-NZ" w:bidi="en-US"/>
    </w:rPr>
  </w:style>
  <w:style w:type="character" w:customStyle="1" w:styleId="Platform2HeadingChar">
    <w:name w:val="Platform 2 Heading Char"/>
    <w:basedOn w:val="Heading2Char"/>
    <w:link w:val="Platform2Heading"/>
    <w:rsid w:val="007F6B12"/>
    <w:rPr>
      <w:rFonts w:asciiTheme="majorHAnsi" w:eastAsiaTheme="majorEastAsia" w:hAnsiTheme="majorHAnsi" w:cstheme="minorHAnsi"/>
      <w:b/>
      <w:snapToGrid w:val="0"/>
      <w:color w:val="18616E"/>
      <w:spacing w:val="15"/>
      <w:sz w:val="24"/>
      <w:szCs w:val="24"/>
      <w:lang w:val="mi-NZ" w:bidi="en-US"/>
    </w:rPr>
  </w:style>
  <w:style w:type="character" w:customStyle="1" w:styleId="Heading2Char">
    <w:name w:val="Heading 2 Char"/>
    <w:basedOn w:val="DefaultParagraphFont"/>
    <w:link w:val="Heading2"/>
    <w:uiPriority w:val="9"/>
    <w:semiHidden/>
    <w:rsid w:val="006B162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E05715"/>
    <w:pPr>
      <w:spacing w:after="0" w:line="240" w:lineRule="auto"/>
    </w:pPr>
    <w:rPr>
      <w:sz w:val="20"/>
      <w:szCs w:val="20"/>
    </w:rPr>
  </w:style>
  <w:style w:type="character" w:customStyle="1" w:styleId="FootnoteTextChar">
    <w:name w:val="Footnote Text Char"/>
    <w:basedOn w:val="DefaultParagraphFont"/>
    <w:link w:val="FootnoteText"/>
    <w:uiPriority w:val="99"/>
    <w:rsid w:val="00E05715"/>
    <w:rPr>
      <w:sz w:val="20"/>
      <w:szCs w:val="20"/>
    </w:rPr>
  </w:style>
  <w:style w:type="character" w:styleId="FootnoteReference">
    <w:name w:val="footnote reference"/>
    <w:basedOn w:val="DefaultParagraphFont"/>
    <w:uiPriority w:val="99"/>
    <w:semiHidden/>
    <w:qFormat/>
    <w:rsid w:val="00E05715"/>
    <w:rPr>
      <w:vertAlign w:val="superscript"/>
    </w:rPr>
  </w:style>
  <w:style w:type="paragraph" w:styleId="ListParagraph">
    <w:name w:val="List Paragraph"/>
    <w:basedOn w:val="Normal"/>
    <w:uiPriority w:val="34"/>
    <w:qFormat/>
    <w:rsid w:val="00E05715"/>
    <w:pPr>
      <w:ind w:left="720"/>
      <w:contextualSpacing/>
    </w:pPr>
  </w:style>
  <w:style w:type="character" w:styleId="CommentReference">
    <w:name w:val="annotation reference"/>
    <w:basedOn w:val="DefaultParagraphFont"/>
    <w:uiPriority w:val="99"/>
    <w:semiHidden/>
    <w:unhideWhenUsed/>
    <w:rsid w:val="00FD21A9"/>
    <w:rPr>
      <w:sz w:val="18"/>
      <w:szCs w:val="18"/>
    </w:rPr>
  </w:style>
  <w:style w:type="paragraph" w:styleId="CommentText">
    <w:name w:val="annotation text"/>
    <w:basedOn w:val="Normal"/>
    <w:link w:val="CommentTextChar"/>
    <w:uiPriority w:val="99"/>
    <w:semiHidden/>
    <w:unhideWhenUsed/>
    <w:rsid w:val="00FD21A9"/>
    <w:pPr>
      <w:spacing w:line="240" w:lineRule="auto"/>
    </w:pPr>
    <w:rPr>
      <w:sz w:val="24"/>
      <w:szCs w:val="24"/>
    </w:rPr>
  </w:style>
  <w:style w:type="character" w:customStyle="1" w:styleId="CommentTextChar">
    <w:name w:val="Comment Text Char"/>
    <w:basedOn w:val="DefaultParagraphFont"/>
    <w:link w:val="CommentText"/>
    <w:uiPriority w:val="99"/>
    <w:semiHidden/>
    <w:rsid w:val="00FD21A9"/>
    <w:rPr>
      <w:sz w:val="24"/>
      <w:szCs w:val="24"/>
    </w:rPr>
  </w:style>
  <w:style w:type="paragraph" w:styleId="CommentSubject">
    <w:name w:val="annotation subject"/>
    <w:basedOn w:val="CommentText"/>
    <w:next w:val="CommentText"/>
    <w:link w:val="CommentSubjectChar"/>
    <w:uiPriority w:val="99"/>
    <w:semiHidden/>
    <w:unhideWhenUsed/>
    <w:rsid w:val="00FD21A9"/>
    <w:rPr>
      <w:b/>
      <w:bCs/>
      <w:sz w:val="20"/>
      <w:szCs w:val="20"/>
    </w:rPr>
  </w:style>
  <w:style w:type="character" w:customStyle="1" w:styleId="CommentSubjectChar">
    <w:name w:val="Comment Subject Char"/>
    <w:basedOn w:val="CommentTextChar"/>
    <w:link w:val="CommentSubject"/>
    <w:uiPriority w:val="99"/>
    <w:semiHidden/>
    <w:rsid w:val="00FD21A9"/>
    <w:rPr>
      <w:b/>
      <w:bCs/>
      <w:sz w:val="20"/>
      <w:szCs w:val="20"/>
    </w:rPr>
  </w:style>
  <w:style w:type="paragraph" w:styleId="BalloonText">
    <w:name w:val="Balloon Text"/>
    <w:basedOn w:val="Normal"/>
    <w:link w:val="BalloonTextChar"/>
    <w:uiPriority w:val="99"/>
    <w:semiHidden/>
    <w:unhideWhenUsed/>
    <w:rsid w:val="00FD21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1A9"/>
    <w:rPr>
      <w:rFonts w:ascii="Lucida Grande" w:hAnsi="Lucida Grande" w:cs="Lucida Grande"/>
      <w:sz w:val="18"/>
      <w:szCs w:val="18"/>
    </w:rPr>
  </w:style>
  <w:style w:type="character" w:styleId="Hyperlink">
    <w:name w:val="Hyperlink"/>
    <w:basedOn w:val="DefaultParagraphFont"/>
    <w:uiPriority w:val="99"/>
    <w:unhideWhenUsed/>
    <w:rsid w:val="00FD21A9"/>
    <w:rPr>
      <w:color w:val="0563C1" w:themeColor="hyperlink"/>
      <w:u w:val="single"/>
    </w:rPr>
  </w:style>
  <w:style w:type="table" w:styleId="TableGrid">
    <w:name w:val="Table Grid"/>
    <w:basedOn w:val="TableNormal"/>
    <w:uiPriority w:val="39"/>
    <w:rsid w:val="00293413"/>
    <w:pPr>
      <w:spacing w:after="0" w:line="240" w:lineRule="auto"/>
    </w:pPr>
    <w:rPr>
      <w:rFonts w:ascii="Arial" w:eastAsia="Arial" w:hAnsi="Arial" w:cs="Arial"/>
      <w:lang w:val="en-GB"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93DB9"/>
    <w:rPr>
      <w:i/>
      <w:iCs/>
    </w:rPr>
  </w:style>
  <w:style w:type="paragraph" w:styleId="NormalWeb">
    <w:name w:val="Normal (Web)"/>
    <w:basedOn w:val="Normal"/>
    <w:uiPriority w:val="99"/>
    <w:semiHidden/>
    <w:unhideWhenUsed/>
    <w:rsid w:val="003A4856"/>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725E23"/>
    <w:rPr>
      <w:color w:val="954F72" w:themeColor="followedHyperlink"/>
      <w:u w:val="single"/>
    </w:rPr>
  </w:style>
  <w:style w:type="character" w:styleId="UnresolvedMention">
    <w:name w:val="Unresolved Mention"/>
    <w:basedOn w:val="DefaultParagraphFont"/>
    <w:uiPriority w:val="99"/>
    <w:semiHidden/>
    <w:unhideWhenUsed/>
    <w:rsid w:val="00725E23"/>
    <w:rPr>
      <w:color w:val="605E5C"/>
      <w:shd w:val="clear" w:color="auto" w:fill="E1DFDD"/>
    </w:rPr>
  </w:style>
  <w:style w:type="paragraph" w:styleId="EndnoteText">
    <w:name w:val="endnote text"/>
    <w:basedOn w:val="Normal"/>
    <w:link w:val="EndnoteTextChar"/>
    <w:uiPriority w:val="99"/>
    <w:semiHidden/>
    <w:unhideWhenUsed/>
    <w:rsid w:val="000B0B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0B1D"/>
    <w:rPr>
      <w:sz w:val="20"/>
      <w:szCs w:val="20"/>
    </w:rPr>
  </w:style>
  <w:style w:type="character" w:styleId="EndnoteReference">
    <w:name w:val="endnote reference"/>
    <w:basedOn w:val="DefaultParagraphFont"/>
    <w:uiPriority w:val="99"/>
    <w:semiHidden/>
    <w:unhideWhenUsed/>
    <w:rsid w:val="000B0B1D"/>
    <w:rPr>
      <w:vertAlign w:val="superscript"/>
    </w:rPr>
  </w:style>
  <w:style w:type="paragraph" w:styleId="Header">
    <w:name w:val="header"/>
    <w:basedOn w:val="Normal"/>
    <w:link w:val="HeaderChar"/>
    <w:uiPriority w:val="99"/>
    <w:unhideWhenUsed/>
    <w:rsid w:val="00351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F22"/>
  </w:style>
  <w:style w:type="paragraph" w:styleId="Footer">
    <w:name w:val="footer"/>
    <w:basedOn w:val="Normal"/>
    <w:link w:val="FooterChar"/>
    <w:uiPriority w:val="99"/>
    <w:unhideWhenUsed/>
    <w:rsid w:val="00351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F22"/>
  </w:style>
  <w:style w:type="character" w:customStyle="1" w:styleId="apple-tab-span">
    <w:name w:val="apple-tab-span"/>
    <w:basedOn w:val="DefaultParagraphFont"/>
    <w:rsid w:val="00FC7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4649">
      <w:bodyDiv w:val="1"/>
      <w:marLeft w:val="0"/>
      <w:marRight w:val="0"/>
      <w:marTop w:val="0"/>
      <w:marBottom w:val="0"/>
      <w:divBdr>
        <w:top w:val="none" w:sz="0" w:space="0" w:color="auto"/>
        <w:left w:val="none" w:sz="0" w:space="0" w:color="auto"/>
        <w:bottom w:val="none" w:sz="0" w:space="0" w:color="auto"/>
        <w:right w:val="none" w:sz="0" w:space="0" w:color="auto"/>
      </w:divBdr>
    </w:div>
    <w:div w:id="297564726">
      <w:bodyDiv w:val="1"/>
      <w:marLeft w:val="0"/>
      <w:marRight w:val="0"/>
      <w:marTop w:val="0"/>
      <w:marBottom w:val="0"/>
      <w:divBdr>
        <w:top w:val="none" w:sz="0" w:space="0" w:color="auto"/>
        <w:left w:val="none" w:sz="0" w:space="0" w:color="auto"/>
        <w:bottom w:val="none" w:sz="0" w:space="0" w:color="auto"/>
        <w:right w:val="none" w:sz="0" w:space="0" w:color="auto"/>
      </w:divBdr>
    </w:div>
    <w:div w:id="389036685">
      <w:bodyDiv w:val="1"/>
      <w:marLeft w:val="0"/>
      <w:marRight w:val="0"/>
      <w:marTop w:val="0"/>
      <w:marBottom w:val="0"/>
      <w:divBdr>
        <w:top w:val="none" w:sz="0" w:space="0" w:color="auto"/>
        <w:left w:val="none" w:sz="0" w:space="0" w:color="auto"/>
        <w:bottom w:val="none" w:sz="0" w:space="0" w:color="auto"/>
        <w:right w:val="none" w:sz="0" w:space="0" w:color="auto"/>
      </w:divBdr>
    </w:div>
    <w:div w:id="561909262">
      <w:bodyDiv w:val="1"/>
      <w:marLeft w:val="0"/>
      <w:marRight w:val="0"/>
      <w:marTop w:val="0"/>
      <w:marBottom w:val="0"/>
      <w:divBdr>
        <w:top w:val="none" w:sz="0" w:space="0" w:color="auto"/>
        <w:left w:val="none" w:sz="0" w:space="0" w:color="auto"/>
        <w:bottom w:val="none" w:sz="0" w:space="0" w:color="auto"/>
        <w:right w:val="none" w:sz="0" w:space="0" w:color="auto"/>
      </w:divBdr>
    </w:div>
    <w:div w:id="669329873">
      <w:bodyDiv w:val="1"/>
      <w:marLeft w:val="0"/>
      <w:marRight w:val="0"/>
      <w:marTop w:val="0"/>
      <w:marBottom w:val="0"/>
      <w:divBdr>
        <w:top w:val="none" w:sz="0" w:space="0" w:color="auto"/>
        <w:left w:val="none" w:sz="0" w:space="0" w:color="auto"/>
        <w:bottom w:val="none" w:sz="0" w:space="0" w:color="auto"/>
        <w:right w:val="none" w:sz="0" w:space="0" w:color="auto"/>
      </w:divBdr>
    </w:div>
    <w:div w:id="809860455">
      <w:bodyDiv w:val="1"/>
      <w:marLeft w:val="0"/>
      <w:marRight w:val="0"/>
      <w:marTop w:val="0"/>
      <w:marBottom w:val="0"/>
      <w:divBdr>
        <w:top w:val="none" w:sz="0" w:space="0" w:color="auto"/>
        <w:left w:val="none" w:sz="0" w:space="0" w:color="auto"/>
        <w:bottom w:val="none" w:sz="0" w:space="0" w:color="auto"/>
        <w:right w:val="none" w:sz="0" w:space="0" w:color="auto"/>
      </w:divBdr>
    </w:div>
    <w:div w:id="928587786">
      <w:bodyDiv w:val="1"/>
      <w:marLeft w:val="0"/>
      <w:marRight w:val="0"/>
      <w:marTop w:val="0"/>
      <w:marBottom w:val="0"/>
      <w:divBdr>
        <w:top w:val="none" w:sz="0" w:space="0" w:color="auto"/>
        <w:left w:val="none" w:sz="0" w:space="0" w:color="auto"/>
        <w:bottom w:val="none" w:sz="0" w:space="0" w:color="auto"/>
        <w:right w:val="none" w:sz="0" w:space="0" w:color="auto"/>
      </w:divBdr>
    </w:div>
    <w:div w:id="966543181">
      <w:bodyDiv w:val="1"/>
      <w:marLeft w:val="0"/>
      <w:marRight w:val="0"/>
      <w:marTop w:val="0"/>
      <w:marBottom w:val="0"/>
      <w:divBdr>
        <w:top w:val="none" w:sz="0" w:space="0" w:color="auto"/>
        <w:left w:val="none" w:sz="0" w:space="0" w:color="auto"/>
        <w:bottom w:val="none" w:sz="0" w:space="0" w:color="auto"/>
        <w:right w:val="none" w:sz="0" w:space="0" w:color="auto"/>
      </w:divBdr>
    </w:div>
    <w:div w:id="1027290207">
      <w:bodyDiv w:val="1"/>
      <w:marLeft w:val="0"/>
      <w:marRight w:val="0"/>
      <w:marTop w:val="0"/>
      <w:marBottom w:val="0"/>
      <w:divBdr>
        <w:top w:val="none" w:sz="0" w:space="0" w:color="auto"/>
        <w:left w:val="none" w:sz="0" w:space="0" w:color="auto"/>
        <w:bottom w:val="none" w:sz="0" w:space="0" w:color="auto"/>
        <w:right w:val="none" w:sz="0" w:space="0" w:color="auto"/>
      </w:divBdr>
    </w:div>
    <w:div w:id="1059942872">
      <w:bodyDiv w:val="1"/>
      <w:marLeft w:val="0"/>
      <w:marRight w:val="0"/>
      <w:marTop w:val="0"/>
      <w:marBottom w:val="0"/>
      <w:divBdr>
        <w:top w:val="none" w:sz="0" w:space="0" w:color="auto"/>
        <w:left w:val="none" w:sz="0" w:space="0" w:color="auto"/>
        <w:bottom w:val="none" w:sz="0" w:space="0" w:color="auto"/>
        <w:right w:val="none" w:sz="0" w:space="0" w:color="auto"/>
      </w:divBdr>
    </w:div>
    <w:div w:id="1067413824">
      <w:bodyDiv w:val="1"/>
      <w:marLeft w:val="0"/>
      <w:marRight w:val="0"/>
      <w:marTop w:val="0"/>
      <w:marBottom w:val="0"/>
      <w:divBdr>
        <w:top w:val="none" w:sz="0" w:space="0" w:color="auto"/>
        <w:left w:val="none" w:sz="0" w:space="0" w:color="auto"/>
        <w:bottom w:val="none" w:sz="0" w:space="0" w:color="auto"/>
        <w:right w:val="none" w:sz="0" w:space="0" w:color="auto"/>
      </w:divBdr>
    </w:div>
    <w:div w:id="1113289217">
      <w:bodyDiv w:val="1"/>
      <w:marLeft w:val="0"/>
      <w:marRight w:val="0"/>
      <w:marTop w:val="0"/>
      <w:marBottom w:val="0"/>
      <w:divBdr>
        <w:top w:val="none" w:sz="0" w:space="0" w:color="auto"/>
        <w:left w:val="none" w:sz="0" w:space="0" w:color="auto"/>
        <w:bottom w:val="none" w:sz="0" w:space="0" w:color="auto"/>
        <w:right w:val="none" w:sz="0" w:space="0" w:color="auto"/>
      </w:divBdr>
    </w:div>
    <w:div w:id="1139765961">
      <w:bodyDiv w:val="1"/>
      <w:marLeft w:val="0"/>
      <w:marRight w:val="0"/>
      <w:marTop w:val="0"/>
      <w:marBottom w:val="0"/>
      <w:divBdr>
        <w:top w:val="none" w:sz="0" w:space="0" w:color="auto"/>
        <w:left w:val="none" w:sz="0" w:space="0" w:color="auto"/>
        <w:bottom w:val="none" w:sz="0" w:space="0" w:color="auto"/>
        <w:right w:val="none" w:sz="0" w:space="0" w:color="auto"/>
      </w:divBdr>
    </w:div>
    <w:div w:id="1164009788">
      <w:bodyDiv w:val="1"/>
      <w:marLeft w:val="0"/>
      <w:marRight w:val="0"/>
      <w:marTop w:val="0"/>
      <w:marBottom w:val="0"/>
      <w:divBdr>
        <w:top w:val="none" w:sz="0" w:space="0" w:color="auto"/>
        <w:left w:val="none" w:sz="0" w:space="0" w:color="auto"/>
        <w:bottom w:val="none" w:sz="0" w:space="0" w:color="auto"/>
        <w:right w:val="none" w:sz="0" w:space="0" w:color="auto"/>
      </w:divBdr>
    </w:div>
    <w:div w:id="1256327393">
      <w:bodyDiv w:val="1"/>
      <w:marLeft w:val="0"/>
      <w:marRight w:val="0"/>
      <w:marTop w:val="0"/>
      <w:marBottom w:val="0"/>
      <w:divBdr>
        <w:top w:val="none" w:sz="0" w:space="0" w:color="auto"/>
        <w:left w:val="none" w:sz="0" w:space="0" w:color="auto"/>
        <w:bottom w:val="none" w:sz="0" w:space="0" w:color="auto"/>
        <w:right w:val="none" w:sz="0" w:space="0" w:color="auto"/>
      </w:divBdr>
    </w:div>
    <w:div w:id="1366717853">
      <w:bodyDiv w:val="1"/>
      <w:marLeft w:val="0"/>
      <w:marRight w:val="0"/>
      <w:marTop w:val="0"/>
      <w:marBottom w:val="0"/>
      <w:divBdr>
        <w:top w:val="none" w:sz="0" w:space="0" w:color="auto"/>
        <w:left w:val="none" w:sz="0" w:space="0" w:color="auto"/>
        <w:bottom w:val="none" w:sz="0" w:space="0" w:color="auto"/>
        <w:right w:val="none" w:sz="0" w:space="0" w:color="auto"/>
      </w:divBdr>
    </w:div>
    <w:div w:id="1640065360">
      <w:bodyDiv w:val="1"/>
      <w:marLeft w:val="0"/>
      <w:marRight w:val="0"/>
      <w:marTop w:val="0"/>
      <w:marBottom w:val="0"/>
      <w:divBdr>
        <w:top w:val="none" w:sz="0" w:space="0" w:color="auto"/>
        <w:left w:val="none" w:sz="0" w:space="0" w:color="auto"/>
        <w:bottom w:val="none" w:sz="0" w:space="0" w:color="auto"/>
        <w:right w:val="none" w:sz="0" w:space="0" w:color="auto"/>
      </w:divBdr>
    </w:div>
    <w:div w:id="1731802626">
      <w:bodyDiv w:val="1"/>
      <w:marLeft w:val="0"/>
      <w:marRight w:val="0"/>
      <w:marTop w:val="0"/>
      <w:marBottom w:val="0"/>
      <w:divBdr>
        <w:top w:val="none" w:sz="0" w:space="0" w:color="auto"/>
        <w:left w:val="none" w:sz="0" w:space="0" w:color="auto"/>
        <w:bottom w:val="none" w:sz="0" w:space="0" w:color="auto"/>
        <w:right w:val="none" w:sz="0" w:space="0" w:color="auto"/>
      </w:divBdr>
    </w:div>
    <w:div w:id="1746225628">
      <w:bodyDiv w:val="1"/>
      <w:marLeft w:val="0"/>
      <w:marRight w:val="0"/>
      <w:marTop w:val="0"/>
      <w:marBottom w:val="0"/>
      <w:divBdr>
        <w:top w:val="none" w:sz="0" w:space="0" w:color="auto"/>
        <w:left w:val="none" w:sz="0" w:space="0" w:color="auto"/>
        <w:bottom w:val="none" w:sz="0" w:space="0" w:color="auto"/>
        <w:right w:val="none" w:sz="0" w:space="0" w:color="auto"/>
      </w:divBdr>
    </w:div>
    <w:div w:id="1875535893">
      <w:bodyDiv w:val="1"/>
      <w:marLeft w:val="0"/>
      <w:marRight w:val="0"/>
      <w:marTop w:val="0"/>
      <w:marBottom w:val="0"/>
      <w:divBdr>
        <w:top w:val="none" w:sz="0" w:space="0" w:color="auto"/>
        <w:left w:val="none" w:sz="0" w:space="0" w:color="auto"/>
        <w:bottom w:val="none" w:sz="0" w:space="0" w:color="auto"/>
        <w:right w:val="none" w:sz="0" w:space="0" w:color="auto"/>
      </w:divBdr>
    </w:div>
    <w:div w:id="2108888490">
      <w:bodyDiv w:val="1"/>
      <w:marLeft w:val="0"/>
      <w:marRight w:val="0"/>
      <w:marTop w:val="0"/>
      <w:marBottom w:val="0"/>
      <w:divBdr>
        <w:top w:val="none" w:sz="0" w:space="0" w:color="auto"/>
        <w:left w:val="none" w:sz="0" w:space="0" w:color="auto"/>
        <w:bottom w:val="none" w:sz="0" w:space="0" w:color="auto"/>
        <w:right w:val="none" w:sz="0" w:space="0" w:color="auto"/>
      </w:divBdr>
    </w:div>
    <w:div w:id="2141801140">
      <w:bodyDiv w:val="1"/>
      <w:marLeft w:val="0"/>
      <w:marRight w:val="0"/>
      <w:marTop w:val="0"/>
      <w:marBottom w:val="0"/>
      <w:divBdr>
        <w:top w:val="none" w:sz="0" w:space="0" w:color="auto"/>
        <w:left w:val="none" w:sz="0" w:space="0" w:color="auto"/>
        <w:bottom w:val="none" w:sz="0" w:space="0" w:color="auto"/>
        <w:right w:val="none" w:sz="0" w:space="0" w:color="auto"/>
      </w:divBdr>
    </w:div>
    <w:div w:id="21433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hyperlink" Target="https://signhealth.org.uk/" TargetMode="External"/><Relationship Id="rId1" Type="http://schemas.openxmlformats.org/officeDocument/2006/relationships/hyperlink" Target="https://nzfvc.org.nz/sites/default/files/NZFVC-Issues-Paper-15-historical-trauma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D464F4C6DD314D89687075BE0FD8CC" ma:contentTypeVersion="13" ma:contentTypeDescription="Create a new document." ma:contentTypeScope="" ma:versionID="bc6b778b80168719b0fe1d998b6fc04e">
  <xsd:schema xmlns:xsd="http://www.w3.org/2001/XMLSchema" xmlns:xs="http://www.w3.org/2001/XMLSchema" xmlns:p="http://schemas.microsoft.com/office/2006/metadata/properties" xmlns:ns2="265630a2-a07a-4d00-bbd2-db27837995eb" xmlns:ns3="59cd1108-1ebf-419e-a126-7cd91ad5064c" targetNamespace="http://schemas.microsoft.com/office/2006/metadata/properties" ma:root="true" ma:fieldsID="ce16525e19c7e3f46e2ee8b68b8294d7" ns2:_="" ns3:_="">
    <xsd:import namespace="265630a2-a07a-4d00-bbd2-db27837995eb"/>
    <xsd:import namespace="59cd1108-1ebf-419e-a126-7cd91ad506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630a2-a07a-4d00-bbd2-db27837995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cd1108-1ebf-419e-a126-7cd91ad506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560B1-AEEE-4857-9674-24D82AC8EF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6D854B-D3E7-47BA-942E-5A07C65BF3A9}">
  <ds:schemaRefs>
    <ds:schemaRef ds:uri="http://schemas.microsoft.com/sharepoint/v3/contenttype/forms"/>
  </ds:schemaRefs>
</ds:datastoreItem>
</file>

<file path=customXml/itemProps3.xml><?xml version="1.0" encoding="utf-8"?>
<ds:datastoreItem xmlns:ds="http://schemas.openxmlformats.org/officeDocument/2006/customXml" ds:itemID="{802250C4-1C67-40A7-A33E-9445F8BC8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630a2-a07a-4d00-bbd2-db27837995eb"/>
    <ds:schemaRef ds:uri="59cd1108-1ebf-419e-a126-7cd91ad50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D746F7-1817-1A4C-B173-52A23743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4</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Witko</dc:creator>
  <cp:keywords/>
  <dc:description/>
  <cp:lastModifiedBy>xxx </cp:lastModifiedBy>
  <cp:revision>8</cp:revision>
  <dcterms:created xsi:type="dcterms:W3CDTF">2021-09-08T00:17:00Z</dcterms:created>
  <dcterms:modified xsi:type="dcterms:W3CDTF">2021-09-16T21:24:00Z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0x01010080D464F4C6DD314D89687075BE0FD8CC</vt:lpwstr>
  </property>
</Properties>
</file>