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en-US"/>
        </w:rPr>
        <w:t>Media Release</w:t>
      </w:r>
    </w:p>
    <w:p>
      <w:pPr>
        <w:pStyle w:val="Title 2"/>
        <w:rPr>
          <w:sz w:val="52"/>
          <w:szCs w:val="52"/>
        </w:rPr>
      </w:pPr>
      <w:r>
        <w:rPr>
          <w:sz w:val="52"/>
          <w:szCs w:val="52"/>
          <w:rtl w:val="0"/>
          <w:lang w:val="en-US"/>
        </w:rPr>
        <w:t>Virus spreads to spending patterns</w:t>
      </w:r>
    </w:p>
    <w:p>
      <w:pPr>
        <w:pStyle w:val="Title 2"/>
        <w:rPr>
          <w:sz w:val="28"/>
          <w:szCs w:val="28"/>
        </w:rPr>
      </w:pPr>
      <w:r>
        <w:rPr>
          <w:sz w:val="28"/>
          <w:szCs w:val="28"/>
          <w:rtl w:val="0"/>
          <w:lang w:val="en-US"/>
        </w:rPr>
        <w:t>Tuesday 3 March 2020</w:t>
      </w:r>
    </w:p>
    <w:p>
      <w:pPr>
        <w:pStyle w:val="Body A A"/>
      </w:pPr>
    </w:p>
    <w:p>
      <w:pPr>
        <w:pStyle w:val="Body A A"/>
      </w:pPr>
      <w:r>
        <w:rPr>
          <w:rFonts w:cs="Arial Unicode MS" w:eastAsia="Arial Unicode MS"/>
          <w:rtl w:val="0"/>
          <w:lang w:val="en-US"/>
        </w:rPr>
        <w:t xml:space="preserve">Spending through the Paymark network reveals mixed spending patterns resulting from the coronavirus during January and February. </w:t>
      </w:r>
    </w:p>
    <w:p>
      <w:pPr>
        <w:pStyle w:val="Body A A"/>
      </w:pPr>
    </w:p>
    <w:p>
      <w:pPr>
        <w:pStyle w:val="Body A A"/>
      </w:pPr>
      <w:r>
        <w:rPr>
          <w:rFonts w:cs="Arial Unicode MS" w:eastAsia="Arial Unicode MS"/>
          <w:rtl w:val="0"/>
          <w:lang w:val="en-US"/>
        </w:rPr>
        <w:t>Spending with China-issued credit cards was down 39.3% in February from a year earlier but had been up 19.8% in January. Total foreign-issued credit card spending was up 4.1% in January and 12.7% in February, with the high February figure in part due to the leap year effect.</w:t>
      </w:r>
    </w:p>
    <w:p>
      <w:pPr>
        <w:pStyle w:val="Body A A"/>
      </w:pPr>
    </w:p>
    <w:tbl>
      <w:tblPr>
        <w:tblW w:w="90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cebff"/>
        <w:tblLayout w:type="fixed"/>
      </w:tblPr>
      <w:tblGrid>
        <w:gridCol w:w="9010"/>
      </w:tblGrid>
      <w:tr>
        <w:tblPrEx>
          <w:shd w:val="clear" w:color="auto" w:fill="ccebff"/>
        </w:tblPrEx>
        <w:trPr>
          <w:trHeight w:val="4402" w:hRule="atLeast"/>
        </w:trPr>
        <w:tc>
          <w:tcPr>
            <w:tcW w:type="dxa" w:w="9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pPr>
            <w:r>
              <w:rPr>
                <w:rFonts w:ascii="Times New Roman" w:cs="Times New Roman" w:hAnsi="Times New Roman" w:eastAsia="Times New Roman"/>
                <w:sz w:val="24"/>
                <w:szCs w:val="24"/>
              </w:rPr>
              <w:drawing>
                <wp:inline distT="0" distB="0" distL="0" distR="0">
                  <wp:extent cx="4572635" cy="2749550"/>
                  <wp:effectExtent l="0" t="0" r="0" b="0"/>
                  <wp:docPr id="1073741829" name="officeArt object" descr="Picture 2"/>
                  <wp:cNvGraphicFramePr/>
                  <a:graphic xmlns:a="http://schemas.openxmlformats.org/drawingml/2006/main">
                    <a:graphicData uri="http://schemas.openxmlformats.org/drawingml/2006/picture">
                      <pic:pic xmlns:pic="http://schemas.openxmlformats.org/drawingml/2006/picture">
                        <pic:nvPicPr>
                          <pic:cNvPr id="1073741829" name="Picture 2" descr="Picture 2"/>
                          <pic:cNvPicPr>
                            <a:picLocks noChangeAspect="1"/>
                          </pic:cNvPicPr>
                        </pic:nvPicPr>
                        <pic:blipFill>
                          <a:blip r:embed="rId4">
                            <a:extLst/>
                          </a:blip>
                          <a:stretch>
                            <a:fillRect/>
                          </a:stretch>
                        </pic:blipFill>
                        <pic:spPr>
                          <a:xfrm>
                            <a:off x="0" y="0"/>
                            <a:ext cx="4572635" cy="2749550"/>
                          </a:xfrm>
                          <a:prstGeom prst="rect">
                            <a:avLst/>
                          </a:prstGeom>
                          <a:ln w="12700" cap="flat">
                            <a:noFill/>
                            <a:miter lim="400000"/>
                          </a:ln>
                          <a:effectLst/>
                        </pic:spPr>
                      </pic:pic>
                    </a:graphicData>
                  </a:graphic>
                </wp:inline>
              </w:drawing>
            </w:r>
          </w:p>
        </w:tc>
      </w:tr>
    </w:tbl>
    <w:p>
      <w:pPr>
        <w:pStyle w:val="Body A A"/>
        <w:widowControl w:val="0"/>
        <w:ind w:left="108" w:hanging="108"/>
      </w:pPr>
    </w:p>
    <w:p>
      <w:pPr>
        <w:pStyle w:val="Body A A"/>
        <w:widowControl w:val="0"/>
      </w:pPr>
    </w:p>
    <w:p>
      <w:pPr>
        <w:pStyle w:val="Body A A"/>
        <w:spacing w:before="120"/>
        <w:rPr>
          <w:sz w:val="16"/>
          <w:szCs w:val="16"/>
        </w:rPr>
      </w:pPr>
      <w:r>
        <w:rPr>
          <w:sz w:val="16"/>
          <w:szCs w:val="16"/>
          <w:rtl w:val="0"/>
          <w:lang w:val="en-US"/>
        </w:rPr>
        <w:t>Figure 1: Annual growth in Paymark foreign-issued credit cards spending in recent months</w:t>
      </w:r>
    </w:p>
    <w:p>
      <w:pPr>
        <w:pStyle w:val="Body A A"/>
      </w:pPr>
    </w:p>
    <w:p>
      <w:pPr>
        <w:pStyle w:val="Body A A"/>
      </w:pPr>
      <w:r>
        <w:rPr>
          <w:rFonts w:cs="Arial Unicode MS" w:eastAsia="Arial Unicode MS"/>
          <w:rtl w:val="0"/>
          <w:lang w:val="en-US"/>
        </w:rPr>
        <w:t xml:space="preserve">Spending with China-issued cards had been generally down over 2019 but there was a sharp increase in January and an even sharper fall in February, both changes occurring across a wide range of merchant sectors. Spending at Chemists with China-issued cards jumped 94.1%in January from a year earlier and was still up 4.4% in February. </w:t>
      </w:r>
    </w:p>
    <w:p>
      <w:pPr>
        <w:pStyle w:val="Body A A"/>
      </w:pPr>
    </w:p>
    <w:p>
      <w:pPr>
        <w:pStyle w:val="Body A A"/>
      </w:pPr>
      <w:r>
        <w:rPr>
          <w:rFonts w:cs="Arial Unicode MS" w:eastAsia="Arial Unicode MS"/>
          <w:rtl w:val="0"/>
          <w:lang w:val="en-US"/>
        </w:rPr>
        <w:t xml:space="preserve">Spending with other foreign-issued credit cards had been generally rising through 2019 and accelerated in January and February. This pattern was particularly noticeable amongst cards issued in the US. </w:t>
      </w:r>
      <w:r>
        <w:rPr>
          <w:rFonts w:ascii="Arial Unicode MS" w:cs="Arial Unicode MS" w:hAnsi="Arial Unicode MS" w:eastAsia="Arial Unicode MS"/>
          <w:b w:val="0"/>
          <w:bCs w:val="0"/>
          <w:i w:val="0"/>
          <w:iCs w:val="0"/>
        </w:rPr>
        <w:br w:type="page"/>
      </w:r>
    </w:p>
    <w:p>
      <w:pPr>
        <w:pStyle w:val="Body A A"/>
      </w:pPr>
    </w:p>
    <w:tbl>
      <w:tblPr>
        <w:tblW w:w="90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cebff"/>
        <w:tblLayout w:type="fixed"/>
      </w:tblPr>
      <w:tblGrid>
        <w:gridCol w:w="1838"/>
        <w:gridCol w:w="849"/>
        <w:gridCol w:w="852"/>
        <w:gridCol w:w="977"/>
        <w:gridCol w:w="1056"/>
        <w:gridCol w:w="1087"/>
        <w:gridCol w:w="990"/>
        <w:gridCol w:w="1361"/>
      </w:tblGrid>
      <w:tr>
        <w:tblPrEx>
          <w:shd w:val="clear" w:color="auto" w:fill="ccebff"/>
        </w:tblPrEx>
        <w:trPr>
          <w:trHeight w:val="609" w:hRule="atLeast"/>
        </w:trPr>
        <w:tc>
          <w:tcPr>
            <w:tcW w:type="dxa" w:w="1838"/>
            <w:tcBorders>
              <w:top w:val="single" w:color="000000" w:sz="4" w:space="0" w:shadow="0" w:frame="0"/>
              <w:left w:val="single" w:color="000000" w:sz="4" w:space="0" w:shadow="0" w:frame="0"/>
              <w:bottom w:val="nil"/>
              <w:right w:val="nil"/>
            </w:tcBorders>
            <w:shd w:val="clear" w:color="auto" w:fill="c0c0c0"/>
            <w:tcMar>
              <w:top w:type="dxa" w:w="80"/>
              <w:left w:type="dxa" w:w="80"/>
              <w:bottom w:type="dxa" w:w="80"/>
              <w:right w:type="dxa" w:w="80"/>
            </w:tcMar>
            <w:vAlign w:val="bottom"/>
          </w:tcPr>
          <w:p/>
        </w:tc>
        <w:tc>
          <w:tcPr>
            <w:tcW w:type="dxa" w:w="1701"/>
            <w:gridSpan w:val="2"/>
            <w:tcBorders>
              <w:top w:val="single" w:color="000000" w:sz="4" w:space="0" w:shadow="0" w:frame="0"/>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18"/>
                <w:szCs w:val="18"/>
                <w:rtl w:val="0"/>
                <w:lang w:val="en-US"/>
              </w:rPr>
              <w:t>Monthly spending ($m)</w:t>
            </w:r>
          </w:p>
        </w:tc>
        <w:tc>
          <w:tcPr>
            <w:tcW w:type="dxa" w:w="2032"/>
            <w:gridSpan w:val="2"/>
            <w:tcBorders>
              <w:top w:val="single" w:color="000000" w:sz="4" w:space="0" w:shadow="0" w:frame="0"/>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18"/>
                <w:szCs w:val="18"/>
                <w:rtl w:val="0"/>
                <w:lang w:val="en-US"/>
              </w:rPr>
              <w:t>Annual change monthly spending ($m)</w:t>
            </w:r>
          </w:p>
        </w:tc>
        <w:tc>
          <w:tcPr>
            <w:tcW w:type="dxa" w:w="2077"/>
            <w:gridSpan w:val="2"/>
            <w:tcBorders>
              <w:top w:val="single" w:color="000000" w:sz="4" w:space="0" w:shadow="0" w:frame="0"/>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18"/>
                <w:szCs w:val="18"/>
                <w:rtl w:val="0"/>
                <w:lang w:val="en-US"/>
              </w:rPr>
              <w:t>Annual change monthly spending (%pa)</w:t>
            </w:r>
          </w:p>
        </w:tc>
        <w:tc>
          <w:tcPr>
            <w:tcW w:type="dxa" w:w="1361"/>
            <w:tcBorders>
              <w:top w:val="single" w:color="000000" w:sz="4" w:space="0" w:shadow="0" w:frame="0"/>
              <w:left w:val="nil"/>
              <w:bottom w:val="nil"/>
              <w:right w:val="single" w:color="000000" w:sz="4" w:space="0" w:shadow="0" w:frame="0"/>
            </w:tcBorders>
            <w:shd w:val="clear" w:color="auto" w:fill="c0c0c0"/>
            <w:tcMar>
              <w:top w:type="dxa" w:w="80"/>
              <w:left w:type="dxa" w:w="80"/>
              <w:bottom w:type="dxa" w:w="80"/>
              <w:right w:type="dxa" w:w="80"/>
            </w:tcMar>
            <w:vAlign w:val="bottom"/>
          </w:tcPr>
          <w:p>
            <w:pPr>
              <w:pStyle w:val="Body A"/>
              <w:jc w:val="right"/>
            </w:pPr>
            <w:r>
              <w:rPr>
                <w:rFonts w:ascii="Arial" w:hAnsi="Arial"/>
                <w:sz w:val="18"/>
                <w:szCs w:val="18"/>
                <w:rtl w:val="0"/>
                <w:lang w:val="en-US"/>
              </w:rPr>
              <w:t>Previous 3 months (%pa)</w:t>
            </w:r>
          </w:p>
        </w:tc>
      </w:tr>
      <w:tr>
        <w:tblPrEx>
          <w:shd w:val="clear" w:color="auto" w:fill="ccebff"/>
        </w:tblPrEx>
        <w:trPr>
          <w:trHeight w:val="414" w:hRule="atLeast"/>
        </w:trPr>
        <w:tc>
          <w:tcPr>
            <w:tcW w:type="dxa" w:w="1838"/>
            <w:tcBorders>
              <w:top w:val="nil"/>
              <w:left w:val="single" w:color="000000" w:sz="4" w:space="0" w:shadow="0" w:frame="0"/>
              <w:bottom w:val="nil"/>
              <w:right w:val="nil"/>
            </w:tcBorders>
            <w:shd w:val="clear" w:color="auto" w:fill="c0c0c0"/>
            <w:tcMar>
              <w:top w:type="dxa" w:w="80"/>
              <w:left w:type="dxa" w:w="80"/>
              <w:bottom w:type="dxa" w:w="80"/>
              <w:right w:type="dxa" w:w="80"/>
            </w:tcMar>
            <w:vAlign w:val="bottom"/>
          </w:tcPr>
          <w:p>
            <w:pPr>
              <w:pStyle w:val="Body A"/>
            </w:pPr>
            <w:r>
              <w:rPr>
                <w:rFonts w:ascii="Arial" w:hAnsi="Arial"/>
                <w:sz w:val="18"/>
                <w:szCs w:val="18"/>
                <w:rtl w:val="0"/>
                <w:lang w:val="en-US"/>
              </w:rPr>
              <w:t>Country of card origin</w:t>
            </w:r>
          </w:p>
        </w:tc>
        <w:tc>
          <w:tcPr>
            <w:tcW w:type="dxa" w:w="849"/>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18"/>
                <w:szCs w:val="18"/>
                <w:rtl w:val="0"/>
                <w:lang w:val="en-US"/>
              </w:rPr>
              <w:t>Jan-20</w:t>
            </w:r>
          </w:p>
        </w:tc>
        <w:tc>
          <w:tcPr>
            <w:tcW w:type="dxa" w:w="852"/>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18"/>
                <w:szCs w:val="18"/>
                <w:rtl w:val="0"/>
                <w:lang w:val="en-US"/>
              </w:rPr>
              <w:t>Feb-20</w:t>
            </w:r>
          </w:p>
        </w:tc>
        <w:tc>
          <w:tcPr>
            <w:tcW w:type="dxa" w:w="977"/>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18"/>
                <w:szCs w:val="18"/>
                <w:rtl w:val="0"/>
                <w:lang w:val="en-US"/>
              </w:rPr>
              <w:t>Jan-20</w:t>
            </w:r>
          </w:p>
        </w:tc>
        <w:tc>
          <w:tcPr>
            <w:tcW w:type="dxa" w:w="1055"/>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18"/>
                <w:szCs w:val="18"/>
                <w:rtl w:val="0"/>
                <w:lang w:val="en-US"/>
              </w:rPr>
              <w:t>Feb-20</w:t>
            </w:r>
          </w:p>
        </w:tc>
        <w:tc>
          <w:tcPr>
            <w:tcW w:type="dxa" w:w="1087"/>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18"/>
                <w:szCs w:val="18"/>
                <w:rtl w:val="0"/>
                <w:lang w:val="en-US"/>
              </w:rPr>
              <w:t>Jan-20</w:t>
            </w:r>
          </w:p>
        </w:tc>
        <w:tc>
          <w:tcPr>
            <w:tcW w:type="dxa" w:w="990"/>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18"/>
                <w:szCs w:val="18"/>
                <w:rtl w:val="0"/>
                <w:lang w:val="en-US"/>
              </w:rPr>
              <w:t>Feb-20</w:t>
            </w:r>
          </w:p>
        </w:tc>
        <w:tc>
          <w:tcPr>
            <w:tcW w:type="dxa" w:w="1361"/>
            <w:tcBorders>
              <w:top w:val="nil"/>
              <w:left w:val="nil"/>
              <w:bottom w:val="nil"/>
              <w:right w:val="single" w:color="000000" w:sz="4" w:space="0" w:shadow="0" w:frame="0"/>
            </w:tcBorders>
            <w:shd w:val="clear" w:color="auto" w:fill="c0c0c0"/>
            <w:tcMar>
              <w:top w:type="dxa" w:w="80"/>
              <w:left w:type="dxa" w:w="80"/>
              <w:bottom w:type="dxa" w:w="80"/>
              <w:right w:type="dxa" w:w="80"/>
            </w:tcMar>
            <w:vAlign w:val="bottom"/>
          </w:tcPr>
          <w:p>
            <w:pPr>
              <w:pStyle w:val="Body A"/>
              <w:jc w:val="right"/>
            </w:pPr>
            <w:r>
              <w:rPr>
                <w:rFonts w:ascii="Arial" w:hAnsi="Arial"/>
                <w:sz w:val="18"/>
                <w:szCs w:val="18"/>
                <w:rtl w:val="0"/>
                <w:lang w:val="en-US"/>
              </w:rPr>
              <w:t>Oct-Dec</w:t>
            </w:r>
          </w:p>
        </w:tc>
      </w:tr>
      <w:tr>
        <w:tblPrEx>
          <w:shd w:val="clear" w:color="auto" w:fill="ccebff"/>
        </w:tblPrEx>
        <w:trPr>
          <w:trHeight w:val="214" w:hRule="atLeast"/>
        </w:trPr>
        <w:tc>
          <w:tcPr>
            <w:tcW w:type="dxa" w:w="1838"/>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18"/>
                <w:szCs w:val="18"/>
                <w:rtl w:val="0"/>
                <w:lang w:val="en-US"/>
              </w:rPr>
              <w:t>AUSTRALIA</w:t>
            </w:r>
          </w:p>
        </w:tc>
        <w:tc>
          <w:tcPr>
            <w:tcW w:type="dxa" w:w="849"/>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98</w:t>
            </w:r>
          </w:p>
        </w:tc>
        <w:tc>
          <w:tcPr>
            <w:tcW w:type="dxa" w:w="852"/>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77</w:t>
            </w:r>
          </w:p>
        </w:tc>
        <w:tc>
          <w:tcPr>
            <w:tcW w:type="dxa" w:w="977"/>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-2</w:t>
            </w:r>
          </w:p>
        </w:tc>
        <w:tc>
          <w:tcPr>
            <w:tcW w:type="dxa" w:w="105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2</w:t>
            </w:r>
          </w:p>
        </w:tc>
        <w:tc>
          <w:tcPr>
            <w:tcW w:type="dxa" w:w="1087"/>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-2.3%</w:t>
            </w:r>
          </w:p>
        </w:tc>
        <w:tc>
          <w:tcPr>
            <w:tcW w:type="dxa" w:w="99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3.0%</w:t>
            </w:r>
          </w:p>
        </w:tc>
        <w:tc>
          <w:tcPr>
            <w:tcW w:type="dxa" w:w="1361"/>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-0.5%</w:t>
            </w:r>
          </w:p>
        </w:tc>
      </w:tr>
      <w:tr>
        <w:tblPrEx>
          <w:shd w:val="clear" w:color="auto" w:fill="ccebff"/>
        </w:tblPrEx>
        <w:trPr>
          <w:trHeight w:val="414" w:hRule="atLeast"/>
        </w:trPr>
        <w:tc>
          <w:tcPr>
            <w:tcW w:type="dxa" w:w="1838"/>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18"/>
                <w:szCs w:val="18"/>
                <w:rtl w:val="0"/>
                <w:lang w:val="en-US"/>
              </w:rPr>
              <w:t>UNITED STATES OF AMERICA</w:t>
            </w:r>
          </w:p>
        </w:tc>
        <w:tc>
          <w:tcPr>
            <w:tcW w:type="dxa" w:w="849"/>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64</w:t>
            </w:r>
          </w:p>
        </w:tc>
        <w:tc>
          <w:tcPr>
            <w:tcW w:type="dxa" w:w="852"/>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97</w:t>
            </w:r>
          </w:p>
        </w:tc>
        <w:tc>
          <w:tcPr>
            <w:tcW w:type="dxa" w:w="977"/>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12</w:t>
            </w:r>
          </w:p>
        </w:tc>
        <w:tc>
          <w:tcPr>
            <w:tcW w:type="dxa" w:w="105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44</w:t>
            </w:r>
          </w:p>
        </w:tc>
        <w:tc>
          <w:tcPr>
            <w:tcW w:type="dxa" w:w="1087"/>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23.9%</w:t>
            </w:r>
          </w:p>
        </w:tc>
        <w:tc>
          <w:tcPr>
            <w:tcW w:type="dxa" w:w="99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83.3%</w:t>
            </w:r>
          </w:p>
        </w:tc>
        <w:tc>
          <w:tcPr>
            <w:tcW w:type="dxa" w:w="1361"/>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16.2%</w:t>
            </w:r>
          </w:p>
        </w:tc>
      </w:tr>
      <w:tr>
        <w:tblPrEx>
          <w:shd w:val="clear" w:color="auto" w:fill="ccebff"/>
        </w:tblPrEx>
        <w:trPr>
          <w:trHeight w:val="214" w:hRule="atLeast"/>
        </w:trPr>
        <w:tc>
          <w:tcPr>
            <w:tcW w:type="dxa" w:w="1838"/>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18"/>
                <w:szCs w:val="18"/>
                <w:rtl w:val="0"/>
                <w:lang w:val="en-US"/>
              </w:rPr>
              <w:t>UNITED KINGDOM</w:t>
            </w:r>
          </w:p>
        </w:tc>
        <w:tc>
          <w:tcPr>
            <w:tcW w:type="dxa" w:w="849"/>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31</w:t>
            </w:r>
          </w:p>
        </w:tc>
        <w:tc>
          <w:tcPr>
            <w:tcW w:type="dxa" w:w="852"/>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35</w:t>
            </w:r>
          </w:p>
        </w:tc>
        <w:tc>
          <w:tcPr>
            <w:tcW w:type="dxa" w:w="977"/>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-3</w:t>
            </w:r>
          </w:p>
        </w:tc>
        <w:tc>
          <w:tcPr>
            <w:tcW w:type="dxa" w:w="105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-1</w:t>
            </w:r>
          </w:p>
        </w:tc>
        <w:tc>
          <w:tcPr>
            <w:tcW w:type="dxa" w:w="1087"/>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-7.9%</w:t>
            </w:r>
          </w:p>
        </w:tc>
        <w:tc>
          <w:tcPr>
            <w:tcW w:type="dxa" w:w="99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-1.9%</w:t>
            </w:r>
          </w:p>
        </w:tc>
        <w:tc>
          <w:tcPr>
            <w:tcW w:type="dxa" w:w="1361"/>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-10.4%</w:t>
            </w:r>
          </w:p>
        </w:tc>
      </w:tr>
      <w:tr>
        <w:tblPrEx>
          <w:shd w:val="clear" w:color="auto" w:fill="ccebff"/>
        </w:tblPrEx>
        <w:trPr>
          <w:trHeight w:val="214" w:hRule="atLeast"/>
        </w:trPr>
        <w:tc>
          <w:tcPr>
            <w:tcW w:type="dxa" w:w="1838"/>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18"/>
                <w:szCs w:val="18"/>
                <w:rtl w:val="0"/>
                <w:lang w:val="en-US"/>
              </w:rPr>
              <w:t>CHINA</w:t>
            </w:r>
          </w:p>
        </w:tc>
        <w:tc>
          <w:tcPr>
            <w:tcW w:type="dxa" w:w="849"/>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20</w:t>
            </w:r>
          </w:p>
        </w:tc>
        <w:tc>
          <w:tcPr>
            <w:tcW w:type="dxa" w:w="852"/>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17</w:t>
            </w:r>
          </w:p>
        </w:tc>
        <w:tc>
          <w:tcPr>
            <w:tcW w:type="dxa" w:w="977"/>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3</w:t>
            </w:r>
          </w:p>
        </w:tc>
        <w:tc>
          <w:tcPr>
            <w:tcW w:type="dxa" w:w="105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-11</w:t>
            </w:r>
          </w:p>
        </w:tc>
        <w:tc>
          <w:tcPr>
            <w:tcW w:type="dxa" w:w="1087"/>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19.8%</w:t>
            </w:r>
          </w:p>
        </w:tc>
        <w:tc>
          <w:tcPr>
            <w:tcW w:type="dxa" w:w="99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-39.3%</w:t>
            </w:r>
          </w:p>
        </w:tc>
        <w:tc>
          <w:tcPr>
            <w:tcW w:type="dxa" w:w="1361"/>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-11.3%</w:t>
            </w:r>
          </w:p>
        </w:tc>
      </w:tr>
      <w:tr>
        <w:tblPrEx>
          <w:shd w:val="clear" w:color="auto" w:fill="ccebff"/>
        </w:tblPrEx>
        <w:trPr>
          <w:trHeight w:val="214" w:hRule="atLeast"/>
        </w:trPr>
        <w:tc>
          <w:tcPr>
            <w:tcW w:type="dxa" w:w="1838"/>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18"/>
                <w:szCs w:val="18"/>
                <w:rtl w:val="0"/>
                <w:lang w:val="en-US"/>
              </w:rPr>
              <w:t>GERMANY</w:t>
            </w:r>
          </w:p>
        </w:tc>
        <w:tc>
          <w:tcPr>
            <w:tcW w:type="dxa" w:w="849"/>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19</w:t>
            </w:r>
          </w:p>
        </w:tc>
        <w:tc>
          <w:tcPr>
            <w:tcW w:type="dxa" w:w="852"/>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20</w:t>
            </w:r>
          </w:p>
        </w:tc>
        <w:tc>
          <w:tcPr>
            <w:tcW w:type="dxa" w:w="977"/>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-2</w:t>
            </w:r>
          </w:p>
        </w:tc>
        <w:tc>
          <w:tcPr>
            <w:tcW w:type="dxa" w:w="105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-1</w:t>
            </w:r>
          </w:p>
        </w:tc>
        <w:tc>
          <w:tcPr>
            <w:tcW w:type="dxa" w:w="1087"/>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-9.3%</w:t>
            </w:r>
          </w:p>
        </w:tc>
        <w:tc>
          <w:tcPr>
            <w:tcW w:type="dxa" w:w="99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-4.3%</w:t>
            </w:r>
          </w:p>
        </w:tc>
        <w:tc>
          <w:tcPr>
            <w:tcW w:type="dxa" w:w="1361"/>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-10.7%</w:t>
            </w:r>
          </w:p>
        </w:tc>
      </w:tr>
      <w:tr>
        <w:tblPrEx>
          <w:shd w:val="clear" w:color="auto" w:fill="ccebff"/>
        </w:tblPrEx>
        <w:trPr>
          <w:trHeight w:val="414" w:hRule="atLeast"/>
        </w:trPr>
        <w:tc>
          <w:tcPr>
            <w:tcW w:type="dxa" w:w="1838"/>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18"/>
                <w:szCs w:val="18"/>
                <w:rtl w:val="0"/>
                <w:lang w:val="en-US"/>
              </w:rPr>
              <w:t>Other foreign-issued cards</w:t>
            </w:r>
          </w:p>
        </w:tc>
        <w:tc>
          <w:tcPr>
            <w:tcW w:type="dxa" w:w="849"/>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108</w:t>
            </w:r>
          </w:p>
        </w:tc>
        <w:tc>
          <w:tcPr>
            <w:tcW w:type="dxa" w:w="852"/>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103</w:t>
            </w:r>
          </w:p>
        </w:tc>
        <w:tc>
          <w:tcPr>
            <w:tcW w:type="dxa" w:w="977"/>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5</w:t>
            </w:r>
          </w:p>
        </w:tc>
        <w:tc>
          <w:tcPr>
            <w:tcW w:type="dxa" w:w="105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6</w:t>
            </w:r>
          </w:p>
        </w:tc>
        <w:tc>
          <w:tcPr>
            <w:tcW w:type="dxa" w:w="1087"/>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4.7%</w:t>
            </w:r>
          </w:p>
        </w:tc>
        <w:tc>
          <w:tcPr>
            <w:tcW w:type="dxa" w:w="99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6.0%</w:t>
            </w:r>
          </w:p>
        </w:tc>
        <w:tc>
          <w:tcPr>
            <w:tcW w:type="dxa" w:w="1361"/>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rFonts w:ascii="Arial" w:hAnsi="Arial"/>
                <w:sz w:val="18"/>
                <w:szCs w:val="18"/>
                <w:rtl w:val="0"/>
                <w:lang w:val="en-US"/>
              </w:rPr>
              <w:t>5.2%</w:t>
            </w:r>
          </w:p>
        </w:tc>
      </w:tr>
      <w:tr>
        <w:tblPrEx>
          <w:shd w:val="clear" w:color="auto" w:fill="ccebff"/>
        </w:tblPrEx>
        <w:trPr>
          <w:trHeight w:val="209" w:hRule="atLeast"/>
        </w:trPr>
        <w:tc>
          <w:tcPr>
            <w:tcW w:type="dxa" w:w="1838"/>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bottom"/>
          </w:tcPr>
          <w:p>
            <w:pPr>
              <w:pStyle w:val="Body A"/>
            </w:pPr>
            <w:r>
              <w:rPr>
                <w:rFonts w:ascii="Arial" w:hAnsi="Arial"/>
                <w:b w:val="1"/>
                <w:bCs w:val="1"/>
                <w:sz w:val="18"/>
                <w:szCs w:val="18"/>
                <w:rtl w:val="0"/>
                <w:lang w:val="en-US"/>
              </w:rPr>
              <w:t>All foreign cards</w:t>
            </w:r>
          </w:p>
        </w:tc>
        <w:tc>
          <w:tcPr>
            <w:tcW w:type="dxa" w:w="84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jc w:val="right"/>
            </w:pPr>
            <w:r>
              <w:rPr>
                <w:rFonts w:ascii="Arial" w:hAnsi="Arial"/>
                <w:b w:val="1"/>
                <w:bCs w:val="1"/>
                <w:sz w:val="18"/>
                <w:szCs w:val="18"/>
                <w:rtl w:val="0"/>
                <w:lang w:val="en-US"/>
              </w:rPr>
              <w:t>340</w:t>
            </w:r>
          </w:p>
        </w:tc>
        <w:tc>
          <w:tcPr>
            <w:tcW w:type="dxa" w:w="85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jc w:val="right"/>
            </w:pPr>
            <w:r>
              <w:rPr>
                <w:rFonts w:ascii="Arial" w:hAnsi="Arial"/>
                <w:b w:val="1"/>
                <w:bCs w:val="1"/>
                <w:sz w:val="18"/>
                <w:szCs w:val="18"/>
                <w:rtl w:val="0"/>
                <w:lang w:val="en-US"/>
              </w:rPr>
              <w:t>348</w:t>
            </w:r>
          </w:p>
        </w:tc>
        <w:tc>
          <w:tcPr>
            <w:tcW w:type="dxa" w:w="977"/>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jc w:val="right"/>
            </w:pPr>
            <w:r>
              <w:rPr>
                <w:rFonts w:ascii="Arial" w:hAnsi="Arial"/>
                <w:b w:val="1"/>
                <w:bCs w:val="1"/>
                <w:sz w:val="18"/>
                <w:szCs w:val="18"/>
                <w:rtl w:val="0"/>
                <w:lang w:val="en-US"/>
              </w:rPr>
              <w:t>13</w:t>
            </w:r>
          </w:p>
        </w:tc>
        <w:tc>
          <w:tcPr>
            <w:tcW w:type="dxa" w:w="105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jc w:val="right"/>
            </w:pPr>
            <w:r>
              <w:rPr>
                <w:rFonts w:ascii="Arial" w:hAnsi="Arial"/>
                <w:b w:val="1"/>
                <w:bCs w:val="1"/>
                <w:sz w:val="18"/>
                <w:szCs w:val="18"/>
                <w:rtl w:val="0"/>
                <w:lang w:val="en-US"/>
              </w:rPr>
              <w:t>39</w:t>
            </w:r>
          </w:p>
        </w:tc>
        <w:tc>
          <w:tcPr>
            <w:tcW w:type="dxa" w:w="1087"/>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jc w:val="right"/>
            </w:pPr>
            <w:r>
              <w:rPr>
                <w:rFonts w:ascii="Arial" w:hAnsi="Arial"/>
                <w:b w:val="1"/>
                <w:bCs w:val="1"/>
                <w:sz w:val="18"/>
                <w:szCs w:val="18"/>
                <w:rtl w:val="0"/>
                <w:lang w:val="en-US"/>
              </w:rPr>
              <w:t>4.1%</w:t>
            </w:r>
          </w:p>
        </w:tc>
        <w:tc>
          <w:tcPr>
            <w:tcW w:type="dxa" w:w="99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jc w:val="right"/>
            </w:pPr>
            <w:r>
              <w:rPr>
                <w:rFonts w:ascii="Arial" w:hAnsi="Arial"/>
                <w:b w:val="1"/>
                <w:bCs w:val="1"/>
                <w:sz w:val="18"/>
                <w:szCs w:val="18"/>
                <w:rtl w:val="0"/>
                <w:lang w:val="en-US"/>
              </w:rPr>
              <w:t>12.7%</w:t>
            </w:r>
          </w:p>
        </w:tc>
        <w:tc>
          <w:tcPr>
            <w:tcW w:type="dxa" w:w="1361"/>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jc w:val="right"/>
            </w:pPr>
            <w:r>
              <w:rPr>
                <w:rFonts w:ascii="Arial" w:hAnsi="Arial"/>
                <w:b w:val="1"/>
                <w:bCs w:val="1"/>
                <w:sz w:val="18"/>
                <w:szCs w:val="18"/>
                <w:rtl w:val="0"/>
                <w:lang w:val="en-US"/>
              </w:rPr>
              <w:t>2.6%</w:t>
            </w:r>
          </w:p>
        </w:tc>
      </w:tr>
    </w:tbl>
    <w:p>
      <w:pPr>
        <w:pStyle w:val="Body A A"/>
        <w:widowControl w:val="0"/>
        <w:ind w:left="108" w:hanging="108"/>
      </w:pPr>
    </w:p>
    <w:p>
      <w:pPr>
        <w:pStyle w:val="Body A A"/>
        <w:widowControl w:val="0"/>
      </w:pPr>
    </w:p>
    <w:p>
      <w:pPr>
        <w:pStyle w:val="Body A A"/>
        <w:spacing w:before="120"/>
        <w:rPr>
          <w:sz w:val="16"/>
          <w:szCs w:val="16"/>
        </w:rPr>
      </w:pPr>
      <w:r>
        <w:rPr>
          <w:sz w:val="16"/>
          <w:szCs w:val="16"/>
          <w:rtl w:val="0"/>
          <w:lang w:val="en-US"/>
        </w:rPr>
        <w:t>Figure 2: Foreign-issued credit cards spending through Paymark in recent months</w:t>
      </w:r>
    </w:p>
    <w:p>
      <w:pPr>
        <w:pStyle w:val="Body A A"/>
      </w:pPr>
    </w:p>
    <w:p>
      <w:pPr>
        <w:pStyle w:val="Body A A"/>
      </w:pPr>
      <w:r>
        <w:rPr>
          <w:rFonts w:cs="Arial Unicode MS" w:eastAsia="Arial Unicode MS"/>
          <w:rtl w:val="0"/>
          <w:lang w:val="en-US"/>
        </w:rPr>
        <w:t>In total $348 million was spent in February through Paymark with credit cards that could be identified as foreign-issued, up 12.7% on a year earlier.</w:t>
      </w:r>
    </w:p>
    <w:p>
      <w:pPr>
        <w:pStyle w:val="Body A A"/>
      </w:pPr>
    </w:p>
    <w:p>
      <w:pPr>
        <w:pStyle w:val="Body A A"/>
      </w:pPr>
      <w:r>
        <w:rPr>
          <w:rFonts w:cs="Arial Unicode MS" w:eastAsia="Arial Unicode MS"/>
          <w:rtl w:val="0"/>
          <w:lang w:val="en-US"/>
        </w:rPr>
        <w:t>Across all foreign-issued cards, spending was down in February within Otago (-2.6%), Southland (-2.8%) and West Coast (-10.2%). Foreign-issued card spending was down in these regions amongst Accommodation merchants, as was the case also in Canterbury and South Canterbury. Foreign-card spending had already been down declining in West Coast during recent months.</w:t>
      </w:r>
    </w:p>
    <w:p>
      <w:pPr>
        <w:pStyle w:val="Body A A"/>
      </w:pPr>
      <w:r>
        <w:rPr>
          <w:rFonts w:ascii="Arial Unicode MS" w:cs="Arial Unicode MS" w:hAnsi="Arial Unicode MS" w:eastAsia="Arial Unicode MS"/>
          <w:b w:val="0"/>
          <w:bCs w:val="0"/>
          <w:i w:val="0"/>
          <w:iCs w:val="0"/>
        </w:rPr>
        <w:br w:type="page"/>
      </w:r>
    </w:p>
    <w:p>
      <w:pPr>
        <w:pStyle w:val="Body A A"/>
      </w:pPr>
    </w:p>
    <w:tbl>
      <w:tblPr>
        <w:tblW w:w="694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cebff"/>
        <w:tblLayout w:type="fixed"/>
      </w:tblPr>
      <w:tblGrid>
        <w:gridCol w:w="2220"/>
        <w:gridCol w:w="1608"/>
        <w:gridCol w:w="1558"/>
        <w:gridCol w:w="1560"/>
      </w:tblGrid>
      <w:tr>
        <w:tblPrEx>
          <w:shd w:val="clear" w:color="auto" w:fill="ccebff"/>
        </w:tblPrEx>
        <w:trPr>
          <w:trHeight w:val="453" w:hRule="atLeast"/>
        </w:trPr>
        <w:tc>
          <w:tcPr>
            <w:tcW w:type="dxa" w:w="6946"/>
            <w:gridSpan w:val="4"/>
            <w:tcBorders>
              <w:top w:val="nil"/>
              <w:left w:val="nil"/>
              <w:bottom w:val="nil"/>
              <w:right w:val="nil"/>
            </w:tcBorders>
            <w:shd w:val="clear" w:color="auto" w:fill="c0c0c0"/>
            <w:tcMar>
              <w:top w:type="dxa" w:w="80"/>
              <w:left w:type="dxa" w:w="80"/>
              <w:bottom w:type="dxa" w:w="80"/>
              <w:right w:type="dxa" w:w="80"/>
            </w:tcMar>
            <w:vAlign w:val="bottom"/>
          </w:tcPr>
          <w:p>
            <w:pPr>
              <w:pStyle w:val="Body A"/>
              <w:jc w:val="center"/>
              <w:rPr>
                <w:rFonts w:ascii="Arial" w:cs="Arial" w:hAnsi="Arial" w:eastAsia="Arial"/>
                <w:b w:val="1"/>
                <w:bCs w:val="1"/>
                <w:sz w:val="20"/>
                <w:szCs w:val="20"/>
              </w:rPr>
            </w:pPr>
            <w:r>
              <w:rPr>
                <w:rFonts w:ascii="Arial" w:hAnsi="Arial"/>
                <w:b w:val="1"/>
                <w:bCs w:val="1"/>
                <w:sz w:val="20"/>
                <w:szCs w:val="20"/>
                <w:rtl w:val="0"/>
                <w:lang w:val="en-US"/>
              </w:rPr>
              <w:t xml:space="preserve">PAYMARK Foreign-issued Cards Data </w:t>
            </w:r>
          </w:p>
          <w:p>
            <w:pPr>
              <w:pStyle w:val="Body A"/>
              <w:bidi w:val="0"/>
              <w:ind w:left="0" w:right="0" w:firstLine="0"/>
              <w:jc w:val="center"/>
              <w:rPr>
                <w:rtl w:val="0"/>
              </w:rPr>
            </w:pPr>
            <w:r>
              <w:rPr>
                <w:rFonts w:ascii="Arial" w:hAnsi="Arial"/>
                <w:b w:val="1"/>
                <w:bCs w:val="1"/>
                <w:sz w:val="20"/>
                <w:szCs w:val="20"/>
                <w:rtl w:val="0"/>
                <w:lang w:val="en-US"/>
              </w:rPr>
              <w:t>(Feb 2020 versus same month 2019)</w:t>
            </w:r>
          </w:p>
        </w:tc>
      </w:tr>
      <w:tr>
        <w:tblPrEx>
          <w:shd w:val="clear" w:color="auto" w:fill="ccebff"/>
        </w:tblPrEx>
        <w:trPr>
          <w:trHeight w:val="524" w:hRule="atLeast"/>
        </w:trPr>
        <w:tc>
          <w:tcPr>
            <w:tcW w:type="dxa" w:w="2220"/>
            <w:tcBorders>
              <w:top w:val="nil"/>
              <w:left w:val="nil"/>
              <w:bottom w:val="nil"/>
              <w:right w:val="nil"/>
            </w:tcBorders>
            <w:shd w:val="clear" w:color="auto" w:fill="c0c0c0"/>
            <w:tcMar>
              <w:top w:type="dxa" w:w="80"/>
              <w:left w:type="dxa" w:w="80"/>
              <w:bottom w:type="dxa" w:w="80"/>
              <w:right w:type="dxa" w:w="80"/>
            </w:tcMar>
            <w:vAlign w:val="bottom"/>
          </w:tcPr>
          <w:p>
            <w:pPr>
              <w:pStyle w:val="Body A"/>
            </w:pPr>
            <w:r>
              <w:rPr>
                <w:rFonts w:ascii="Arial" w:hAnsi="Arial"/>
                <w:sz w:val="20"/>
                <w:szCs w:val="20"/>
                <w:rtl w:val="0"/>
                <w:lang w:val="en-US"/>
              </w:rPr>
              <w:t>Paymark region</w:t>
            </w:r>
          </w:p>
        </w:tc>
        <w:tc>
          <w:tcPr>
            <w:tcW w:type="dxa" w:w="1608"/>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20"/>
                <w:szCs w:val="20"/>
                <w:rtl w:val="0"/>
                <w:lang w:val="en-US"/>
              </w:rPr>
              <w:t>Spending ($)</w:t>
            </w:r>
          </w:p>
        </w:tc>
        <w:tc>
          <w:tcPr>
            <w:tcW w:type="dxa" w:w="1558"/>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20"/>
                <w:szCs w:val="20"/>
                <w:rtl w:val="0"/>
                <w:lang w:val="en-US"/>
              </w:rPr>
              <w:t>Annual Change ($)</w:t>
            </w:r>
          </w:p>
        </w:tc>
        <w:tc>
          <w:tcPr>
            <w:tcW w:type="dxa" w:w="1560"/>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20"/>
                <w:szCs w:val="20"/>
                <w:rtl w:val="0"/>
                <w:lang w:val="en-US"/>
              </w:rPr>
              <w:t>Annual Change (%)</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Auckland/Northland</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124,546,886</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21,380,630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20.7%</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Waikato</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14,965,187</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1,431,831</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10.6%</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BOP</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25,469,825</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1,914,450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8.1%</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Gisborne</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1,237,284</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206,827</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20.1%</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Taranaki</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3,067,620</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662,713</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27.6%</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Hawke</w:t>
            </w:r>
            <w:r>
              <w:rPr>
                <w:rFonts w:ascii="Arial" w:hAnsi="Arial" w:hint="default"/>
                <w:sz w:val="20"/>
                <w:szCs w:val="20"/>
                <w:rtl w:val="0"/>
                <w:lang w:val="en-US"/>
              </w:rPr>
              <w:t>’</w:t>
            </w:r>
            <w:r>
              <w:rPr>
                <w:rFonts w:ascii="Arial" w:hAnsi="Arial"/>
                <w:sz w:val="20"/>
                <w:szCs w:val="20"/>
                <w:rtl w:val="0"/>
                <w:lang w:val="en-US"/>
              </w:rPr>
              <w:t>s Bay</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6,537,400</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1,300,260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24.8%</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Wanganui</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1,915,550</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301,268</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18.7%</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Palmerston North</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3,695,966</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1,753,753</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90.3%</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Wairarapa</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1,437,349</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268,702</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23.0%</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Wellington</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26,384,265</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6,760,680</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34.5%</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Nelson</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9,101,116</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1,074,974</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13.4%</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Marlborough</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9,549,281</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892,491</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10.3%</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West Coast</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7,658,351</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-869,261</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-10.2%</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Canterbury</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36,642,490</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3,908,836</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11.9%</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South Canterbury</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4,813,986</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78,331</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1.7%</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Otago</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55,081,624</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-1,492,704</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-2.6%</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Southland</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15,622,748</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-455,202</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-2.8%</w:t>
            </w:r>
          </w:p>
        </w:tc>
      </w:tr>
      <w:tr>
        <w:tblPrEx>
          <w:shd w:val="clear" w:color="auto" w:fill="ccebff"/>
        </w:tblPrEx>
        <w:trPr>
          <w:trHeight w:val="233" w:hRule="atLeast"/>
        </w:trPr>
        <w:tc>
          <w:tcPr>
            <w:tcW w:type="dxa" w:w="2220"/>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b w:val="1"/>
                <w:bCs w:val="1"/>
                <w:sz w:val="20"/>
                <w:szCs w:val="20"/>
                <w:rtl w:val="0"/>
                <w:lang w:val="en-US"/>
              </w:rPr>
              <w:t>New Zealand</w:t>
            </w:r>
          </w:p>
        </w:tc>
        <w:tc>
          <w:tcPr>
            <w:tcW w:type="dxa" w:w="160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b w:val="1"/>
                <w:bCs w:val="1"/>
                <w:sz w:val="20"/>
                <w:szCs w:val="20"/>
                <w:rtl w:val="0"/>
                <w:lang w:val="en-US"/>
              </w:rPr>
              <w:t>347,976,058</w:t>
            </w:r>
          </w:p>
        </w:tc>
        <w:tc>
          <w:tcPr>
            <w:tcW w:type="dxa" w:w="1558"/>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b w:val="1"/>
                <w:bCs w:val="1"/>
                <w:sz w:val="20"/>
                <w:szCs w:val="20"/>
                <w:rtl w:val="0"/>
                <w:lang w:val="en-US"/>
              </w:rPr>
              <w:t>39,145,913</w:t>
            </w:r>
          </w:p>
        </w:tc>
        <w:tc>
          <w:tcPr>
            <w:tcW w:type="dxa" w:w="156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b w:val="1"/>
                <w:bCs w:val="1"/>
                <w:sz w:val="20"/>
                <w:szCs w:val="20"/>
                <w:rtl w:val="0"/>
                <w:lang w:val="en-US"/>
              </w:rPr>
              <w:t>12.7%</w:t>
            </w:r>
          </w:p>
        </w:tc>
      </w:tr>
    </w:tbl>
    <w:p>
      <w:pPr>
        <w:pStyle w:val="Body A A"/>
        <w:widowControl w:val="0"/>
        <w:ind w:left="108" w:hanging="108"/>
      </w:pPr>
    </w:p>
    <w:p>
      <w:pPr>
        <w:pStyle w:val="Body A A"/>
        <w:widowControl w:val="0"/>
      </w:pPr>
    </w:p>
    <w:p>
      <w:pPr>
        <w:pStyle w:val="Body A A"/>
        <w:spacing w:before="120"/>
        <w:rPr>
          <w:sz w:val="16"/>
          <w:szCs w:val="16"/>
        </w:rPr>
      </w:pPr>
      <w:r>
        <w:rPr>
          <w:sz w:val="16"/>
          <w:szCs w:val="16"/>
          <w:rtl w:val="0"/>
          <w:lang w:val="en-US"/>
        </w:rPr>
        <w:t>Figure 3: Foreign-issued credit cards spending by region through Paymark (February 2020 versus February 2019)</w:t>
      </w:r>
    </w:p>
    <w:p>
      <w:pPr>
        <w:pStyle w:val="Body A A"/>
      </w:pPr>
    </w:p>
    <w:p>
      <w:pPr>
        <w:pStyle w:val="Body A A"/>
      </w:pPr>
      <w:r>
        <w:rPr>
          <w:rFonts w:ascii="Arial Unicode MS" w:cs="Arial Unicode MS" w:hAnsi="Arial Unicode MS" w:eastAsia="Arial Unicode MS"/>
          <w:b w:val="0"/>
          <w:bCs w:val="0"/>
          <w:i w:val="0"/>
          <w:iCs w:val="0"/>
        </w:rPr>
        <w:br w:type="page"/>
      </w:r>
    </w:p>
    <w:p>
      <w:pPr>
        <w:pStyle w:val="Body A A"/>
      </w:pPr>
      <w:r>
        <w:rPr>
          <w:rFonts w:cs="Arial Unicode MS" w:eastAsia="Arial Unicode MS"/>
          <w:rtl w:val="0"/>
          <w:lang w:val="en-US"/>
        </w:rPr>
        <w:t xml:space="preserve">Otherwise spending with all cards </w:t>
      </w:r>
      <w:r>
        <w:rPr>
          <w:rFonts w:cs="Arial Unicode MS" w:eastAsia="Arial Unicode MS" w:hint="default"/>
          <w:rtl w:val="0"/>
          <w:lang w:val="en-US"/>
        </w:rPr>
        <w:t xml:space="preserve">– </w:t>
      </w:r>
      <w:r>
        <w:rPr>
          <w:rFonts w:cs="Arial Unicode MS" w:eastAsia="Arial Unicode MS"/>
          <w:rtl w:val="0"/>
          <w:lang w:val="en-US"/>
        </w:rPr>
        <w:t xml:space="preserve">credit and debit, local and foreign </w:t>
      </w:r>
      <w:r>
        <w:rPr>
          <w:rFonts w:cs="Arial Unicode MS" w:eastAsia="Arial Unicode MS" w:hint="default"/>
          <w:rtl w:val="0"/>
          <w:lang w:val="en-US"/>
        </w:rPr>
        <w:t xml:space="preserve">– </w:t>
      </w:r>
      <w:r>
        <w:rPr>
          <w:rFonts w:cs="Arial Unicode MS" w:eastAsia="Arial Unicode MS"/>
          <w:rtl w:val="0"/>
          <w:lang w:val="en-US"/>
        </w:rPr>
        <w:t>through Paymark was $5,194 million in February, up 6.7% in underlying terms on February 2019, again a higher rate than of late due to the leap year effect, giving us an extra day of spending. The annual underlying growth rate of the previous three months had averaged 4.0%. Growth was slowest in Auckland/Northland (+4.1%).</w:t>
      </w:r>
    </w:p>
    <w:p>
      <w:pPr>
        <w:pStyle w:val="Body A A"/>
      </w:pPr>
    </w:p>
    <w:p>
      <w:pPr>
        <w:pStyle w:val="Body A A"/>
      </w:pPr>
    </w:p>
    <w:tbl>
      <w:tblPr>
        <w:tblW w:w="705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cebff"/>
        <w:tblLayout w:type="fixed"/>
      </w:tblPr>
      <w:tblGrid>
        <w:gridCol w:w="1962"/>
        <w:gridCol w:w="1295"/>
        <w:gridCol w:w="1250"/>
        <w:gridCol w:w="1295"/>
        <w:gridCol w:w="1250"/>
      </w:tblGrid>
      <w:tr>
        <w:tblPrEx>
          <w:shd w:val="clear" w:color="auto" w:fill="ccebff"/>
        </w:tblPrEx>
        <w:trPr>
          <w:trHeight w:val="233" w:hRule="atLeast"/>
        </w:trPr>
        <w:tc>
          <w:tcPr>
            <w:tcW w:type="dxa" w:w="7052"/>
            <w:gridSpan w:val="5"/>
            <w:tcBorders>
              <w:top w:val="nil"/>
              <w:left w:val="nil"/>
              <w:bottom w:val="nil"/>
              <w:right w:val="nil"/>
            </w:tcBorders>
            <w:shd w:val="clear" w:color="auto" w:fill="c0c0c0"/>
            <w:tcMar>
              <w:top w:type="dxa" w:w="80"/>
              <w:left w:type="dxa" w:w="80"/>
              <w:bottom w:type="dxa" w:w="80"/>
              <w:right w:type="dxa" w:w="80"/>
            </w:tcMar>
            <w:vAlign w:val="bottom"/>
          </w:tcPr>
          <w:p>
            <w:pPr>
              <w:pStyle w:val="Body A"/>
              <w:jc w:val="center"/>
            </w:pPr>
            <w:r>
              <w:rPr>
                <w:rFonts w:ascii="Arial" w:hAnsi="Arial"/>
                <w:b w:val="1"/>
                <w:bCs w:val="1"/>
                <w:sz w:val="20"/>
                <w:szCs w:val="20"/>
                <w:rtl w:val="0"/>
                <w:lang w:val="en-US"/>
              </w:rPr>
              <w:t>PAYMARK All Cards Data (Feb 2020 versus same month 2019)</w:t>
            </w:r>
          </w:p>
        </w:tc>
      </w:tr>
      <w:tr>
        <w:tblPrEx>
          <w:shd w:val="clear" w:color="auto" w:fill="ccebff"/>
        </w:tblPrEx>
        <w:trPr>
          <w:trHeight w:val="233" w:hRule="atLeast"/>
        </w:trPr>
        <w:tc>
          <w:tcPr>
            <w:tcW w:type="dxa" w:w="1962"/>
            <w:tcBorders>
              <w:top w:val="nil"/>
              <w:left w:val="nil"/>
              <w:bottom w:val="nil"/>
              <w:right w:val="nil"/>
            </w:tcBorders>
            <w:shd w:val="clear" w:color="auto" w:fill="c0c0c0"/>
            <w:tcMar>
              <w:top w:type="dxa" w:w="80"/>
              <w:left w:type="dxa" w:w="80"/>
              <w:bottom w:type="dxa" w:w="80"/>
              <w:right w:type="dxa" w:w="80"/>
            </w:tcMar>
            <w:vAlign w:val="bottom"/>
          </w:tcPr>
          <w:p>
            <w:pPr>
              <w:pStyle w:val="Body A"/>
            </w:pPr>
            <w:r>
              <w:rPr>
                <w:rFonts w:ascii="Arial" w:hAnsi="Arial" w:hint="default"/>
                <w:sz w:val="20"/>
                <w:szCs w:val="20"/>
                <w:rtl w:val="0"/>
                <w:lang w:val="en-US"/>
              </w:rPr>
              <w:t> </w:t>
            </w:r>
          </w:p>
        </w:tc>
        <w:tc>
          <w:tcPr>
            <w:tcW w:type="dxa" w:w="1295"/>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20"/>
                <w:szCs w:val="20"/>
                <w:rtl w:val="0"/>
                <w:lang w:val="en-US"/>
              </w:rPr>
              <w:t>Volume</w:t>
            </w:r>
          </w:p>
        </w:tc>
        <w:tc>
          <w:tcPr>
            <w:tcW w:type="dxa" w:w="1250"/>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20"/>
                <w:szCs w:val="20"/>
                <w:rtl w:val="0"/>
                <w:lang w:val="en-US"/>
              </w:rPr>
              <w:t>Underlying*</w:t>
            </w:r>
          </w:p>
        </w:tc>
        <w:tc>
          <w:tcPr>
            <w:tcW w:type="dxa" w:w="1295"/>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20"/>
                <w:szCs w:val="20"/>
                <w:rtl w:val="0"/>
                <w:lang w:val="en-US"/>
              </w:rPr>
              <w:t>Value</w:t>
            </w:r>
          </w:p>
        </w:tc>
        <w:tc>
          <w:tcPr>
            <w:tcW w:type="dxa" w:w="1250"/>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20"/>
                <w:szCs w:val="20"/>
                <w:rtl w:val="0"/>
                <w:lang w:val="en-US"/>
              </w:rPr>
              <w:t>Underlying*</w:t>
            </w:r>
          </w:p>
        </w:tc>
      </w:tr>
      <w:tr>
        <w:tblPrEx>
          <w:shd w:val="clear" w:color="auto" w:fill="ccebff"/>
        </w:tblPrEx>
        <w:trPr>
          <w:trHeight w:val="453" w:hRule="atLeast"/>
        </w:trPr>
        <w:tc>
          <w:tcPr>
            <w:tcW w:type="dxa" w:w="1962"/>
            <w:tcBorders>
              <w:top w:val="nil"/>
              <w:left w:val="nil"/>
              <w:bottom w:val="nil"/>
              <w:right w:val="nil"/>
            </w:tcBorders>
            <w:shd w:val="clear" w:color="auto" w:fill="c0c0c0"/>
            <w:tcMar>
              <w:top w:type="dxa" w:w="80"/>
              <w:left w:type="dxa" w:w="80"/>
              <w:bottom w:type="dxa" w:w="80"/>
              <w:right w:type="dxa" w:w="80"/>
            </w:tcMar>
            <w:vAlign w:val="bottom"/>
          </w:tcPr>
          <w:p>
            <w:pPr>
              <w:pStyle w:val="Body A"/>
            </w:pPr>
            <w:r>
              <w:rPr>
                <w:rFonts w:ascii="Arial" w:hAnsi="Arial"/>
                <w:sz w:val="20"/>
                <w:szCs w:val="20"/>
                <w:rtl w:val="0"/>
                <w:lang w:val="en-US"/>
              </w:rPr>
              <w:t>Paymark Region</w:t>
            </w:r>
          </w:p>
        </w:tc>
        <w:tc>
          <w:tcPr>
            <w:tcW w:type="dxa" w:w="1295"/>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transactions millions </w:t>
            </w:r>
          </w:p>
        </w:tc>
        <w:tc>
          <w:tcPr>
            <w:tcW w:type="dxa" w:w="1250"/>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20"/>
                <w:szCs w:val="20"/>
                <w:rtl w:val="0"/>
                <w:lang w:val="en-US"/>
              </w:rPr>
              <w:t>Annual % change</w:t>
            </w:r>
          </w:p>
        </w:tc>
        <w:tc>
          <w:tcPr>
            <w:tcW w:type="dxa" w:w="1295"/>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20"/>
                <w:szCs w:val="20"/>
                <w:rtl w:val="0"/>
                <w:lang w:val="en-US"/>
              </w:rPr>
              <w:t>transactions $millions</w:t>
            </w:r>
          </w:p>
        </w:tc>
        <w:tc>
          <w:tcPr>
            <w:tcW w:type="dxa" w:w="1250"/>
            <w:tcBorders>
              <w:top w:val="nil"/>
              <w:left w:val="nil"/>
              <w:bottom w:val="nil"/>
              <w:right w:val="nil"/>
            </w:tcBorders>
            <w:shd w:val="clear" w:color="auto" w:fill="c0c0c0"/>
            <w:tcMar>
              <w:top w:type="dxa" w:w="80"/>
              <w:left w:type="dxa" w:w="80"/>
              <w:bottom w:type="dxa" w:w="80"/>
              <w:right w:type="dxa" w:w="80"/>
            </w:tcMar>
            <w:vAlign w:val="bottom"/>
          </w:tcPr>
          <w:p>
            <w:pPr>
              <w:pStyle w:val="Body A"/>
              <w:jc w:val="right"/>
            </w:pPr>
            <w:r>
              <w:rPr>
                <w:rFonts w:ascii="Arial" w:hAnsi="Arial"/>
                <w:sz w:val="20"/>
                <w:szCs w:val="20"/>
                <w:rtl w:val="0"/>
                <w:lang w:val="en-US"/>
              </w:rPr>
              <w:t>Annual % change</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Auckland/Northland</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42.17</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4.0%</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$2,037.8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4.1%</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Waikato</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8.40</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7.7%</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$372.7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7.5%</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BOP</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7.67</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9.2%</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$355.6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9.0%</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Gisborne</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1.09</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13.0%</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$45.0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11.0%</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Taranaki</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2.36</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8.6%</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$101.5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9.7%</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Hawke's Bay</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3.51</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12.1%</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$155.1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11.9%</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Wanganui</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1.30</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7.8%</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$52.1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9.7%</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Palmerston North</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3.60</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8.1%</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$185.6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14.4%</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Wairarapa</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1.16</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10.6%</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$49.8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11.6%</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Wellington</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11.67</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6.7%</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$495.7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10.3%</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Nelson</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2.09</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5.3%</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$100.8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5.0%</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Marlborough</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1.44</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10.8%</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$70.9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10.4%</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West Coast</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0.80</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9.1%</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$39.6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5.3%</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Canterbury</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12.01</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5.6%</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$558.0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5.9%</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South Canterbury</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1.58</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6.8%</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$77.0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7.7%</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Otago</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6.77</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10.5%</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$320.7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6.9%</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20"/>
                <w:szCs w:val="20"/>
                <w:rtl w:val="0"/>
                <w:lang w:val="en-US"/>
              </w:rPr>
              <w:t>Southland</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2.54</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5.7%</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sz w:val="20"/>
                <w:szCs w:val="20"/>
                <w:rtl w:val="0"/>
                <w:lang w:val="en-US"/>
              </w:rPr>
              <w:t xml:space="preserve">$125.8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outline w:val="0"/>
                <w:color w:val="ff0000"/>
                <w:sz w:val="20"/>
                <w:szCs w:val="20"/>
                <w:u w:color="ff0000"/>
                <w:rtl w:val="0"/>
                <w:lang w:val="en-US"/>
                <w14:textFill>
                  <w14:solidFill>
                    <w14:srgbClr w14:val="FF0000"/>
                  </w14:solidFill>
                </w14:textFill>
              </w:rPr>
              <w:t>4.9%</w:t>
            </w:r>
          </w:p>
        </w:tc>
      </w:tr>
      <w:tr>
        <w:tblPrEx>
          <w:shd w:val="clear" w:color="auto" w:fill="ccebff"/>
        </w:tblPrEx>
        <w:trPr>
          <w:trHeight w:val="233" w:hRule="atLeast"/>
        </w:trPr>
        <w:tc>
          <w:tcPr>
            <w:tcW w:type="dxa" w:w="1962"/>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b w:val="1"/>
                <w:bCs w:val="1"/>
                <w:sz w:val="20"/>
                <w:szCs w:val="20"/>
                <w:rtl w:val="0"/>
                <w:lang w:val="en-US"/>
              </w:rPr>
              <w:t>New Zealand</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b w:val="1"/>
                <w:bCs w:val="1"/>
                <w:sz w:val="20"/>
                <w:szCs w:val="20"/>
                <w:rtl w:val="0"/>
                <w:lang w:val="en-US"/>
              </w:rPr>
              <w:t>110.94</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b w:val="1"/>
                <w:bCs w:val="1"/>
                <w:outline w:val="0"/>
                <w:color w:val="ff0000"/>
                <w:sz w:val="20"/>
                <w:szCs w:val="20"/>
                <w:u w:color="ff0000"/>
                <w:rtl w:val="0"/>
                <w:lang w:val="en-US"/>
                <w14:textFill>
                  <w14:solidFill>
                    <w14:srgbClr w14:val="FF0000"/>
                  </w14:solidFill>
                </w14:textFill>
              </w:rPr>
              <w:t>6.3%</w:t>
            </w:r>
          </w:p>
        </w:tc>
        <w:tc>
          <w:tcPr>
            <w:tcW w:type="dxa" w:w="1295"/>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b w:val="1"/>
                <w:bCs w:val="1"/>
                <w:sz w:val="20"/>
                <w:szCs w:val="20"/>
                <w:rtl w:val="0"/>
                <w:lang w:val="en-US"/>
              </w:rPr>
              <w:t xml:space="preserve">$5,194.3 </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pPr>
              <w:pStyle w:val="Body A"/>
              <w:jc w:val="right"/>
            </w:pPr>
            <w:r>
              <w:rPr>
                <w:rFonts w:ascii="Arial" w:hAnsi="Arial"/>
                <w:b w:val="1"/>
                <w:bCs w:val="1"/>
                <w:outline w:val="0"/>
                <w:color w:val="ff0000"/>
                <w:sz w:val="20"/>
                <w:szCs w:val="20"/>
                <w:u w:color="ff0000"/>
                <w:rtl w:val="0"/>
                <w:lang w:val="en-US"/>
                <w14:textFill>
                  <w14:solidFill>
                    <w14:srgbClr w14:val="FF0000"/>
                  </w14:solidFill>
                </w14:textFill>
              </w:rPr>
              <w:t>6.7%</w:t>
            </w:r>
          </w:p>
        </w:tc>
      </w:tr>
      <w:tr>
        <w:tblPrEx>
          <w:shd w:val="clear" w:color="auto" w:fill="ccebff"/>
        </w:tblPrEx>
        <w:trPr>
          <w:trHeight w:val="310" w:hRule="atLeast"/>
        </w:trPr>
        <w:tc>
          <w:tcPr>
            <w:tcW w:type="dxa" w:w="5802"/>
            <w:gridSpan w:val="4"/>
            <w:tcBorders>
              <w:top w:val="nil"/>
              <w:left w:val="nil"/>
              <w:bottom w:val="nil"/>
              <w:right w:val="nil"/>
            </w:tcBorders>
            <w:shd w:val="clear" w:color="auto" w:fill="auto"/>
            <w:tcMar>
              <w:top w:type="dxa" w:w="80"/>
              <w:left w:type="dxa" w:w="80"/>
              <w:bottom w:type="dxa" w:w="80"/>
              <w:right w:type="dxa" w:w="80"/>
            </w:tcMar>
            <w:vAlign w:val="bottom"/>
          </w:tcPr>
          <w:p>
            <w:pPr>
              <w:pStyle w:val="Body A"/>
            </w:pPr>
            <w:r>
              <w:rPr>
                <w:rFonts w:ascii="Arial" w:hAnsi="Arial"/>
                <w:sz w:val="16"/>
                <w:szCs w:val="16"/>
                <w:rtl w:val="0"/>
                <w:lang w:val="en-US"/>
              </w:rPr>
              <w:t>* Underlying spending excludes large clients moving to or from Paymark</w:t>
            </w:r>
          </w:p>
        </w:tc>
        <w:tc>
          <w:tcPr>
            <w:tcW w:type="dxa" w:w="1250"/>
            <w:tcBorders>
              <w:top w:val="nil"/>
              <w:left w:val="nil"/>
              <w:bottom w:val="nil"/>
              <w:right w:val="nil"/>
            </w:tcBorders>
            <w:shd w:val="clear" w:color="auto" w:fill="auto"/>
            <w:tcMar>
              <w:top w:type="dxa" w:w="80"/>
              <w:left w:type="dxa" w:w="80"/>
              <w:bottom w:type="dxa" w:w="80"/>
              <w:right w:type="dxa" w:w="80"/>
            </w:tcMar>
            <w:vAlign w:val="bottom"/>
          </w:tcPr>
          <w:p/>
        </w:tc>
      </w:tr>
    </w:tbl>
    <w:p>
      <w:pPr>
        <w:pStyle w:val="Body A A"/>
        <w:widowControl w:val="0"/>
        <w:ind w:left="108" w:hanging="108"/>
      </w:pPr>
    </w:p>
    <w:p>
      <w:pPr>
        <w:pStyle w:val="Body A A"/>
        <w:widowControl w:val="0"/>
      </w:pPr>
    </w:p>
    <w:p>
      <w:pPr>
        <w:pStyle w:val="Body A A"/>
        <w:spacing w:before="120"/>
        <w:rPr>
          <w:sz w:val="16"/>
          <w:szCs w:val="16"/>
        </w:rPr>
      </w:pPr>
      <w:r>
        <w:rPr>
          <w:sz w:val="16"/>
          <w:szCs w:val="16"/>
          <w:rtl w:val="0"/>
          <w:lang w:val="en-US"/>
        </w:rPr>
        <w:t>Figure 4: Paymark All Cards transaction data by region (February 2020 versus February 2019)</w:t>
      </w:r>
    </w:p>
    <w:p>
      <w:pPr>
        <w:pStyle w:val="Body A A"/>
      </w:pPr>
    </w:p>
    <w:p>
      <w:pPr>
        <w:pStyle w:val="Body A A"/>
      </w:pPr>
      <w:r>
        <w:rPr>
          <w:rFonts w:cs="Arial Unicode MS" w:eastAsia="Arial Unicode MS"/>
          <w:rtl w:val="0"/>
          <w:lang w:val="en-US"/>
        </w:rPr>
        <w:t>There were some noticeable spikes in annual growth rates during some days in February. There was the usual holiday effects around Waitangi Day and the usual romance effects around Valentine</w:t>
      </w:r>
      <w:r>
        <w:rPr>
          <w:rFonts w:cs="Arial Unicode MS" w:eastAsia="Arial Unicode MS" w:hint="default"/>
          <w:rtl w:val="0"/>
          <w:lang w:val="en-US"/>
        </w:rPr>
        <w:t>’</w:t>
      </w:r>
      <w:r>
        <w:rPr>
          <w:rFonts w:cs="Arial Unicode MS" w:eastAsia="Arial Unicode MS"/>
          <w:rtl w:val="0"/>
          <w:lang w:val="en-US"/>
        </w:rPr>
        <w:t xml:space="preserve">s Day. </w:t>
      </w:r>
    </w:p>
    <w:p>
      <w:pPr>
        <w:pStyle w:val="Body A A"/>
      </w:pPr>
    </w:p>
    <w:p>
      <w:pPr>
        <w:pStyle w:val="Body A A"/>
      </w:pPr>
      <w:r>
        <w:rPr>
          <w:rFonts w:cs="Arial Unicode MS" w:eastAsia="Arial Unicode MS"/>
          <w:rtl w:val="0"/>
          <w:lang w:val="en-US"/>
        </w:rPr>
        <w:t>However there was also a spike in total card spending at Supermarkets and Chemists on Saturday 29 February, relative to Saturday 2 March 2019. This spending spike was strongest in Auckland/Northland, with Supermarkets up +40.2% and Chemists sharply up by +75.5%.</w:t>
      </w:r>
    </w:p>
    <w:p>
      <w:pPr>
        <w:pStyle w:val="Body A A"/>
      </w:pPr>
    </w:p>
    <w:p>
      <w:pPr>
        <w:pStyle w:val="Body A A"/>
      </w:pPr>
    </w:p>
    <w:p>
      <w:pPr>
        <w:pStyle w:val="Body B"/>
        <w:rPr>
          <w:rFonts w:ascii="Arial" w:cs="Arial" w:hAnsi="Arial" w:eastAsia="Arial"/>
          <w:b w:val="1"/>
          <w:bCs w:val="1"/>
          <w:sz w:val="20"/>
          <w:szCs w:val="20"/>
        </w:rPr>
      </w:pPr>
    </w:p>
    <w:p>
      <w:pPr>
        <w:pStyle w:val="Body A B"/>
      </w:pPr>
      <w:r>
        <w:rPr>
          <w:rtl w:val="0"/>
          <w:lang w:val="de-DE"/>
        </w:rPr>
        <w:t>ENDS</w:t>
      </w:r>
      <w:r>
        <w:rPr>
          <w:rFonts w:ascii="Arial Unicode MS" w:cs="Arial Unicode MS" w:hAnsi="Arial Unicode MS" w:eastAsia="Arial Unicode MS"/>
          <w:b w:val="0"/>
          <w:bCs w:val="0"/>
          <w:i w:val="0"/>
          <w:iCs w:val="0"/>
          <w:lang w:val="de-DE"/>
        </w:rPr>
        <w:br w:type="page"/>
      </w:r>
    </w:p>
    <w:p>
      <w:pPr>
        <w:pStyle w:val="Body A A"/>
        <w:rPr>
          <w:b w:val="1"/>
          <w:bCs w:val="1"/>
          <w:sz w:val="40"/>
          <w:szCs w:val="40"/>
        </w:rPr>
      </w:pPr>
      <w:r>
        <mc:AlternateContent>
          <mc:Choice Requires="wpg">
            <w:drawing>
              <wp:anchor distT="57150" distB="57150" distL="57150" distR="57150" simplePos="0" relativeHeight="251659264" behindDoc="0" locked="0" layoutInCell="1" allowOverlap="1">
                <wp:simplePos x="0" y="0"/>
                <wp:positionH relativeFrom="column">
                  <wp:posOffset>-42543</wp:posOffset>
                </wp:positionH>
                <wp:positionV relativeFrom="line">
                  <wp:posOffset>273050</wp:posOffset>
                </wp:positionV>
                <wp:extent cx="5795654" cy="358151"/>
                <wp:effectExtent l="0" t="0" r="0" b="0"/>
                <wp:wrapSquare wrapText="bothSides" distL="57150" distR="57150" distT="57150" distB="57150"/>
                <wp:docPr id="1073741832" name="officeArt object" descr="officeArt object"/>
                <wp:cNvGraphicFramePr/>
                <a:graphic xmlns:a="http://schemas.openxmlformats.org/drawingml/2006/main">
                  <a:graphicData uri="http://schemas.microsoft.com/office/word/2010/wordprocessingGroup">
                    <wpg:wgp>
                      <wpg:cNvGrpSpPr/>
                      <wpg:grpSpPr>
                        <a:xfrm>
                          <a:off x="0" y="0"/>
                          <a:ext cx="5795654" cy="358151"/>
                          <a:chOff x="0" y="-1"/>
                          <a:chExt cx="5795653" cy="358150"/>
                        </a:xfrm>
                      </wpg:grpSpPr>
                      <wps:wsp>
                        <wps:cNvPr id="1073741830" name="Shape 1073741837"/>
                        <wps:cNvSpPr/>
                        <wps:spPr>
                          <a:xfrm>
                            <a:off x="0" y="-2"/>
                            <a:ext cx="5795618" cy="358152"/>
                          </a:xfrm>
                          <a:prstGeom prst="rect">
                            <a:avLst/>
                          </a:prstGeom>
                          <a:solidFill>
                            <a:srgbClr val="393650"/>
                          </a:solidFill>
                          <a:ln w="12700" cap="flat">
                            <a:noFill/>
                            <a:miter lim="400000"/>
                          </a:ln>
                          <a:effectLst/>
                        </wps:spPr>
                        <wps:bodyPr/>
                      </wps:wsp>
                      <wps:wsp>
                        <wps:cNvPr id="1073741831" name="Shape 1073741838"/>
                        <wps:cNvSpPr txBox="1"/>
                        <wps:spPr>
                          <a:xfrm>
                            <a:off x="-1" y="-2"/>
                            <a:ext cx="5795654" cy="358152"/>
                          </a:xfrm>
                          <a:prstGeom prst="rect">
                            <a:avLst/>
                          </a:prstGeom>
                          <a:noFill/>
                          <a:ln w="12700" cap="flat">
                            <a:noFill/>
                            <a:miter lim="400000"/>
                          </a:ln>
                          <a:effectLst/>
                        </wps:spPr>
                        <wps:txbx>
                          <w:txbxContent>
                            <w:p>
                              <w:pPr>
                                <w:pStyle w:val="Body A A"/>
                                <w:jc w:val="center"/>
                              </w:pPr>
                              <w:r>
                                <w:rPr>
                                  <w:outline w:val="0"/>
                                  <w:color w:val="ffffff"/>
                                  <w:sz w:val="21"/>
                                  <w:szCs w:val="21"/>
                                  <w:u w:color="ffffff"/>
                                  <w:rtl w:val="0"/>
                                  <w:lang w:val="en-US"/>
                                  <w14:textFill>
                                    <w14:solidFill>
                                      <w14:srgbClr w14:val="FFFFFF"/>
                                    </w14:solidFill>
                                  </w14:textFill>
                                </w:rPr>
                                <w:t>For more information please contact: Paul Brislen 021 988 896, paul.brislen@paymark.co.nz</w:t>
                              </w:r>
                            </w:p>
                          </w:txbxContent>
                        </wps:txbx>
                        <wps:bodyPr wrap="square" lIns="45718" tIns="45718" rIns="45718" bIns="45718" numCol="1" anchor="ctr">
                          <a:noAutofit/>
                        </wps:bodyPr>
                      </wps:wsp>
                    </wpg:wgp>
                  </a:graphicData>
                </a:graphic>
              </wp:anchor>
            </w:drawing>
          </mc:Choice>
          <mc:Fallback>
            <w:pict>
              <v:group id="_x0000_s1026" style="visibility:visible;position:absolute;margin-left:-3.3pt;margin-top:21.5pt;width:456.4pt;height:28.2pt;z-index:251659264;mso-position-horizontal:absolute;mso-position-horizontal-relative:text;mso-position-vertical:absolute;mso-position-vertical-relative:line;mso-wrap-distance-left:4.5pt;mso-wrap-distance-top:4.5pt;mso-wrap-distance-right:4.5pt;mso-wrap-distance-bottom:4.5pt;" coordorigin="-1,-1" coordsize="5795653,358150">
                <w10:wrap type="square" side="bothSides" anchorx="text"/>
                <v:rect id="_x0000_s1027" style="position:absolute;left:0;top:-1;width:5795617;height:358150;">
                  <v:fill color="#393650" opacity="100.0%" type="solid"/>
                  <v:stroke on="f" weight="1.0pt" dashstyle="solid" endcap="flat" miterlimit="400.0%" joinstyle="miter" linestyle="single" startarrow="none" startarrowwidth="medium" startarrowlength="medium" endarrow="none" endarrowwidth="medium" endarrowlength="medium"/>
                </v:rect>
                <v:shape id="_x0000_s1028" type="#_x0000_t202" style="position:absolute;left:-1;top:-1;width:5795653;height:358150;">
                  <v:fill on="f"/>
                  <v:stroke on="f" weight="1.0pt" dashstyle="solid" endcap="flat" miterlimit="400.0%" joinstyle="miter" linestyle="single" startarrow="none" startarrowwidth="medium" startarrowlength="medium" endarrow="none" endarrowwidth="medium" endarrowlength="medium"/>
                  <v:textbox>
                    <w:txbxContent>
                      <w:p>
                        <w:pPr>
                          <w:pStyle w:val="Body A A"/>
                          <w:jc w:val="center"/>
                        </w:pPr>
                        <w:r>
                          <w:rPr>
                            <w:outline w:val="0"/>
                            <w:color w:val="ffffff"/>
                            <w:sz w:val="21"/>
                            <w:szCs w:val="21"/>
                            <w:u w:color="ffffff"/>
                            <w:rtl w:val="0"/>
                            <w:lang w:val="en-US"/>
                            <w14:textFill>
                              <w14:solidFill>
                                <w14:srgbClr w14:val="FFFFFF"/>
                              </w14:solidFill>
                            </w14:textFill>
                          </w:rPr>
                          <w:t>For more information please contact: Paul Brislen 021 988 896, paul.brislen@paymark.co.nz</w:t>
                        </w:r>
                      </w:p>
                    </w:txbxContent>
                  </v:textbox>
                </v:shape>
              </v:group>
            </w:pict>
          </mc:Fallback>
        </mc:AlternateContent>
      </w:r>
    </w:p>
    <w:p>
      <w:pPr>
        <w:pStyle w:val="Body A A"/>
        <w:jc w:val="center"/>
        <w:rPr>
          <w:b w:val="1"/>
          <w:bCs w:val="1"/>
          <w:sz w:val="40"/>
          <w:szCs w:val="40"/>
        </w:rPr>
      </w:pPr>
      <w:r>
        <w:rPr>
          <w:b w:val="1"/>
          <w:bCs w:val="1"/>
          <w:sz w:val="40"/>
          <w:szCs w:val="40"/>
          <w:rtl w:val="0"/>
          <w:lang w:val="en-US"/>
        </w:rPr>
        <w:t>We are New Zealand</w:t>
      </w:r>
      <w:r>
        <w:rPr>
          <w:b w:val="1"/>
          <w:bCs w:val="1"/>
          <w:sz w:val="40"/>
          <w:szCs w:val="40"/>
          <w:rtl w:val="0"/>
          <w:lang w:val="en-US"/>
        </w:rPr>
        <w:t>’</w:t>
      </w:r>
      <w:r>
        <w:rPr>
          <w:b w:val="1"/>
          <w:bCs w:val="1"/>
          <w:sz w:val="40"/>
          <w:szCs w:val="40"/>
          <w:rtl w:val="0"/>
          <w:lang w:val="en-US"/>
        </w:rPr>
        <w:t>s leading electronic payments company</w:t>
      </w:r>
    </w:p>
    <w:p>
      <w:pPr>
        <w:pStyle w:val="Body A A"/>
        <w:ind w:right="1021"/>
        <w:rPr>
          <w:b w:val="1"/>
          <w:bCs w:val="1"/>
          <w:sz w:val="40"/>
          <w:szCs w:val="40"/>
        </w:rPr>
        <w:sectPr>
          <w:headerReference w:type="default" r:id="rId5"/>
          <w:footerReference w:type="default" r:id="rId6"/>
          <w:pgSz w:w="11900" w:h="16840" w:orient="portrait"/>
          <w:pgMar w:top="1440" w:right="1440" w:bottom="1440" w:left="1440" w:header="709" w:footer="709"/>
          <w:bidi w:val="0"/>
        </w:sectPr>
      </w:pPr>
      <w:r>
        <w:rPr>
          <w:b w:val="1"/>
          <w:bCs w:val="1"/>
          <w:sz w:val="40"/>
          <w:szCs w:val="40"/>
        </w:rPr>
      </w:r>
    </w:p>
    <w:p>
      <w:pPr>
        <w:pStyle w:val="Body A A"/>
        <w:jc w:val="center"/>
      </w:pPr>
      <w:r>
        <w:rPr>
          <w:rFonts w:ascii="Times New Roman" w:cs="Times New Roman" w:hAnsi="Times New Roman" w:eastAsia="Times New Roman"/>
          <w:b w:val="1"/>
          <w:bCs w:val="1"/>
          <w:sz w:val="40"/>
          <w:szCs w:val="40"/>
        </w:rPr>
        <mc:AlternateContent>
          <mc:Choice Requires="wps">
            <w:drawing>
              <wp:anchor distT="0" distB="0" distL="0" distR="0" simplePos="0" relativeHeight="251662336" behindDoc="0" locked="0" layoutInCell="1" allowOverlap="1">
                <wp:simplePos x="0" y="0"/>
                <wp:positionH relativeFrom="column">
                  <wp:posOffset>4290060</wp:posOffset>
                </wp:positionH>
                <wp:positionV relativeFrom="line">
                  <wp:posOffset>1338580</wp:posOffset>
                </wp:positionV>
                <wp:extent cx="1799590" cy="853439"/>
                <wp:effectExtent l="0" t="0" r="0" b="0"/>
                <wp:wrapNone/>
                <wp:docPr id="1073741833" name="officeArt object" descr="Text Box 26"/>
                <wp:cNvGraphicFramePr/>
                <a:graphic xmlns:a="http://schemas.openxmlformats.org/drawingml/2006/main">
                  <a:graphicData uri="http://schemas.microsoft.com/office/word/2010/wordprocessingShape">
                    <wps:wsp>
                      <wps:cNvSpPr txBox="1"/>
                      <wps:spPr>
                        <a:xfrm>
                          <a:off x="0" y="0"/>
                          <a:ext cx="1799590" cy="853439"/>
                        </a:xfrm>
                        <a:prstGeom prst="rect">
                          <a:avLst/>
                        </a:prstGeom>
                        <a:noFill/>
                        <a:ln w="12700" cap="flat">
                          <a:noFill/>
                          <a:miter lim="400000"/>
                        </a:ln>
                        <a:effectLst/>
                      </wps:spPr>
                      <wps:txbx>
                        <w:txbxContent>
                          <w:p>
                            <w:pPr>
                              <w:pStyle w:val="Body A A"/>
                              <w:jc w:val="center"/>
                            </w:pPr>
                            <w:r>
                              <w:rPr>
                                <w:sz w:val="18"/>
                                <w:szCs w:val="18"/>
                                <w:rtl w:val="0"/>
                                <w:lang w:val="en-US"/>
                              </w:rPr>
                              <w:t>Paymark completed its 20 billionth transaction in May 2019. We process around 60 transactions every second of the day.</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337.8pt;margin-top:105.4pt;width:141.7pt;height:67.2pt;z-index:25166233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A"/>
                        <w:jc w:val="center"/>
                      </w:pPr>
                      <w:r>
                        <w:rPr>
                          <w:sz w:val="18"/>
                          <w:szCs w:val="18"/>
                          <w:rtl w:val="0"/>
                          <w:lang w:val="en-US"/>
                        </w:rPr>
                        <w:t>Paymark completed its 20 billionth transaction in May 2019. We process around 60 transactions every second of the day.</w:t>
                      </w:r>
                    </w:p>
                  </w:txbxContent>
                </v:textbox>
                <w10:wrap type="none" side="bothSides" anchorx="text"/>
              </v:shape>
            </w:pict>
          </mc:Fallback>
        </mc:AlternateContent>
      </w:r>
      <w:r>
        <w:rPr>
          <w:rFonts w:ascii="Times New Roman" w:cs="Times New Roman" w:hAnsi="Times New Roman" w:eastAsia="Times New Roman"/>
          <w:b w:val="1"/>
          <w:bCs w:val="1"/>
          <w:sz w:val="40"/>
          <w:szCs w:val="40"/>
        </w:rPr>
        <w:drawing>
          <wp:anchor distT="0" distB="0" distL="0" distR="0" simplePos="0" relativeHeight="251665408" behindDoc="0" locked="0" layoutInCell="1" allowOverlap="1">
            <wp:simplePos x="0" y="0"/>
            <wp:positionH relativeFrom="column">
              <wp:posOffset>4596899</wp:posOffset>
            </wp:positionH>
            <wp:positionV relativeFrom="line">
              <wp:posOffset>579755</wp:posOffset>
            </wp:positionV>
            <wp:extent cx="1139190" cy="620395"/>
            <wp:effectExtent l="0" t="0" r="0" b="0"/>
            <wp:wrapNone/>
            <wp:docPr id="1073741834" name="officeArt object" descr="/Users/danielyamada/Dropbox (Mason Creative)/Mason Creative Team Folder/Paymark/Icons/1 tone PNG/CYAN/1-tone-CYAN-83.png"/>
            <wp:cNvGraphicFramePr/>
            <a:graphic xmlns:a="http://schemas.openxmlformats.org/drawingml/2006/main">
              <a:graphicData uri="http://schemas.openxmlformats.org/drawingml/2006/picture">
                <pic:pic xmlns:pic="http://schemas.openxmlformats.org/drawingml/2006/picture">
                  <pic:nvPicPr>
                    <pic:cNvPr id="1073741834" name="/Users/danielyamada/Dropbox (Mason Creative)/Mason Creative Team Folder/Paymark/Icons/1 tone PNG/CYAN/1-tone-CYAN-83.png" descr="/Users/danielyamada/Dropbox (Mason Creative)/Mason Creative Team Folder/Paymark/Icons/1 tone PNG/CYAN/1-tone-CYAN-83.png"/>
                    <pic:cNvPicPr>
                      <a:picLocks noChangeAspect="1"/>
                    </pic:cNvPicPr>
                  </pic:nvPicPr>
                  <pic:blipFill>
                    <a:blip r:embed="rId7">
                      <a:extLst/>
                    </a:blip>
                    <a:srcRect l="0" t="20620" r="0" b="24883"/>
                    <a:stretch>
                      <a:fillRect/>
                    </a:stretch>
                  </pic:blipFill>
                  <pic:spPr>
                    <a:xfrm>
                      <a:off x="0" y="0"/>
                      <a:ext cx="1139190" cy="620395"/>
                    </a:xfrm>
                    <a:prstGeom prst="rect">
                      <a:avLst/>
                    </a:prstGeom>
                    <a:ln w="12700" cap="flat">
                      <a:noFill/>
                      <a:miter lim="400000"/>
                    </a:ln>
                    <a:effectLst/>
                  </pic:spPr>
                </pic:pic>
              </a:graphicData>
            </a:graphic>
          </wp:anchor>
        </w:drawing>
      </w:r>
      <w:r>
        <w:rPr>
          <w:rFonts w:ascii="Times New Roman" w:cs="Times New Roman" w:hAnsi="Times New Roman" w:eastAsia="Times New Roman"/>
          <w:b w:val="1"/>
          <w:bCs w:val="1"/>
          <w:sz w:val="40"/>
          <w:szCs w:val="40"/>
        </w:rPr>
        <w:drawing>
          <wp:anchor distT="0" distB="0" distL="0" distR="0" simplePos="0" relativeHeight="251663360" behindDoc="0" locked="0" layoutInCell="1" allowOverlap="1">
            <wp:simplePos x="0" y="0"/>
            <wp:positionH relativeFrom="column">
              <wp:posOffset>225926</wp:posOffset>
            </wp:positionH>
            <wp:positionV relativeFrom="line">
              <wp:posOffset>579754</wp:posOffset>
            </wp:positionV>
            <wp:extent cx="1049020" cy="603887"/>
            <wp:effectExtent l="0" t="0" r="0" b="0"/>
            <wp:wrapNone/>
            <wp:docPr id="1073741835" name="officeArt object" descr="/Users/danielyamada/Dropbox (Mason Creative)/Mason Creative Team Folder/Paymark/Icons/1 tone PNG/CYAN/1-tone-CYAN-02.png"/>
            <wp:cNvGraphicFramePr/>
            <a:graphic xmlns:a="http://schemas.openxmlformats.org/drawingml/2006/main">
              <a:graphicData uri="http://schemas.openxmlformats.org/drawingml/2006/picture">
                <pic:pic xmlns:pic="http://schemas.openxmlformats.org/drawingml/2006/picture">
                  <pic:nvPicPr>
                    <pic:cNvPr id="1073741835" name="/Users/danielyamada/Dropbox (Mason Creative)/Mason Creative Team Folder/Paymark/Icons/1 tone PNG/CYAN/1-tone-CYAN-02.png" descr="/Users/danielyamada/Dropbox (Mason Creative)/Mason Creative Team Folder/Paymark/Icons/1 tone PNG/CYAN/1-tone-CYAN-02.png"/>
                    <pic:cNvPicPr>
                      <a:picLocks noChangeAspect="1"/>
                    </pic:cNvPicPr>
                  </pic:nvPicPr>
                  <pic:blipFill>
                    <a:blip r:embed="rId8">
                      <a:extLst/>
                    </a:blip>
                    <a:srcRect l="0" t="18393" r="0" b="24022"/>
                    <a:stretch>
                      <a:fillRect/>
                    </a:stretch>
                  </pic:blipFill>
                  <pic:spPr>
                    <a:xfrm>
                      <a:off x="0" y="0"/>
                      <a:ext cx="1049020" cy="603887"/>
                    </a:xfrm>
                    <a:prstGeom prst="rect">
                      <a:avLst/>
                    </a:prstGeom>
                    <a:ln w="12700" cap="flat">
                      <a:noFill/>
                      <a:miter lim="400000"/>
                    </a:ln>
                    <a:effectLst/>
                  </pic:spPr>
                </pic:pic>
              </a:graphicData>
            </a:graphic>
          </wp:anchor>
        </w:drawing>
      </w:r>
      <w:r>
        <w:rPr>
          <w:rFonts w:ascii="Times New Roman" w:cs="Times New Roman" w:hAnsi="Times New Roman" w:eastAsia="Times New Roman"/>
          <w:b w:val="1"/>
          <w:bCs w:val="1"/>
          <w:sz w:val="40"/>
          <w:szCs w:val="40"/>
        </w:rPr>
        <w:drawing>
          <wp:anchor distT="0" distB="0" distL="0" distR="0" simplePos="0" relativeHeight="251664384" behindDoc="0" locked="0" layoutInCell="1" allowOverlap="1">
            <wp:simplePos x="0" y="0"/>
            <wp:positionH relativeFrom="column">
              <wp:posOffset>2683073</wp:posOffset>
            </wp:positionH>
            <wp:positionV relativeFrom="line">
              <wp:posOffset>382269</wp:posOffset>
            </wp:positionV>
            <wp:extent cx="677921" cy="912994"/>
            <wp:effectExtent l="0" t="0" r="0" b="0"/>
            <wp:wrapNone/>
            <wp:docPr id="1073741836" name="officeArt object" descr="/Users/danielyamada/Dropbox (Mason Creative)/Mason Creative Team Folder/Paymark/Icons/Illustrations/nz-map-line- cyan.png"/>
            <wp:cNvGraphicFramePr/>
            <a:graphic xmlns:a="http://schemas.openxmlformats.org/drawingml/2006/main">
              <a:graphicData uri="http://schemas.openxmlformats.org/drawingml/2006/picture">
                <pic:pic xmlns:pic="http://schemas.openxmlformats.org/drawingml/2006/picture">
                  <pic:nvPicPr>
                    <pic:cNvPr id="1073741836" name="/Users/danielyamada/Dropbox (Mason Creative)/Mason Creative Team Folder/Paymark/Icons/Illustrations/nz-map-line- cyan.png" descr="/Users/danielyamada/Dropbox (Mason Creative)/Mason Creative Team Folder/Paymark/Icons/Illustrations/nz-map-line- cyan.png"/>
                    <pic:cNvPicPr>
                      <a:picLocks noChangeAspect="1"/>
                    </pic:cNvPicPr>
                  </pic:nvPicPr>
                  <pic:blipFill>
                    <a:blip r:embed="rId9">
                      <a:extLst/>
                    </a:blip>
                    <a:stretch>
                      <a:fillRect/>
                    </a:stretch>
                  </pic:blipFill>
                  <pic:spPr>
                    <a:xfrm>
                      <a:off x="0" y="0"/>
                      <a:ext cx="677921" cy="912994"/>
                    </a:xfrm>
                    <a:prstGeom prst="rect">
                      <a:avLst/>
                    </a:prstGeom>
                    <a:ln w="12700" cap="flat">
                      <a:noFill/>
                      <a:miter lim="400000"/>
                    </a:ln>
                    <a:effectLst/>
                  </pic:spPr>
                </pic:pic>
              </a:graphicData>
            </a:graphic>
          </wp:anchor>
        </w:drawing>
      </w:r>
      <w:r>
        <w:rPr>
          <w:rFonts w:ascii="Times New Roman" w:cs="Times New Roman" w:hAnsi="Times New Roman" w:eastAsia="Times New Roman"/>
          <w:b w:val="1"/>
          <w:bCs w:val="1"/>
          <w:sz w:val="40"/>
          <w:szCs w:val="40"/>
        </w:rPr>
        <mc:AlternateContent>
          <mc:Choice Requires="wps">
            <w:drawing>
              <wp:anchor distT="0" distB="0" distL="0" distR="0" simplePos="0" relativeHeight="251660288" behindDoc="0" locked="0" layoutInCell="1" allowOverlap="1">
                <wp:simplePos x="0" y="0"/>
                <wp:positionH relativeFrom="column">
                  <wp:posOffset>-150490</wp:posOffset>
                </wp:positionH>
                <wp:positionV relativeFrom="line">
                  <wp:posOffset>1336673</wp:posOffset>
                </wp:positionV>
                <wp:extent cx="1800001" cy="755017"/>
                <wp:effectExtent l="0" t="0" r="0" b="0"/>
                <wp:wrapNone/>
                <wp:docPr id="1073741837" name="officeArt object" descr="Text Box 24"/>
                <wp:cNvGraphicFramePr/>
                <a:graphic xmlns:a="http://schemas.openxmlformats.org/drawingml/2006/main">
                  <a:graphicData uri="http://schemas.microsoft.com/office/word/2010/wordprocessingShape">
                    <wps:wsp>
                      <wps:cNvSpPr txBox="1"/>
                      <wps:spPr>
                        <a:xfrm>
                          <a:off x="0" y="0"/>
                          <a:ext cx="1800001" cy="755017"/>
                        </a:xfrm>
                        <a:prstGeom prst="rect">
                          <a:avLst/>
                        </a:prstGeom>
                        <a:noFill/>
                        <a:ln w="12700" cap="flat">
                          <a:noFill/>
                          <a:miter lim="400000"/>
                        </a:ln>
                        <a:effectLst/>
                      </wps:spPr>
                      <wps:txbx>
                        <w:txbxContent>
                          <w:p>
                            <w:pPr>
                              <w:pStyle w:val="Body A B"/>
                              <w:jc w:val="center"/>
                            </w:pPr>
                            <w:r>
                              <w:rPr>
                                <w:sz w:val="18"/>
                                <w:szCs w:val="18"/>
                                <w:rtl w:val="0"/>
                                <w:lang w:val="en-US"/>
                              </w:rPr>
                              <w:t>For more than 30 years we have served hundreds of thousands of New Zealand merchants through our secure and reliable infrastructure.</w:t>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11.8pt;margin-top:105.2pt;width:141.7pt;height:59.5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B"/>
                        <w:jc w:val="center"/>
                      </w:pPr>
                      <w:r>
                        <w:rPr>
                          <w:sz w:val="18"/>
                          <w:szCs w:val="18"/>
                          <w:rtl w:val="0"/>
                          <w:lang w:val="en-US"/>
                        </w:rPr>
                        <w:t>For more than 30 years we have served hundreds of thousands of New Zealand merchants through our secure and reliable infrastructure.</w:t>
                      </w:r>
                    </w:p>
                  </w:txbxContent>
                </v:textbox>
                <w10:wrap type="none" side="bothSides" anchorx="text"/>
              </v:shape>
            </w:pict>
          </mc:Fallback>
        </mc:AlternateContent>
      </w:r>
      <w:r>
        <w:rPr>
          <w:rFonts w:ascii="Times New Roman" w:cs="Times New Roman" w:hAnsi="Times New Roman" w:eastAsia="Times New Roman"/>
          <w:b w:val="1"/>
          <w:bCs w:val="1"/>
          <w:sz w:val="40"/>
          <w:szCs w:val="40"/>
        </w:rPr>
        <mc:AlternateContent>
          <mc:Choice Requires="wps">
            <w:drawing>
              <wp:anchor distT="0" distB="0" distL="0" distR="0" simplePos="0" relativeHeight="251661312" behindDoc="0" locked="0" layoutInCell="1" allowOverlap="1">
                <wp:simplePos x="0" y="0"/>
                <wp:positionH relativeFrom="column">
                  <wp:posOffset>2072004</wp:posOffset>
                </wp:positionH>
                <wp:positionV relativeFrom="line">
                  <wp:posOffset>1336674</wp:posOffset>
                </wp:positionV>
                <wp:extent cx="1800001" cy="1017906"/>
                <wp:effectExtent l="0" t="0" r="0" b="0"/>
                <wp:wrapNone/>
                <wp:docPr id="1073741838" name="officeArt object" descr="Text Box 25"/>
                <wp:cNvGraphicFramePr/>
                <a:graphic xmlns:a="http://schemas.openxmlformats.org/drawingml/2006/main">
                  <a:graphicData uri="http://schemas.microsoft.com/office/word/2010/wordprocessingShape">
                    <wps:wsp>
                      <wps:cNvSpPr txBox="1"/>
                      <wps:spPr>
                        <a:xfrm>
                          <a:off x="0" y="0"/>
                          <a:ext cx="1800001" cy="1017906"/>
                        </a:xfrm>
                        <a:prstGeom prst="rect">
                          <a:avLst/>
                        </a:prstGeom>
                        <a:noFill/>
                        <a:ln w="12700" cap="flat">
                          <a:noFill/>
                          <a:miter lim="400000"/>
                        </a:ln>
                        <a:effectLst/>
                      </wps:spPr>
                      <wps:txbx>
                        <w:txbxContent>
                          <w:p>
                            <w:pPr>
                              <w:pStyle w:val="Body A A"/>
                              <w:jc w:val="center"/>
                            </w:pPr>
                            <w:r>
                              <w:rPr>
                                <w:sz w:val="18"/>
                                <w:szCs w:val="18"/>
                                <w:rtl w:val="0"/>
                                <w:lang w:val="en-US"/>
                              </w:rPr>
                              <w:t xml:space="preserve">Paymark connects to over 100,000 EFTPOS machines, accounting for in excess of 70% of the New Zealand payments landscape. </w:t>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163.1pt;margin-top:105.2pt;width:141.7pt;height:80.2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A"/>
                        <w:jc w:val="center"/>
                      </w:pPr>
                      <w:r>
                        <w:rPr>
                          <w:sz w:val="18"/>
                          <w:szCs w:val="18"/>
                          <w:rtl w:val="0"/>
                          <w:lang w:val="en-US"/>
                        </w:rPr>
                        <w:t xml:space="preserve">Paymark connects to over 100,000 EFTPOS machines, accounting for in excess of 70% of the New Zealand payments landscape. </w:t>
                      </w:r>
                    </w:p>
                  </w:txbxContent>
                </v:textbox>
                <w10:wrap type="none" side="bothSides" anchorx="text"/>
              </v:shape>
            </w:pict>
          </mc:Fallback>
        </mc:AlternateContent>
      </w:r>
    </w:p>
    <w:sectPr>
      <w:type w:val="continuous"/>
      <w:pgSz w:w="11900" w:h="16840" w:orient="portrait"/>
      <w:pgMar w:top="1440"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tl w:val="0"/>
        <w:lang w:val="en-US"/>
      </w:rPr>
      <w:t xml:space="preserve"> </w:t>
    </w:r>
  </w:p>
  <w:p>
    <w:pPr>
      <w:pStyle w:val="footer"/>
      <w:tabs>
        <w:tab w:val="right" w:pos="9000"/>
        <w:tab w:val="clear" w:pos="9026"/>
      </w:tabs>
      <w:jc w:val="center"/>
    </w:pPr>
    <w:r>
      <w:rPr>
        <w:outline w:val="0"/>
        <w:color w:val="d1d1d0"/>
        <w:sz w:val="16"/>
        <w:szCs w:val="16"/>
        <w:u w:color="d1d1d0"/>
        <w:rtl w:val="0"/>
        <w:lang w:val="en-US"/>
        <w14:textFill>
          <w14:solidFill>
            <w14:srgbClr w14:val="D1D1D0"/>
          </w14:solidFill>
        </w14:textFill>
      </w:rPr>
      <w:t xml:space="preserve">Page </w:t>
    </w:r>
    <w:r>
      <w:rPr>
        <w:outline w:val="0"/>
        <w:color w:val="d1d1d0"/>
        <w:sz w:val="16"/>
        <w:szCs w:val="16"/>
        <w:u w:color="d1d1d0"/>
        <w:rtl w:val="0"/>
        <w14:textFill>
          <w14:solidFill>
            <w14:srgbClr w14:val="D1D1D0"/>
          </w14:solidFill>
        </w14:textFill>
      </w:rPr>
      <w:fldChar w:fldCharType="begin" w:fldLock="0"/>
    </w:r>
    <w:r>
      <w:rPr>
        <w:outline w:val="0"/>
        <w:color w:val="d1d1d0"/>
        <w:sz w:val="16"/>
        <w:szCs w:val="16"/>
        <w:u w:color="d1d1d0"/>
        <w:rtl w:val="0"/>
        <w14:textFill>
          <w14:solidFill>
            <w14:srgbClr w14:val="D1D1D0"/>
          </w14:solidFill>
        </w14:textFill>
      </w:rPr>
      <w:instrText xml:space="preserve"> PAGE </w:instrText>
    </w:r>
    <w:r>
      <w:rPr>
        <w:outline w:val="0"/>
        <w:color w:val="d1d1d0"/>
        <w:sz w:val="16"/>
        <w:szCs w:val="16"/>
        <w:u w:color="d1d1d0"/>
        <w:rtl w:val="0"/>
        <w14:textFill>
          <w14:solidFill>
            <w14:srgbClr w14:val="D1D1D0"/>
          </w14:solidFill>
        </w14:textFill>
      </w:rPr>
      <w:fldChar w:fldCharType="separate" w:fldLock="0"/>
    </w:r>
    <w:r>
      <w:rPr>
        <w:outline w:val="0"/>
        <w:color w:val="d1d1d0"/>
        <w:sz w:val="16"/>
        <w:szCs w:val="16"/>
        <w:u w:color="d1d1d0"/>
        <w:rtl w:val="0"/>
        <w14:textFill>
          <w14:solidFill>
            <w14:srgbClr w14:val="D1D1D0"/>
          </w14:solidFill>
        </w14:textFill>
      </w:rPr>
    </w:r>
    <w:r>
      <w:rPr>
        <w:outline w:val="0"/>
        <w:color w:val="d1d1d0"/>
        <w:sz w:val="16"/>
        <w:szCs w:val="16"/>
        <w:u w:color="d1d1d0"/>
        <w:rtl w:val="0"/>
        <w14:textFill>
          <w14:solidFill>
            <w14:srgbClr w14:val="D1D1D0"/>
          </w14:solidFill>
        </w14:textFill>
      </w:rPr>
      <w:fldChar w:fldCharType="end" w:fldLock="0"/>
    </w:r>
    <w:r>
      <w:rPr>
        <w:outline w:val="0"/>
        <w:color w:val="d1d1d0"/>
        <w:sz w:val="16"/>
        <w:szCs w:val="16"/>
        <w:u w:color="d1d1d0"/>
        <w:rtl w:val="0"/>
        <w:lang w:val="en-US"/>
        <w14:textFill>
          <w14:solidFill>
            <w14:srgbClr w14:val="D1D1D0"/>
          </w14:solidFill>
        </w14:textFill>
      </w:rPr>
      <w:t xml:space="preserve"> of </w:t>
    </w:r>
    <w:r>
      <w:rPr>
        <w:outline w:val="0"/>
        <w:color w:val="d1d1d0"/>
        <w:sz w:val="16"/>
        <w:szCs w:val="16"/>
        <w:u w:color="d1d1d0"/>
        <w:rtl w:val="0"/>
        <w14:textFill>
          <w14:solidFill>
            <w14:srgbClr w14:val="D1D1D0"/>
          </w14:solidFill>
        </w14:textFill>
      </w:rPr>
      <w:fldChar w:fldCharType="begin" w:fldLock="0"/>
    </w:r>
    <w:r>
      <w:rPr>
        <w:outline w:val="0"/>
        <w:color w:val="d1d1d0"/>
        <w:sz w:val="16"/>
        <w:szCs w:val="16"/>
        <w:u w:color="d1d1d0"/>
        <w:rtl w:val="0"/>
        <w14:textFill>
          <w14:solidFill>
            <w14:srgbClr w14:val="D1D1D0"/>
          </w14:solidFill>
        </w14:textFill>
      </w:rPr>
      <w:instrText xml:space="preserve"> NUMPAGES </w:instrText>
    </w:r>
    <w:r>
      <w:rPr>
        <w:outline w:val="0"/>
        <w:color w:val="d1d1d0"/>
        <w:sz w:val="16"/>
        <w:szCs w:val="16"/>
        <w:u w:color="d1d1d0"/>
        <w:rtl w:val="0"/>
        <w14:textFill>
          <w14:solidFill>
            <w14:srgbClr w14:val="D1D1D0"/>
          </w14:solidFill>
        </w14:textFill>
      </w:rPr>
      <w:fldChar w:fldCharType="separate" w:fldLock="0"/>
    </w:r>
    <w:r>
      <w:rPr>
        <w:outline w:val="0"/>
        <w:color w:val="d1d1d0"/>
        <w:sz w:val="16"/>
        <w:szCs w:val="16"/>
        <w:u w:color="d1d1d0"/>
        <w:rtl w:val="0"/>
        <w14:textFill>
          <w14:solidFill>
            <w14:srgbClr w14:val="D1D1D0"/>
          </w14:solidFill>
        </w14:textFill>
      </w:rPr>
    </w:r>
    <w:r>
      <w:rPr>
        <w:outline w:val="0"/>
        <w:color w:val="d1d1d0"/>
        <w:sz w:val="16"/>
        <w:szCs w:val="16"/>
        <w:u w:color="d1d1d0"/>
        <w:rtl w:val="0"/>
        <w14:textFill>
          <w14:solidFill>
            <w14:srgbClr w14:val="D1D1D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right" w:pos="9000"/>
        <w:tab w:val="clear" w:pos="9020"/>
      </w:tabs>
    </w:pPr>
    <w:r>
      <w:drawing>
        <wp:anchor distT="152400" distB="152400" distL="152400" distR="152400" simplePos="0" relativeHeight="251658240" behindDoc="1" locked="0" layoutInCell="1" allowOverlap="1">
          <wp:simplePos x="0" y="0"/>
          <wp:positionH relativeFrom="page">
            <wp:posOffset>914400</wp:posOffset>
          </wp:positionH>
          <wp:positionV relativeFrom="page">
            <wp:posOffset>9827260</wp:posOffset>
          </wp:positionV>
          <wp:extent cx="1013460" cy="368300"/>
          <wp:effectExtent l="0" t="0" r="0" b="0"/>
          <wp:wrapNone/>
          <wp:docPr id="1073741825" name="officeArt object" descr="../../../Logos/Paymark/Regular/Paymark_Hor_CMYK.png"/>
          <wp:cNvGraphicFramePr/>
          <a:graphic xmlns:a="http://schemas.openxmlformats.org/drawingml/2006/main">
            <a:graphicData uri="http://schemas.openxmlformats.org/drawingml/2006/picture">
              <pic:pic xmlns:pic="http://schemas.openxmlformats.org/drawingml/2006/picture">
                <pic:nvPicPr>
                  <pic:cNvPr id="1073741825" name="../../../Logos/Paymark/Regular/Paymark_Hor_CMYK.png" descr="../../../Logos/Paymark/Regular/Paymark_Hor_CMYK.png"/>
                  <pic:cNvPicPr>
                    <a:picLocks noChangeAspect="1"/>
                  </pic:cNvPicPr>
                </pic:nvPicPr>
                <pic:blipFill>
                  <a:blip r:embed="rId1">
                    <a:extLst/>
                  </a:blip>
                  <a:stretch>
                    <a:fillRect/>
                  </a:stretch>
                </pic:blipFill>
                <pic:spPr>
                  <a:xfrm>
                    <a:off x="0" y="0"/>
                    <a:ext cx="1013460" cy="36830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915035</wp:posOffset>
          </wp:positionH>
          <wp:positionV relativeFrom="page">
            <wp:posOffset>10166350</wp:posOffset>
          </wp:positionV>
          <wp:extent cx="5704205" cy="21591"/>
          <wp:effectExtent l="0" t="0" r="0" b="0"/>
          <wp:wrapNone/>
          <wp:docPr id="1073741826" name="officeArt object" descr="/Users/danielyamada/Dropbox (Mason Creative)/Mason Creative Team Folder/Paymark/PRINT/Template Update/Imagery/footer-graphic-01.png"/>
          <wp:cNvGraphicFramePr/>
          <a:graphic xmlns:a="http://schemas.openxmlformats.org/drawingml/2006/main">
            <a:graphicData uri="http://schemas.openxmlformats.org/drawingml/2006/picture">
              <pic:pic xmlns:pic="http://schemas.openxmlformats.org/drawingml/2006/picture">
                <pic:nvPicPr>
                  <pic:cNvPr id="1073741826" name="/Users/danielyamada/Dropbox (Mason Creative)/Mason Creative Team Folder/Paymark/PRINT/Template Update/Imagery/footer-graphic-01.png" descr="/Users/danielyamada/Dropbox (Mason Creative)/Mason Creative Team Folder/Paymark/PRINT/Template Update/Imagery/footer-graphic-01.png"/>
                  <pic:cNvPicPr>
                    <a:picLocks noChangeAspect="1"/>
                  </pic:cNvPicPr>
                </pic:nvPicPr>
                <pic:blipFill>
                  <a:blip r:embed="rId2">
                    <a:extLst/>
                  </a:blip>
                  <a:stretch>
                    <a:fillRect/>
                  </a:stretch>
                </pic:blipFill>
                <pic:spPr>
                  <a:xfrm>
                    <a:off x="0" y="0"/>
                    <a:ext cx="5704205" cy="21591"/>
                  </a:xfrm>
                  <a:prstGeom prst="rect">
                    <a:avLst/>
                  </a:prstGeom>
                  <a:ln w="12700" cap="flat">
                    <a:noFill/>
                    <a:miter lim="400000"/>
                  </a:ln>
                  <a:effectLst/>
                </pic:spPr>
              </pic:pic>
            </a:graphicData>
          </a:graphic>
        </wp:anchor>
      </w:drawing>
    </w:r>
    <w:r>
      <w:drawing>
        <wp:anchor distT="152400" distB="152400" distL="152400" distR="152400" simplePos="0" relativeHeight="251660288" behindDoc="1" locked="0" layoutInCell="1" allowOverlap="1">
          <wp:simplePos x="0" y="0"/>
          <wp:positionH relativeFrom="page">
            <wp:posOffset>5614035</wp:posOffset>
          </wp:positionH>
          <wp:positionV relativeFrom="page">
            <wp:posOffset>9962515</wp:posOffset>
          </wp:positionV>
          <wp:extent cx="1033781" cy="142240"/>
          <wp:effectExtent l="0" t="0" r="0" b="0"/>
          <wp:wrapNone/>
          <wp:docPr id="1073741827" name="officeArt object" descr="website.png"/>
          <wp:cNvGraphicFramePr/>
          <a:graphic xmlns:a="http://schemas.openxmlformats.org/drawingml/2006/main">
            <a:graphicData uri="http://schemas.openxmlformats.org/drawingml/2006/picture">
              <pic:pic xmlns:pic="http://schemas.openxmlformats.org/drawingml/2006/picture">
                <pic:nvPicPr>
                  <pic:cNvPr id="1073741827" name="website.png" descr="website.png"/>
                  <pic:cNvPicPr>
                    <a:picLocks noChangeAspect="1"/>
                  </pic:cNvPicPr>
                </pic:nvPicPr>
                <pic:blipFill>
                  <a:blip r:embed="rId3">
                    <a:extLst/>
                  </a:blip>
                  <a:stretch>
                    <a:fillRect/>
                  </a:stretch>
                </pic:blipFill>
                <pic:spPr>
                  <a:xfrm>
                    <a:off x="0" y="0"/>
                    <a:ext cx="1033781" cy="142240"/>
                  </a:xfrm>
                  <a:prstGeom prst="rect">
                    <a:avLst/>
                  </a:prstGeom>
                  <a:ln w="12700" cap="flat">
                    <a:noFill/>
                    <a:miter lim="400000"/>
                  </a:ln>
                  <a:effectLst/>
                </pic:spPr>
              </pic:pic>
            </a:graphicData>
          </a:graphic>
        </wp:anchor>
      </w:drawing>
    </w:r>
    <w:r>
      <w:drawing>
        <wp:anchor distT="152400" distB="152400" distL="152400" distR="152400" simplePos="0" relativeHeight="251661312" behindDoc="1" locked="0" layoutInCell="1" allowOverlap="1">
          <wp:simplePos x="0" y="0"/>
          <wp:positionH relativeFrom="page">
            <wp:posOffset>5297170</wp:posOffset>
          </wp:positionH>
          <wp:positionV relativeFrom="page">
            <wp:posOffset>9942195</wp:posOffset>
          </wp:positionV>
          <wp:extent cx="252096" cy="222885"/>
          <wp:effectExtent l="0" t="0" r="0" b="0"/>
          <wp:wrapNone/>
          <wp:docPr id="1073741828" name="officeArt object" descr="/Users/danielyamada/Dropbox (Mason Creative)/Mason Creative Team Folder/Paymark/Word/New Media Release Template/icon website_icon website.png"/>
          <wp:cNvGraphicFramePr/>
          <a:graphic xmlns:a="http://schemas.openxmlformats.org/drawingml/2006/main">
            <a:graphicData uri="http://schemas.openxmlformats.org/drawingml/2006/picture">
              <pic:pic xmlns:pic="http://schemas.openxmlformats.org/drawingml/2006/picture">
                <pic:nvPicPr>
                  <pic:cNvPr id="1073741828" name="/Users/danielyamada/Dropbox (Mason Creative)/Mason Creative Team Folder/Paymark/Word/New Media Release Template/icon website_icon website.png" descr="/Users/danielyamada/Dropbox (Mason Creative)/Mason Creative Team Folder/Paymark/Word/New Media Release Template/icon website_icon website.png"/>
                  <pic:cNvPicPr>
                    <a:picLocks noChangeAspect="1"/>
                  </pic:cNvPicPr>
                </pic:nvPicPr>
                <pic:blipFill>
                  <a:blip r:embed="rId4">
                    <a:extLst/>
                  </a:blip>
                  <a:stretch>
                    <a:fillRect/>
                  </a:stretch>
                </pic:blipFill>
                <pic:spPr>
                  <a:xfrm>
                    <a:off x="0" y="0"/>
                    <a:ext cx="252096" cy="222885"/>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Title">
    <w:name w:val="Title"/>
    <w:next w:val="Body A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282440"/>
      <w:spacing w:val="-10"/>
      <w:kern w:val="28"/>
      <w:position w:val="0"/>
      <w:sz w:val="56"/>
      <w:szCs w:val="56"/>
      <w:u w:val="none" w:color="282440"/>
      <w:vertAlign w:val="baseline"/>
      <w:lang w:val="en-US"/>
      <w14:textOutline w14:w="12700" w14:cap="flat">
        <w14:noFill/>
        <w14:miter w14:lim="400000"/>
      </w14:textOutline>
      <w14:textFill>
        <w14:solidFill>
          <w14:srgbClr w14:val="282440"/>
        </w14:solidFill>
      </w14:textFill>
    </w:rPr>
  </w:style>
  <w:style w:type="paragraph" w:styleId="Body A B">
    <w:name w:val="Body A B"/>
    <w:next w:val="Body A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Title 2">
    <w:name w:val="Title 2"/>
    <w:next w:val="Tit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36cbff"/>
      <w:spacing w:val="0"/>
      <w:kern w:val="0"/>
      <w:position w:val="0"/>
      <w:sz w:val="32"/>
      <w:szCs w:val="32"/>
      <w:u w:val="none" w:color="36cbff"/>
      <w:vertAlign w:val="baseline"/>
      <w:lang w:val="en-US"/>
      <w14:textFill>
        <w14:solidFill>
          <w14:srgbClr w14:val="36CBFF"/>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7.png"/><Relationship Id="rId4" Type="http://schemas.openxmlformats.org/officeDocument/2006/relationships/image" Target="media/image8.png"/></Relationships>

</file>

<file path=word/theme/theme1.xml><?xml version="1.0" encoding="utf-8"?>
<a:theme xmlns:a="http://schemas.openxmlformats.org/drawingml/2006/main" xmlns:r="http://schemas.openxmlformats.org/officeDocument/2006/relationships" name="Paymark Click">
  <a:themeElements>
    <a:clrScheme name="Paymark Click">
      <a:dk1>
        <a:srgbClr val="000000"/>
      </a:dk1>
      <a:lt1>
        <a:srgbClr val="FFFFFF"/>
      </a:lt1>
      <a:dk2>
        <a:srgbClr val="A7A7A7"/>
      </a:dk2>
      <a:lt2>
        <a:srgbClr val="535353"/>
      </a:lt2>
      <a:accent1>
        <a:srgbClr val="36CBFF"/>
      </a:accent1>
      <a:accent2>
        <a:srgbClr val="0071F0"/>
      </a:accent2>
      <a:accent3>
        <a:srgbClr val="D1D1D0"/>
      </a:accent3>
      <a:accent4>
        <a:srgbClr val="515066"/>
      </a:accent4>
      <a:accent5>
        <a:srgbClr val="92919F"/>
      </a:accent5>
      <a:accent6>
        <a:srgbClr val="D3D3D8"/>
      </a:accent6>
      <a:hlink>
        <a:srgbClr val="0000FF"/>
      </a:hlink>
      <a:folHlink>
        <a:srgbClr val="FF00FF"/>
      </a:folHlink>
    </a:clrScheme>
    <a:fontScheme name="Paymark Click">
      <a:majorFont>
        <a:latin typeface="Arial"/>
        <a:ea typeface="Arial"/>
        <a:cs typeface="Arial"/>
      </a:majorFont>
      <a:minorFont>
        <a:latin typeface="Helvetica Neue"/>
        <a:ea typeface="Helvetica Neue"/>
        <a:cs typeface="Helvetica Neue"/>
      </a:minorFont>
    </a:fontScheme>
    <a:fmtScheme name="Paymark Clic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