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0B748" w14:textId="77777777" w:rsidR="00335F1B" w:rsidRPr="002514DD" w:rsidRDefault="00CC7B18">
      <w:pPr>
        <w:rPr>
          <w:b/>
          <w:sz w:val="32"/>
        </w:rPr>
      </w:pPr>
      <w:bookmarkStart w:id="0" w:name="_GoBack"/>
      <w:bookmarkEnd w:id="0"/>
      <w:r w:rsidRPr="002514DD">
        <w:rPr>
          <w:b/>
          <w:sz w:val="32"/>
        </w:rPr>
        <w:t>Electricity Price Review– R</w:t>
      </w:r>
      <w:r w:rsidR="002514DD">
        <w:rPr>
          <w:b/>
          <w:sz w:val="32"/>
        </w:rPr>
        <w:t>ecommendations from F</w:t>
      </w:r>
      <w:r w:rsidR="009235F8" w:rsidRPr="002514DD">
        <w:rPr>
          <w:b/>
          <w:sz w:val="32"/>
        </w:rPr>
        <w:t xml:space="preserve">inal </w:t>
      </w:r>
      <w:r w:rsidR="002514DD">
        <w:rPr>
          <w:b/>
          <w:sz w:val="32"/>
        </w:rPr>
        <w:t>R</w:t>
      </w:r>
      <w:r w:rsidR="009235F8" w:rsidRPr="002514DD">
        <w:rPr>
          <w:b/>
          <w:sz w:val="32"/>
        </w:rPr>
        <w:t>eport</w:t>
      </w:r>
    </w:p>
    <w:tbl>
      <w:tblPr>
        <w:tblStyle w:val="TableGrid"/>
        <w:tblW w:w="4962" w:type="pct"/>
        <w:tblInd w:w="108" w:type="dxa"/>
        <w:tblLook w:val="04A0" w:firstRow="1" w:lastRow="0" w:firstColumn="1" w:lastColumn="0" w:noHBand="0" w:noVBand="1"/>
      </w:tblPr>
      <w:tblGrid>
        <w:gridCol w:w="3998"/>
        <w:gridCol w:w="9844"/>
      </w:tblGrid>
      <w:tr w:rsidR="00C42CAC" w:rsidRPr="00A1262B" w14:paraId="2A7207D9" w14:textId="77777777" w:rsidTr="00282D9F">
        <w:trPr>
          <w:tblHeader/>
        </w:trPr>
        <w:tc>
          <w:tcPr>
            <w:tcW w:w="1444" w:type="pct"/>
          </w:tcPr>
          <w:p w14:paraId="06FA5B5F" w14:textId="77777777" w:rsidR="00C42CAC" w:rsidRPr="00A1262B" w:rsidRDefault="00C42CAC" w:rsidP="00977F08">
            <w:pPr>
              <w:spacing w:before="60" w:after="60"/>
              <w:rPr>
                <w:b/>
              </w:rPr>
            </w:pPr>
            <w:r w:rsidRPr="00A1262B">
              <w:rPr>
                <w:b/>
              </w:rPr>
              <w:t>Recommendation</w:t>
            </w:r>
          </w:p>
        </w:tc>
        <w:tc>
          <w:tcPr>
            <w:tcW w:w="3556" w:type="pct"/>
          </w:tcPr>
          <w:p w14:paraId="4D900DE6" w14:textId="77777777" w:rsidR="00C42CAC" w:rsidRPr="00A1262B" w:rsidRDefault="00C42CAC" w:rsidP="00977F08">
            <w:pPr>
              <w:spacing w:before="60" w:after="60"/>
              <w:rPr>
                <w:b/>
              </w:rPr>
            </w:pPr>
            <w:r w:rsidRPr="00A1262B">
              <w:rPr>
                <w:b/>
              </w:rPr>
              <w:t>Government Response / Comment</w:t>
            </w:r>
          </w:p>
        </w:tc>
      </w:tr>
      <w:tr w:rsidR="00C42CAC" w:rsidRPr="00A1262B" w14:paraId="700C36E4" w14:textId="77777777" w:rsidTr="00282D9F">
        <w:tc>
          <w:tcPr>
            <w:tcW w:w="5000" w:type="pct"/>
            <w:gridSpan w:val="2"/>
            <w:tcBorders>
              <w:bottom w:val="single" w:sz="4" w:space="0" w:color="auto"/>
            </w:tcBorders>
            <w:shd w:val="clear" w:color="auto" w:fill="DBE5F1" w:themeFill="accent1" w:themeFillTint="33"/>
          </w:tcPr>
          <w:p w14:paraId="73A3DAC2" w14:textId="77777777" w:rsidR="00C42CAC" w:rsidRPr="00A1262B" w:rsidRDefault="00C42CAC" w:rsidP="00977F08">
            <w:pPr>
              <w:spacing w:before="60" w:after="60"/>
              <w:rPr>
                <w:b/>
              </w:rPr>
            </w:pPr>
            <w:r w:rsidRPr="00A1262B">
              <w:rPr>
                <w:b/>
              </w:rPr>
              <w:t>Strengthening the consumer voice</w:t>
            </w:r>
          </w:p>
        </w:tc>
      </w:tr>
      <w:tr w:rsidR="00C42CAC" w:rsidRPr="00A1262B" w14:paraId="6EEC2773" w14:textId="77777777" w:rsidTr="00282D9F">
        <w:tc>
          <w:tcPr>
            <w:tcW w:w="1444" w:type="pct"/>
            <w:shd w:val="clear" w:color="auto" w:fill="auto"/>
          </w:tcPr>
          <w:p w14:paraId="1FA2B0C2" w14:textId="3BE54E19" w:rsidR="00C42CAC" w:rsidRPr="00A1262B" w:rsidRDefault="00C42CAC" w:rsidP="00977F08">
            <w:pPr>
              <w:spacing w:before="60" w:after="60"/>
              <w:rPr>
                <w:rFonts w:cs="Arial"/>
              </w:rPr>
            </w:pPr>
            <w:r w:rsidRPr="00A1262B">
              <w:rPr>
                <w:rFonts w:cs="Arial"/>
              </w:rPr>
              <w:t>Establ</w:t>
            </w:r>
            <w:r w:rsidR="000A7E4C">
              <w:rPr>
                <w:rFonts w:cs="Arial"/>
              </w:rPr>
              <w:t>ish a consumer advisory council</w:t>
            </w:r>
          </w:p>
        </w:tc>
        <w:tc>
          <w:tcPr>
            <w:tcW w:w="3556" w:type="pct"/>
            <w:shd w:val="clear" w:color="auto" w:fill="auto"/>
          </w:tcPr>
          <w:p w14:paraId="3F63B38E" w14:textId="27F316DA" w:rsidR="00C42CAC" w:rsidRPr="00A1262B" w:rsidRDefault="002E6255" w:rsidP="002629AE">
            <w:pPr>
              <w:spacing w:before="60" w:after="60"/>
              <w:rPr>
                <w:rFonts w:eastAsia="Calibri" w:cs="Arial"/>
              </w:rPr>
            </w:pPr>
            <w:r>
              <w:rPr>
                <w:rFonts w:cs="Arial"/>
              </w:rPr>
              <w:t xml:space="preserve">The Government agrees with this recommendation and will direct officials to </w:t>
            </w:r>
            <w:r>
              <w:t xml:space="preserve">establish the council.  Members will be appointed in the near future.  </w:t>
            </w:r>
          </w:p>
        </w:tc>
      </w:tr>
      <w:tr w:rsidR="00C42CAC" w:rsidRPr="00A1262B" w14:paraId="47A384BA" w14:textId="77777777" w:rsidTr="00282D9F">
        <w:tc>
          <w:tcPr>
            <w:tcW w:w="1444" w:type="pct"/>
          </w:tcPr>
          <w:p w14:paraId="74B250F3" w14:textId="2B478EB9" w:rsidR="00C42CAC" w:rsidRPr="00A1262B" w:rsidRDefault="00C42CAC" w:rsidP="00977F08">
            <w:pPr>
              <w:spacing w:before="60" w:after="60"/>
              <w:rPr>
                <w:rFonts w:cs="Arial"/>
              </w:rPr>
            </w:pPr>
            <w:r w:rsidRPr="00A1262B">
              <w:rPr>
                <w:rFonts w:cs="Arial"/>
              </w:rPr>
              <w:t>Ensure</w:t>
            </w:r>
            <w:r w:rsidR="000A7E4C">
              <w:rPr>
                <w:rFonts w:cs="Arial"/>
              </w:rPr>
              <w:t xml:space="preserve"> regulators listen to consumers</w:t>
            </w:r>
          </w:p>
          <w:p w14:paraId="77D862F3" w14:textId="77777777" w:rsidR="00C42CAC" w:rsidRPr="00A1262B" w:rsidRDefault="00C42CAC" w:rsidP="00977F08">
            <w:pPr>
              <w:spacing w:before="60" w:after="60"/>
              <w:rPr>
                <w:rFonts w:cs="Arial"/>
              </w:rPr>
            </w:pPr>
          </w:p>
        </w:tc>
        <w:tc>
          <w:tcPr>
            <w:tcW w:w="3556" w:type="pct"/>
          </w:tcPr>
          <w:p w14:paraId="4358FB0A" w14:textId="77777777" w:rsidR="00C42CAC" w:rsidRPr="00A1262B" w:rsidRDefault="00C42CAC" w:rsidP="00977F08">
            <w:pPr>
              <w:spacing w:before="60" w:after="60"/>
              <w:rPr>
                <w:rFonts w:cs="Arial"/>
              </w:rPr>
            </w:pPr>
            <w:r w:rsidRPr="00A1262B">
              <w:rPr>
                <w:rFonts w:cs="Arial"/>
              </w:rPr>
              <w:t>The Government will issue open letters to the Commerce Commission and the Electricity Authority setting out its expectations that they improve their consumer engagement and take urgent and meaningful action to this effect</w:t>
            </w:r>
            <w:r w:rsidRPr="00A1262B">
              <w:t>.</w:t>
            </w:r>
          </w:p>
        </w:tc>
      </w:tr>
      <w:tr w:rsidR="00C42CAC" w:rsidRPr="00A1262B" w14:paraId="76825A57" w14:textId="77777777" w:rsidTr="00282D9F">
        <w:tc>
          <w:tcPr>
            <w:tcW w:w="5000" w:type="pct"/>
            <w:gridSpan w:val="2"/>
            <w:tcBorders>
              <w:bottom w:val="single" w:sz="4" w:space="0" w:color="auto"/>
            </w:tcBorders>
            <w:shd w:val="clear" w:color="auto" w:fill="DBE5F1" w:themeFill="accent1" w:themeFillTint="33"/>
          </w:tcPr>
          <w:p w14:paraId="6727A218" w14:textId="77777777" w:rsidR="00C42CAC" w:rsidRPr="00A1262B" w:rsidRDefault="00C42CAC" w:rsidP="00977F08">
            <w:pPr>
              <w:spacing w:before="60" w:after="60"/>
              <w:rPr>
                <w:rFonts w:cs="Arial"/>
                <w:b/>
              </w:rPr>
            </w:pPr>
            <w:r w:rsidRPr="00A1262B">
              <w:rPr>
                <w:rFonts w:cs="Arial"/>
                <w:b/>
              </w:rPr>
              <w:t>Reducing Energy Hardship</w:t>
            </w:r>
          </w:p>
        </w:tc>
      </w:tr>
      <w:tr w:rsidR="00C42CAC" w:rsidRPr="00A1262B" w14:paraId="1F44D773" w14:textId="77777777" w:rsidTr="00282D9F">
        <w:tc>
          <w:tcPr>
            <w:tcW w:w="1444" w:type="pct"/>
            <w:shd w:val="clear" w:color="auto" w:fill="auto"/>
          </w:tcPr>
          <w:p w14:paraId="01D0C3D4" w14:textId="77777777" w:rsidR="00C42CAC" w:rsidRPr="00A1262B" w:rsidRDefault="00C42CAC" w:rsidP="00977F08">
            <w:pPr>
              <w:spacing w:before="60" w:after="60"/>
              <w:rPr>
                <w:rFonts w:cs="Arial"/>
              </w:rPr>
            </w:pPr>
            <w:r w:rsidRPr="00A1262B">
              <w:rPr>
                <w:rFonts w:cs="Arial"/>
              </w:rPr>
              <w:t>Establish a cross-sector energy hardship group.</w:t>
            </w:r>
          </w:p>
        </w:tc>
        <w:tc>
          <w:tcPr>
            <w:tcW w:w="3556" w:type="pct"/>
            <w:shd w:val="clear" w:color="auto" w:fill="auto"/>
          </w:tcPr>
          <w:p w14:paraId="40F5582F" w14:textId="688E0C9E" w:rsidR="00C42CAC" w:rsidRPr="00A1262B" w:rsidRDefault="00C42CAC" w:rsidP="007B5880">
            <w:pPr>
              <w:autoSpaceDE w:val="0"/>
              <w:autoSpaceDN w:val="0"/>
              <w:adjustRightInd w:val="0"/>
              <w:spacing w:before="60" w:after="60"/>
              <w:rPr>
                <w:rFonts w:cs="Arial"/>
              </w:rPr>
            </w:pPr>
            <w:r w:rsidRPr="00A1262B">
              <w:rPr>
                <w:rFonts w:cs="Arial"/>
              </w:rPr>
              <w:t xml:space="preserve">The Government </w:t>
            </w:r>
            <w:r w:rsidR="007B5880">
              <w:rPr>
                <w:rFonts w:cs="Arial"/>
              </w:rPr>
              <w:t xml:space="preserve">is </w:t>
            </w:r>
            <w:r w:rsidRPr="00A1262B">
              <w:rPr>
                <w:rFonts w:cs="Arial"/>
              </w:rPr>
              <w:t>establish</w:t>
            </w:r>
            <w:r w:rsidR="007B5880">
              <w:rPr>
                <w:rFonts w:cs="Arial"/>
              </w:rPr>
              <w:t>ing</w:t>
            </w:r>
            <w:r w:rsidRPr="00A1262B">
              <w:rPr>
                <w:rFonts w:cs="Arial"/>
              </w:rPr>
              <w:t xml:space="preserve"> a cross-sector energy hardship group</w:t>
            </w:r>
            <w:r w:rsidR="00C21F0F">
              <w:rPr>
                <w:rFonts w:cs="Arial"/>
              </w:rPr>
              <w:t xml:space="preserve"> </w:t>
            </w:r>
            <w:r w:rsidR="007B5880">
              <w:rPr>
                <w:rFonts w:cs="Arial"/>
              </w:rPr>
              <w:t>to</w:t>
            </w:r>
            <w:r w:rsidRPr="00A1262B">
              <w:rPr>
                <w:rFonts w:cs="Arial"/>
              </w:rPr>
              <w:t xml:space="preserve"> help ensure that energy hardship initiatives are well-considered, carefully co-ordinated and properly implemented.  </w:t>
            </w:r>
          </w:p>
        </w:tc>
      </w:tr>
      <w:tr w:rsidR="00C42CAC" w:rsidRPr="00A1262B" w14:paraId="6F55940C" w14:textId="77777777" w:rsidTr="00282D9F">
        <w:tc>
          <w:tcPr>
            <w:tcW w:w="1444" w:type="pct"/>
            <w:shd w:val="clear" w:color="auto" w:fill="auto"/>
          </w:tcPr>
          <w:p w14:paraId="2F0A0F20" w14:textId="52E18F5B" w:rsidR="00C42CAC" w:rsidRPr="00A1262B" w:rsidRDefault="000A7E4C" w:rsidP="00977F08">
            <w:pPr>
              <w:spacing w:before="60" w:after="60"/>
              <w:rPr>
                <w:rFonts w:cs="Arial"/>
              </w:rPr>
            </w:pPr>
            <w:r>
              <w:rPr>
                <w:rFonts w:cs="Arial"/>
              </w:rPr>
              <w:t>Define energy hardship</w:t>
            </w:r>
            <w:r w:rsidR="00C42CAC" w:rsidRPr="00A1262B">
              <w:rPr>
                <w:rFonts w:cs="Arial"/>
              </w:rPr>
              <w:t xml:space="preserve">  </w:t>
            </w:r>
          </w:p>
          <w:p w14:paraId="2FF308E1" w14:textId="77777777" w:rsidR="00C42CAC" w:rsidRPr="00A1262B" w:rsidRDefault="00C42CAC" w:rsidP="00977F08">
            <w:pPr>
              <w:spacing w:before="60" w:after="60"/>
              <w:rPr>
                <w:rFonts w:cs="Arial"/>
              </w:rPr>
            </w:pPr>
          </w:p>
        </w:tc>
        <w:tc>
          <w:tcPr>
            <w:tcW w:w="3556" w:type="pct"/>
            <w:shd w:val="clear" w:color="auto" w:fill="auto"/>
          </w:tcPr>
          <w:p w14:paraId="19A879CE" w14:textId="4B7FEFE2" w:rsidR="00C42CAC" w:rsidRPr="00A1262B" w:rsidRDefault="00C42CAC" w:rsidP="00924C6B">
            <w:pPr>
              <w:autoSpaceDE w:val="0"/>
              <w:autoSpaceDN w:val="0"/>
              <w:adjustRightInd w:val="0"/>
              <w:spacing w:before="60" w:after="60"/>
              <w:rPr>
                <w:rFonts w:cs="Arial"/>
              </w:rPr>
            </w:pPr>
            <w:r w:rsidRPr="00A1262B">
              <w:rPr>
                <w:rFonts w:cs="Arial"/>
              </w:rPr>
              <w:t xml:space="preserve">The Government has directed officials to start work developing </w:t>
            </w:r>
            <w:r w:rsidR="00924C6B">
              <w:rPr>
                <w:rFonts w:cs="Arial"/>
              </w:rPr>
              <w:t xml:space="preserve">statistical indicators </w:t>
            </w:r>
            <w:r w:rsidRPr="00A1262B">
              <w:rPr>
                <w:rFonts w:cs="Arial"/>
              </w:rPr>
              <w:t xml:space="preserve">of energy hardship. This will assist the measurement and tracking of energy hardship over time, to assess the effectiveness of measures to reduce hardship.  </w:t>
            </w:r>
          </w:p>
        </w:tc>
      </w:tr>
      <w:tr w:rsidR="00C42CAC" w:rsidRPr="00A1262B" w14:paraId="6767FBBD" w14:textId="77777777" w:rsidTr="00282D9F">
        <w:tc>
          <w:tcPr>
            <w:tcW w:w="1444" w:type="pct"/>
            <w:shd w:val="clear" w:color="auto" w:fill="auto"/>
          </w:tcPr>
          <w:p w14:paraId="411D83C0" w14:textId="6908F52F" w:rsidR="00C42CAC" w:rsidRPr="00A1262B" w:rsidRDefault="00C42CAC" w:rsidP="00977F08">
            <w:pPr>
              <w:spacing w:before="60" w:after="60"/>
              <w:rPr>
                <w:rFonts w:cs="Arial"/>
              </w:rPr>
            </w:pPr>
            <w:r w:rsidRPr="00A1262B">
              <w:rPr>
                <w:rFonts w:cs="Arial"/>
              </w:rPr>
              <w:t>Establish a network of community-level support services to he</w:t>
            </w:r>
            <w:r w:rsidR="000A7E4C">
              <w:rPr>
                <w:rFonts w:cs="Arial"/>
              </w:rPr>
              <w:t>lp consumers in energy hardship</w:t>
            </w:r>
          </w:p>
          <w:p w14:paraId="24542C1A" w14:textId="77777777" w:rsidR="00C42CAC" w:rsidRPr="00A1262B" w:rsidRDefault="00C42CAC" w:rsidP="00977F08">
            <w:pPr>
              <w:spacing w:before="60" w:after="60"/>
              <w:rPr>
                <w:rFonts w:cs="Arial"/>
              </w:rPr>
            </w:pPr>
          </w:p>
        </w:tc>
        <w:tc>
          <w:tcPr>
            <w:tcW w:w="3556" w:type="pct"/>
            <w:shd w:val="clear" w:color="auto" w:fill="auto"/>
          </w:tcPr>
          <w:p w14:paraId="4C2CA2A2" w14:textId="06227DE8" w:rsidR="00C42CAC" w:rsidRPr="00A1262B" w:rsidRDefault="00C42CAC" w:rsidP="00977F08">
            <w:pPr>
              <w:autoSpaceDE w:val="0"/>
              <w:autoSpaceDN w:val="0"/>
              <w:adjustRightInd w:val="0"/>
              <w:spacing w:before="60" w:after="60"/>
            </w:pPr>
            <w:r w:rsidRPr="00A1262B">
              <w:t>This network will progressively link and expand existing support services to establish a nationwide network of organisations offering credible, independent, electricity-specific advice and support services to those in energy hardship.  This work will be facilitated by cross-sector energy hardship group.</w:t>
            </w:r>
          </w:p>
        </w:tc>
      </w:tr>
      <w:tr w:rsidR="00C42CAC" w:rsidRPr="00A1262B" w14:paraId="311ECBE6" w14:textId="77777777" w:rsidTr="00282D9F">
        <w:tc>
          <w:tcPr>
            <w:tcW w:w="1444" w:type="pct"/>
            <w:tcBorders>
              <w:bottom w:val="single" w:sz="4" w:space="0" w:color="auto"/>
            </w:tcBorders>
            <w:shd w:val="clear" w:color="auto" w:fill="auto"/>
          </w:tcPr>
          <w:p w14:paraId="1B31682A" w14:textId="77777777" w:rsidR="00C42CAC" w:rsidRPr="00A1262B" w:rsidRDefault="00C42CAC" w:rsidP="00977F08">
            <w:pPr>
              <w:spacing w:before="60" w:after="60"/>
              <w:rPr>
                <w:rFonts w:cs="Arial"/>
              </w:rPr>
            </w:pPr>
            <w:r w:rsidRPr="00A1262B">
              <w:rPr>
                <w:rFonts w:cs="Arial"/>
              </w:rPr>
              <w:t>Set up a fund to help households in energy hardship become more energy efficient</w:t>
            </w:r>
          </w:p>
        </w:tc>
        <w:tc>
          <w:tcPr>
            <w:tcW w:w="3556" w:type="pct"/>
            <w:tcBorders>
              <w:bottom w:val="single" w:sz="4" w:space="0" w:color="auto"/>
            </w:tcBorders>
            <w:shd w:val="clear" w:color="auto" w:fill="auto"/>
          </w:tcPr>
          <w:p w14:paraId="5175D951" w14:textId="51ACFC19" w:rsidR="00C42CAC" w:rsidRPr="00A1262B" w:rsidRDefault="00C42CAC" w:rsidP="00977F08">
            <w:pPr>
              <w:autoSpaceDE w:val="0"/>
              <w:autoSpaceDN w:val="0"/>
              <w:adjustRightInd w:val="0"/>
              <w:spacing w:before="60" w:after="60"/>
            </w:pPr>
            <w:r w:rsidRPr="00A1262B">
              <w:t xml:space="preserve">This fund will sit alongside other Government energy efficiency programmes, but be more targeted at energy hardship.  It is expected to work alongside the network of community-level support services recommendation. </w:t>
            </w:r>
          </w:p>
        </w:tc>
      </w:tr>
      <w:tr w:rsidR="00C42CAC" w:rsidRPr="00A1262B" w14:paraId="45C1D5B1" w14:textId="77777777" w:rsidTr="00282D9F">
        <w:tc>
          <w:tcPr>
            <w:tcW w:w="1444" w:type="pct"/>
            <w:tcBorders>
              <w:bottom w:val="single" w:sz="4" w:space="0" w:color="auto"/>
            </w:tcBorders>
            <w:shd w:val="clear" w:color="auto" w:fill="auto"/>
          </w:tcPr>
          <w:p w14:paraId="0580F75F" w14:textId="518B6182" w:rsidR="00C42CAC" w:rsidRPr="00A1262B" w:rsidRDefault="00C42CAC" w:rsidP="00977F08">
            <w:pPr>
              <w:spacing w:before="60" w:after="60"/>
              <w:rPr>
                <w:rFonts w:cs="Arial"/>
              </w:rPr>
            </w:pPr>
            <w:r w:rsidRPr="00A1262B">
              <w:rPr>
                <w:rFonts w:cs="Arial"/>
              </w:rPr>
              <w:t>Set mandatory minimum standards to protect vulnerable and medically dependent consumers</w:t>
            </w:r>
          </w:p>
        </w:tc>
        <w:tc>
          <w:tcPr>
            <w:tcW w:w="3556" w:type="pct"/>
            <w:tcBorders>
              <w:bottom w:val="single" w:sz="4" w:space="0" w:color="auto"/>
            </w:tcBorders>
            <w:shd w:val="clear" w:color="auto" w:fill="auto"/>
          </w:tcPr>
          <w:p w14:paraId="3F9EAF8F" w14:textId="77777777" w:rsidR="00C42CAC" w:rsidRPr="00A1262B" w:rsidRDefault="00C42CAC" w:rsidP="00977F08">
            <w:pPr>
              <w:autoSpaceDE w:val="0"/>
              <w:autoSpaceDN w:val="0"/>
              <w:adjustRightInd w:val="0"/>
              <w:spacing w:before="60" w:after="60"/>
            </w:pPr>
            <w:r w:rsidRPr="00A1262B">
              <w:t>The existing voluntary arrangements do not provide adequate protection for vulnerable and medically dependent electricity consumers.</w:t>
            </w:r>
            <w:r>
              <w:t xml:space="preserve"> Work on this will start immediately.</w:t>
            </w:r>
            <w:r w:rsidRPr="00A1262B">
              <w:t xml:space="preserve">   </w:t>
            </w:r>
          </w:p>
        </w:tc>
      </w:tr>
      <w:tr w:rsidR="00C42CAC" w:rsidRPr="00A1262B" w14:paraId="7E25FE84" w14:textId="77777777" w:rsidTr="00282D9F">
        <w:tc>
          <w:tcPr>
            <w:tcW w:w="1444" w:type="pct"/>
            <w:tcBorders>
              <w:bottom w:val="single" w:sz="4" w:space="0" w:color="auto"/>
            </w:tcBorders>
            <w:shd w:val="clear" w:color="auto" w:fill="auto"/>
          </w:tcPr>
          <w:p w14:paraId="1D9256EA" w14:textId="59EF9BB6" w:rsidR="00C42CAC" w:rsidRPr="00A1262B" w:rsidRDefault="00C42CAC" w:rsidP="00977F08">
            <w:pPr>
              <w:spacing w:before="60" w:after="60"/>
              <w:rPr>
                <w:rFonts w:cs="Arial"/>
              </w:rPr>
            </w:pPr>
            <w:r w:rsidRPr="00A1262B">
              <w:rPr>
                <w:rFonts w:cs="Arial"/>
              </w:rPr>
              <w:t>Prohibit prompt payment discounts but allow reasonable late payment fees</w:t>
            </w:r>
          </w:p>
        </w:tc>
        <w:tc>
          <w:tcPr>
            <w:tcW w:w="3556" w:type="pct"/>
            <w:tcBorders>
              <w:bottom w:val="single" w:sz="4" w:space="0" w:color="auto"/>
            </w:tcBorders>
            <w:shd w:val="clear" w:color="auto" w:fill="auto"/>
          </w:tcPr>
          <w:p w14:paraId="121D03C3" w14:textId="4F40AAC8" w:rsidR="00C42CAC" w:rsidRPr="00A1262B" w:rsidRDefault="002E6255" w:rsidP="002D7C39">
            <w:pPr>
              <w:autoSpaceDE w:val="0"/>
              <w:autoSpaceDN w:val="0"/>
              <w:adjustRightInd w:val="0"/>
              <w:spacing w:before="60" w:after="60"/>
            </w:pPr>
            <w:r>
              <w:t xml:space="preserve">The Government welcomes this recommendation, however rather than immediately regulate retailers, </w:t>
            </w:r>
            <w:r w:rsidR="002629AE">
              <w:t>t</w:t>
            </w:r>
            <w:r w:rsidR="002D7C39">
              <w:t>he Minister of Energy and Resources</w:t>
            </w:r>
            <w:r>
              <w:t xml:space="preserve"> will write to the industry setting out the findings of the Review and </w:t>
            </w:r>
            <w:r w:rsidR="002D7C39">
              <w:t>the</w:t>
            </w:r>
            <w:r>
              <w:t xml:space="preserve"> </w:t>
            </w:r>
            <w:r>
              <w:lastRenderedPageBreak/>
              <w:t xml:space="preserve">expectation that they make discounts available to all consumers and </w:t>
            </w:r>
            <w:r w:rsidRPr="004E148E">
              <w:t xml:space="preserve">reflect the true costs of managing late payments from their customers.  </w:t>
            </w:r>
            <w:r>
              <w:t>When Meridian did this, it handed $5 million back to consumers. Should the companies not follow suit, we will regulate.</w:t>
            </w:r>
            <w:r w:rsidR="002D7C39">
              <w:t xml:space="preserve"> </w:t>
            </w:r>
          </w:p>
        </w:tc>
      </w:tr>
      <w:tr w:rsidR="00C42CAC" w:rsidRPr="00A1262B" w14:paraId="50182920" w14:textId="77777777" w:rsidTr="00282D9F">
        <w:tc>
          <w:tcPr>
            <w:tcW w:w="1444" w:type="pct"/>
            <w:shd w:val="clear" w:color="auto" w:fill="auto"/>
          </w:tcPr>
          <w:p w14:paraId="12A21461" w14:textId="77777777" w:rsidR="00C42CAC" w:rsidRPr="00A1262B" w:rsidRDefault="00C42CAC" w:rsidP="00977F08">
            <w:pPr>
              <w:spacing w:before="60" w:after="60"/>
              <w:rPr>
                <w:rFonts w:cs="Arial"/>
              </w:rPr>
            </w:pPr>
            <w:r w:rsidRPr="00A1262B">
              <w:rPr>
                <w:rFonts w:cs="Arial"/>
              </w:rPr>
              <w:lastRenderedPageBreak/>
              <w:t>Encourage bulk deals for social housing and/or Work and Income clients</w:t>
            </w:r>
          </w:p>
          <w:p w14:paraId="6EF47B9E" w14:textId="77777777" w:rsidR="00C42CAC" w:rsidRPr="00A1262B" w:rsidRDefault="00C42CAC" w:rsidP="00977F08">
            <w:pPr>
              <w:spacing w:before="60" w:after="60"/>
              <w:rPr>
                <w:rFonts w:cs="Arial"/>
              </w:rPr>
            </w:pPr>
          </w:p>
        </w:tc>
        <w:tc>
          <w:tcPr>
            <w:tcW w:w="3556" w:type="pct"/>
            <w:shd w:val="clear" w:color="auto" w:fill="auto"/>
          </w:tcPr>
          <w:p w14:paraId="343746F3" w14:textId="77777777" w:rsidR="00C42CAC" w:rsidRPr="00A1262B" w:rsidRDefault="00C42CAC" w:rsidP="00977F08">
            <w:pPr>
              <w:autoSpaceDE w:val="0"/>
              <w:autoSpaceDN w:val="0"/>
              <w:adjustRightInd w:val="0"/>
              <w:spacing w:before="60" w:after="60"/>
            </w:pPr>
            <w:r w:rsidRPr="00A1262B">
              <w:t xml:space="preserve">Many in social housing or receiving Work and Income assistance are disengaged from the electricity market and may pay more for power than they need to.  </w:t>
            </w:r>
          </w:p>
          <w:p w14:paraId="47A99724" w14:textId="07B51750" w:rsidR="00C42CAC" w:rsidRPr="00A1262B" w:rsidRDefault="00543D68" w:rsidP="00543D68">
            <w:pPr>
              <w:autoSpaceDE w:val="0"/>
              <w:autoSpaceDN w:val="0"/>
              <w:adjustRightInd w:val="0"/>
              <w:spacing w:before="60" w:after="60"/>
            </w:pPr>
            <w:r w:rsidRPr="00543D68">
              <w:t xml:space="preserve">Kāinga Ora </w:t>
            </w:r>
            <w:r>
              <w:t xml:space="preserve">(formerly </w:t>
            </w:r>
            <w:r w:rsidR="00C42CAC" w:rsidRPr="00A1262B">
              <w:t>Housing New Zealand</w:t>
            </w:r>
            <w:r>
              <w:t>)</w:t>
            </w:r>
            <w:r w:rsidR="00C42CAC" w:rsidRPr="00A1262B">
              <w:t xml:space="preserve"> already has work underway exploring ways to help its customers.  The Associate Minister of Housing and Minister for Social Development will be kept informed of lessons learnt from the Housing New Zealand’s initiatives and determine how such initiatives can be applied further.  </w:t>
            </w:r>
          </w:p>
        </w:tc>
      </w:tr>
      <w:tr w:rsidR="00C42CAC" w:rsidRPr="00A1262B" w14:paraId="3919EE5A" w14:textId="77777777" w:rsidTr="00282D9F">
        <w:tc>
          <w:tcPr>
            <w:tcW w:w="1444" w:type="pct"/>
          </w:tcPr>
          <w:p w14:paraId="49EEA3CA" w14:textId="77777777" w:rsidR="00C42CAC" w:rsidRPr="00A1262B" w:rsidRDefault="00C42CAC" w:rsidP="00977F08">
            <w:pPr>
              <w:spacing w:before="60" w:after="60"/>
              <w:rPr>
                <w:rFonts w:cs="Arial"/>
              </w:rPr>
            </w:pPr>
            <w:r w:rsidRPr="00A1262B">
              <w:rPr>
                <w:rFonts w:cs="Arial"/>
              </w:rPr>
              <w:t>Offer extra financial support for households in energy hardship</w:t>
            </w:r>
          </w:p>
        </w:tc>
        <w:tc>
          <w:tcPr>
            <w:tcW w:w="3556" w:type="pct"/>
          </w:tcPr>
          <w:p w14:paraId="630E5D30" w14:textId="172220CC" w:rsidR="00C42CAC" w:rsidRPr="00A1262B" w:rsidRDefault="00C42CAC" w:rsidP="00B078CE">
            <w:pPr>
              <w:autoSpaceDE w:val="0"/>
              <w:autoSpaceDN w:val="0"/>
              <w:adjustRightInd w:val="0"/>
              <w:spacing w:before="60" w:after="60"/>
            </w:pPr>
            <w:r w:rsidRPr="00A1262B">
              <w:t xml:space="preserve">The Government will consider </w:t>
            </w:r>
            <w:r w:rsidR="00C826EB">
              <w:t xml:space="preserve">this recommendation </w:t>
            </w:r>
            <w:r w:rsidRPr="00A1262B">
              <w:t xml:space="preserve">alongside </w:t>
            </w:r>
            <w:r w:rsidR="00FF1832">
              <w:t>ongoing reforms to the social welfare system</w:t>
            </w:r>
            <w:r w:rsidR="00B078CE">
              <w:t xml:space="preserve">, including in response to </w:t>
            </w:r>
            <w:r w:rsidRPr="00A1262B">
              <w:t xml:space="preserve">the recommendations from the Welfare Expert Advisory Group.  </w:t>
            </w:r>
          </w:p>
        </w:tc>
      </w:tr>
      <w:tr w:rsidR="00C42CAC" w:rsidRPr="00A1262B" w14:paraId="68859592" w14:textId="77777777" w:rsidTr="00282D9F">
        <w:tc>
          <w:tcPr>
            <w:tcW w:w="5000" w:type="pct"/>
            <w:gridSpan w:val="2"/>
            <w:shd w:val="clear" w:color="auto" w:fill="DBE5F1" w:themeFill="accent1" w:themeFillTint="33"/>
          </w:tcPr>
          <w:p w14:paraId="32D9CC76" w14:textId="77777777" w:rsidR="00C42CAC" w:rsidRPr="00A1262B" w:rsidRDefault="00C42CAC" w:rsidP="00977F08">
            <w:pPr>
              <w:spacing w:before="60" w:after="60"/>
              <w:rPr>
                <w:rFonts w:cs="Arial"/>
                <w:b/>
              </w:rPr>
            </w:pPr>
            <w:r w:rsidRPr="00A1262B">
              <w:rPr>
                <w:rFonts w:cs="Arial"/>
                <w:b/>
              </w:rPr>
              <w:t>Increasing Retail Competition</w:t>
            </w:r>
          </w:p>
        </w:tc>
      </w:tr>
      <w:tr w:rsidR="00C42CAC" w:rsidRPr="00A1262B" w14:paraId="6C6E922D" w14:textId="77777777" w:rsidTr="00282D9F">
        <w:tc>
          <w:tcPr>
            <w:tcW w:w="1444" w:type="pct"/>
            <w:shd w:val="clear" w:color="auto" w:fill="auto"/>
          </w:tcPr>
          <w:p w14:paraId="67C7DF8C" w14:textId="77777777" w:rsidR="00C42CAC" w:rsidRPr="00A1262B" w:rsidRDefault="00C42CAC" w:rsidP="00977F08">
            <w:pPr>
              <w:spacing w:before="60" w:after="60"/>
              <w:rPr>
                <w:rFonts w:cs="Arial"/>
              </w:rPr>
            </w:pPr>
            <w:r w:rsidRPr="00A1262B">
              <w:rPr>
                <w:rFonts w:cs="Arial"/>
              </w:rPr>
              <w:t>Merge the Electricity Authority and Consumer NZ price comparison websites: Whatsmynumber and Powerswitch</w:t>
            </w:r>
          </w:p>
        </w:tc>
        <w:tc>
          <w:tcPr>
            <w:tcW w:w="3556" w:type="pct"/>
            <w:shd w:val="clear" w:color="auto" w:fill="auto"/>
          </w:tcPr>
          <w:p w14:paraId="79D7F212" w14:textId="249259FD" w:rsidR="00C42CAC" w:rsidRPr="00A1262B" w:rsidRDefault="00C42CAC" w:rsidP="00B078CE">
            <w:pPr>
              <w:autoSpaceDE w:val="0"/>
              <w:autoSpaceDN w:val="0"/>
              <w:adjustRightInd w:val="0"/>
              <w:spacing w:before="60" w:after="60"/>
            </w:pPr>
            <w:r w:rsidRPr="00A1262B">
              <w:t xml:space="preserve">Merging the two comparison websites will create a new and improved website to enable consumers to make more informed decisions.  </w:t>
            </w:r>
            <w:r>
              <w:t>The Government</w:t>
            </w:r>
            <w:r w:rsidRPr="00A1262B">
              <w:t xml:space="preserve"> will </w:t>
            </w:r>
            <w:r w:rsidR="00B078CE">
              <w:t xml:space="preserve">ask </w:t>
            </w:r>
            <w:r w:rsidRPr="00A1262B">
              <w:t>the Electricity Authority to work collaboratively with Consumer NZ to merge their price comparison websites</w:t>
            </w:r>
          </w:p>
        </w:tc>
      </w:tr>
      <w:tr w:rsidR="00C42CAC" w:rsidRPr="00A1262B" w14:paraId="02EC4261" w14:textId="77777777" w:rsidTr="00282D9F">
        <w:tc>
          <w:tcPr>
            <w:tcW w:w="1444" w:type="pct"/>
            <w:shd w:val="clear" w:color="auto" w:fill="auto"/>
          </w:tcPr>
          <w:p w14:paraId="68EAA914" w14:textId="77777777" w:rsidR="00C42CAC" w:rsidRPr="00A1262B" w:rsidRDefault="00C42CAC" w:rsidP="00977F08">
            <w:pPr>
              <w:spacing w:before="60" w:after="60"/>
              <w:rPr>
                <w:rFonts w:cs="Arial"/>
              </w:rPr>
            </w:pPr>
            <w:r w:rsidRPr="00A1262B">
              <w:rPr>
                <w:rFonts w:cs="Arial"/>
              </w:rPr>
              <w:t>Improve consumer awareness of Powerswitch and Utilities Disputes</w:t>
            </w:r>
          </w:p>
        </w:tc>
        <w:tc>
          <w:tcPr>
            <w:tcW w:w="3556" w:type="pct"/>
            <w:shd w:val="clear" w:color="auto" w:fill="auto"/>
          </w:tcPr>
          <w:p w14:paraId="0D65514A" w14:textId="7EE4A1C1" w:rsidR="00C42CAC" w:rsidRPr="00A1262B" w:rsidRDefault="00C42CAC" w:rsidP="002E6255">
            <w:pPr>
              <w:autoSpaceDE w:val="0"/>
              <w:autoSpaceDN w:val="0"/>
              <w:adjustRightInd w:val="0"/>
              <w:spacing w:before="60" w:after="60"/>
            </w:pPr>
            <w:r w:rsidRPr="00A1262B">
              <w:t>The Government supports the recommendation and will request the Electricity Authority gives it appropriate priority</w:t>
            </w:r>
            <w:r w:rsidR="002E6255">
              <w:t>.</w:t>
            </w:r>
            <w:r w:rsidRPr="00A1262B">
              <w:t xml:space="preserve"> </w:t>
            </w:r>
          </w:p>
        </w:tc>
      </w:tr>
      <w:tr w:rsidR="00C42CAC" w:rsidRPr="00A1262B" w14:paraId="5869EC99" w14:textId="77777777" w:rsidTr="00282D9F">
        <w:tc>
          <w:tcPr>
            <w:tcW w:w="1444" w:type="pct"/>
            <w:tcBorders>
              <w:bottom w:val="single" w:sz="4" w:space="0" w:color="auto"/>
            </w:tcBorders>
            <w:shd w:val="clear" w:color="auto" w:fill="auto"/>
          </w:tcPr>
          <w:p w14:paraId="3CBB2315" w14:textId="77777777" w:rsidR="00C42CAC" w:rsidRPr="00A1262B" w:rsidRDefault="00C42CAC" w:rsidP="00977F08">
            <w:pPr>
              <w:spacing w:before="60" w:after="60"/>
              <w:rPr>
                <w:rFonts w:cs="Arial"/>
              </w:rPr>
            </w:pPr>
            <w:r w:rsidRPr="00A1262B">
              <w:rPr>
                <w:rFonts w:cs="Arial"/>
              </w:rPr>
              <w:t>Develop a streamlined way to process customer requests for consumption data</w:t>
            </w:r>
          </w:p>
          <w:p w14:paraId="723DBE09" w14:textId="77777777" w:rsidR="00C42CAC" w:rsidRPr="00A1262B" w:rsidRDefault="00C42CAC" w:rsidP="00977F08">
            <w:pPr>
              <w:spacing w:before="60" w:after="60"/>
              <w:rPr>
                <w:rFonts w:cs="Arial"/>
              </w:rPr>
            </w:pPr>
          </w:p>
        </w:tc>
        <w:tc>
          <w:tcPr>
            <w:tcW w:w="3556" w:type="pct"/>
            <w:tcBorders>
              <w:bottom w:val="single" w:sz="4" w:space="0" w:color="auto"/>
            </w:tcBorders>
            <w:shd w:val="clear" w:color="auto" w:fill="auto"/>
          </w:tcPr>
          <w:p w14:paraId="45B05535" w14:textId="63A00447" w:rsidR="00C42CAC" w:rsidRDefault="00C42CAC" w:rsidP="00977F08">
            <w:pPr>
              <w:autoSpaceDE w:val="0"/>
              <w:autoSpaceDN w:val="0"/>
              <w:adjustRightInd w:val="0"/>
              <w:spacing w:before="60" w:after="60"/>
            </w:pPr>
            <w:r w:rsidRPr="00A1262B">
              <w:t xml:space="preserve">This is expected to strengthen competition and make it easier for innovative retail services to enter </w:t>
            </w:r>
            <w:r w:rsidR="00F64903">
              <w:t xml:space="preserve">the retail market </w:t>
            </w:r>
            <w:r w:rsidRPr="00A1262B">
              <w:t xml:space="preserve">(subject to effective privacy protections). </w:t>
            </w:r>
          </w:p>
          <w:p w14:paraId="18C1A880" w14:textId="1D930FE9" w:rsidR="00C42CAC" w:rsidRPr="00A1262B" w:rsidRDefault="00C42CAC" w:rsidP="00B078CE">
            <w:pPr>
              <w:autoSpaceDE w:val="0"/>
              <w:autoSpaceDN w:val="0"/>
              <w:adjustRightInd w:val="0"/>
              <w:spacing w:before="60" w:after="60"/>
            </w:pPr>
            <w:r>
              <w:t>T</w:t>
            </w:r>
            <w:r w:rsidRPr="008750F5">
              <w:t xml:space="preserve">he Government expects the Electricity Authority to action this recommendation with high priority, and if there are </w:t>
            </w:r>
            <w:r w:rsidR="00B078CE">
              <w:t xml:space="preserve">any </w:t>
            </w:r>
            <w:r w:rsidRPr="008750F5">
              <w:t xml:space="preserve">barriers to this process, </w:t>
            </w:r>
            <w:r>
              <w:t>it</w:t>
            </w:r>
            <w:r w:rsidRPr="008750F5">
              <w:t xml:space="preserve"> expect</w:t>
            </w:r>
            <w:r>
              <w:t>s</w:t>
            </w:r>
            <w:r w:rsidRPr="008750F5">
              <w:t xml:space="preserve"> timely advice on the options to overcome them.</w:t>
            </w:r>
          </w:p>
        </w:tc>
      </w:tr>
      <w:tr w:rsidR="00C42CAC" w:rsidRPr="00A1262B" w14:paraId="67272F0B" w14:textId="77777777" w:rsidTr="00282D9F">
        <w:tc>
          <w:tcPr>
            <w:tcW w:w="1444" w:type="pct"/>
            <w:tcBorders>
              <w:bottom w:val="single" w:sz="4" w:space="0" w:color="auto"/>
            </w:tcBorders>
            <w:shd w:val="clear" w:color="auto" w:fill="auto"/>
          </w:tcPr>
          <w:p w14:paraId="72A688F7" w14:textId="77777777" w:rsidR="00C42CAC" w:rsidRPr="00A1262B" w:rsidRDefault="00C42CAC" w:rsidP="00977F08">
            <w:pPr>
              <w:spacing w:before="60" w:after="60"/>
              <w:rPr>
                <w:rFonts w:cs="Arial"/>
              </w:rPr>
            </w:pPr>
            <w:r w:rsidRPr="00A1262B">
              <w:rPr>
                <w:rFonts w:cs="Arial"/>
              </w:rPr>
              <w:t>Make distributors offer retailers standard default terms for network access</w:t>
            </w:r>
          </w:p>
          <w:p w14:paraId="79E14E55" w14:textId="77777777" w:rsidR="00C42CAC" w:rsidRPr="00A1262B" w:rsidRDefault="00C42CAC" w:rsidP="00977F08">
            <w:pPr>
              <w:spacing w:before="60" w:after="60"/>
              <w:rPr>
                <w:rFonts w:cs="Arial"/>
              </w:rPr>
            </w:pPr>
          </w:p>
        </w:tc>
        <w:tc>
          <w:tcPr>
            <w:tcW w:w="3556" w:type="pct"/>
            <w:tcBorders>
              <w:bottom w:val="single" w:sz="4" w:space="0" w:color="auto"/>
            </w:tcBorders>
            <w:shd w:val="clear" w:color="auto" w:fill="auto"/>
          </w:tcPr>
          <w:p w14:paraId="53871494" w14:textId="77777777" w:rsidR="00C42CAC" w:rsidRPr="00A1262B" w:rsidRDefault="00C42CAC" w:rsidP="00977F08">
            <w:pPr>
              <w:autoSpaceDE w:val="0"/>
              <w:autoSpaceDN w:val="0"/>
              <w:adjustRightInd w:val="0"/>
              <w:spacing w:before="60" w:after="60"/>
            </w:pPr>
            <w:r w:rsidRPr="00A1262B">
              <w:t xml:space="preserve">This will remove barriers and reduce costs for retailers expanding into new areas, and consequently increase retail competition in those areas.  </w:t>
            </w:r>
          </w:p>
          <w:p w14:paraId="002D5BCB" w14:textId="3675BF6D" w:rsidR="00C42CAC" w:rsidRPr="00A1262B" w:rsidRDefault="00C42CAC" w:rsidP="00B078CE">
            <w:pPr>
              <w:autoSpaceDE w:val="0"/>
              <w:autoSpaceDN w:val="0"/>
              <w:adjustRightInd w:val="0"/>
              <w:spacing w:before="60" w:after="60"/>
            </w:pPr>
            <w:r w:rsidRPr="00A1262B">
              <w:t xml:space="preserve">The Electricity Authority has already released a consultation paper that progresses this recommendation.  </w:t>
            </w:r>
            <w:r>
              <w:t xml:space="preserve">The Government </w:t>
            </w:r>
            <w:r w:rsidRPr="00A1262B">
              <w:t>supports this project</w:t>
            </w:r>
            <w:r w:rsidR="00B078CE">
              <w:t xml:space="preserve"> and encourages the Electricity Authority to complete it</w:t>
            </w:r>
            <w:r w:rsidRPr="00A1262B">
              <w:t xml:space="preserve">.  </w:t>
            </w:r>
          </w:p>
        </w:tc>
      </w:tr>
      <w:tr w:rsidR="00C42CAC" w:rsidRPr="00A1262B" w14:paraId="1BF2A2AE" w14:textId="77777777" w:rsidTr="00282D9F">
        <w:tc>
          <w:tcPr>
            <w:tcW w:w="1444" w:type="pct"/>
            <w:tcBorders>
              <w:bottom w:val="single" w:sz="4" w:space="0" w:color="auto"/>
            </w:tcBorders>
            <w:shd w:val="clear" w:color="auto" w:fill="auto"/>
          </w:tcPr>
          <w:p w14:paraId="6544B0F5" w14:textId="77777777" w:rsidR="00C42CAC" w:rsidRPr="00A1262B" w:rsidRDefault="00C42CAC" w:rsidP="00977F08">
            <w:pPr>
              <w:spacing w:before="60" w:after="60"/>
              <w:rPr>
                <w:rFonts w:cs="Arial"/>
              </w:rPr>
            </w:pPr>
            <w:r w:rsidRPr="00A1262B">
              <w:rPr>
                <w:rFonts w:cs="Arial"/>
              </w:rPr>
              <w:lastRenderedPageBreak/>
              <w:t>Prohibit saves and win-backs</w:t>
            </w:r>
          </w:p>
          <w:p w14:paraId="174587D0" w14:textId="77777777" w:rsidR="00C42CAC" w:rsidRPr="00A1262B" w:rsidRDefault="00C42CAC" w:rsidP="00977F08">
            <w:pPr>
              <w:spacing w:before="60" w:after="60"/>
              <w:rPr>
                <w:rFonts w:cs="Arial"/>
              </w:rPr>
            </w:pPr>
          </w:p>
        </w:tc>
        <w:tc>
          <w:tcPr>
            <w:tcW w:w="3556" w:type="pct"/>
            <w:tcBorders>
              <w:bottom w:val="single" w:sz="4" w:space="0" w:color="auto"/>
            </w:tcBorders>
            <w:shd w:val="clear" w:color="auto" w:fill="auto"/>
          </w:tcPr>
          <w:p w14:paraId="6178041D" w14:textId="01CEE830" w:rsidR="00C42CAC" w:rsidRPr="00A1262B" w:rsidRDefault="00C42CAC" w:rsidP="00977F08">
            <w:pPr>
              <w:autoSpaceDE w:val="0"/>
              <w:autoSpaceDN w:val="0"/>
              <w:adjustRightInd w:val="0"/>
              <w:spacing w:before="60" w:after="60"/>
            </w:pPr>
            <w:r w:rsidRPr="00A1262B">
              <w:t xml:space="preserve">There is evidence to suggest the practice of “saves and win backs” is facilitating a </w:t>
            </w:r>
            <w:r w:rsidR="007E129F">
              <w:t>“</w:t>
            </w:r>
            <w:r w:rsidRPr="00A1262B">
              <w:t>two tier</w:t>
            </w:r>
            <w:r w:rsidR="00C1306C">
              <w:t>”</w:t>
            </w:r>
            <w:r w:rsidRPr="00A1262B">
              <w:t xml:space="preserve"> market that favours some consumers, whilst disadvantaging others.  </w:t>
            </w:r>
            <w:r>
              <w:t xml:space="preserve">The Government </w:t>
            </w:r>
            <w:r w:rsidR="00C1306C">
              <w:t xml:space="preserve">believes </w:t>
            </w:r>
            <w:r w:rsidRPr="00A1262B">
              <w:t xml:space="preserve">saves and win backs should be prohibited for a set period of time so that its impact on consumers can be properly evaluated.  </w:t>
            </w:r>
          </w:p>
          <w:p w14:paraId="5442A64C" w14:textId="0217FB12" w:rsidR="00C42CAC" w:rsidRPr="00A1262B" w:rsidRDefault="00C42CAC" w:rsidP="00F64903">
            <w:pPr>
              <w:autoSpaceDE w:val="0"/>
              <w:autoSpaceDN w:val="0"/>
              <w:adjustRightInd w:val="0"/>
              <w:spacing w:before="60" w:after="60"/>
            </w:pPr>
            <w:r>
              <w:t xml:space="preserve">The Government </w:t>
            </w:r>
            <w:r w:rsidRPr="00A1262B">
              <w:t xml:space="preserve">will convey to the Electricity Authority </w:t>
            </w:r>
            <w:r>
              <w:t>it</w:t>
            </w:r>
            <w:r w:rsidRPr="00A1262B">
              <w:t xml:space="preserve">s concerns about the adverse impact of this practice on retail competition and consumers, and that the Authority impose a ban or moratorium on win backs followed by a full evaluation of the impacts on consumers.  </w:t>
            </w:r>
          </w:p>
        </w:tc>
      </w:tr>
      <w:tr w:rsidR="00C42CAC" w:rsidRPr="00A1262B" w14:paraId="024E8778" w14:textId="77777777" w:rsidTr="00282D9F">
        <w:tc>
          <w:tcPr>
            <w:tcW w:w="1444" w:type="pct"/>
            <w:shd w:val="clear" w:color="auto" w:fill="auto"/>
          </w:tcPr>
          <w:p w14:paraId="4657A45C" w14:textId="77777777" w:rsidR="00C42CAC" w:rsidRPr="00A1262B" w:rsidRDefault="00C42CAC" w:rsidP="00977F08">
            <w:pPr>
              <w:spacing w:before="60" w:after="60"/>
              <w:rPr>
                <w:rFonts w:cs="Arial"/>
              </w:rPr>
            </w:pPr>
            <w:r w:rsidRPr="00A1262B">
              <w:rPr>
                <w:rFonts w:cs="Arial"/>
              </w:rPr>
              <w:t>Establish a pilot scheme to help non-switching consumers find better deals</w:t>
            </w:r>
          </w:p>
          <w:p w14:paraId="2B492B46" w14:textId="77777777" w:rsidR="00C42CAC" w:rsidRPr="00A1262B" w:rsidRDefault="00C42CAC" w:rsidP="00977F08">
            <w:pPr>
              <w:spacing w:before="60" w:after="60"/>
              <w:rPr>
                <w:rFonts w:cs="Arial"/>
              </w:rPr>
            </w:pPr>
          </w:p>
        </w:tc>
        <w:tc>
          <w:tcPr>
            <w:tcW w:w="3556" w:type="pct"/>
            <w:shd w:val="clear" w:color="auto" w:fill="auto"/>
          </w:tcPr>
          <w:p w14:paraId="310DEBB4" w14:textId="77777777" w:rsidR="00C42CAC" w:rsidRPr="00A1262B" w:rsidRDefault="00C42CAC" w:rsidP="00977F08">
            <w:pPr>
              <w:autoSpaceDE w:val="0"/>
              <w:autoSpaceDN w:val="0"/>
              <w:adjustRightInd w:val="0"/>
              <w:spacing w:before="60" w:after="60"/>
            </w:pPr>
            <w:r w:rsidRPr="00A1262B">
              <w:t xml:space="preserve">The Review found that a large number of consumers are disengaged and have not switched retailers in many years.  These consumers could receive better price deals but for certain reasons do not shop around.  The Review recommended the Electricity Authority pilot a scheme to help these consumers. </w:t>
            </w:r>
          </w:p>
          <w:p w14:paraId="7E1838F8" w14:textId="6D078308" w:rsidR="00C42CAC" w:rsidRPr="00A1262B" w:rsidRDefault="00C42CAC" w:rsidP="00C1306C">
            <w:pPr>
              <w:autoSpaceDE w:val="0"/>
              <w:autoSpaceDN w:val="0"/>
              <w:adjustRightInd w:val="0"/>
              <w:spacing w:before="60" w:after="60"/>
            </w:pPr>
            <w:r w:rsidRPr="00A1262B">
              <w:t xml:space="preserve">The Government will urge the Electricity Authority to develop a business case for a pilot scheme as recommended by the Review.  </w:t>
            </w:r>
          </w:p>
        </w:tc>
      </w:tr>
      <w:tr w:rsidR="00C42CAC" w:rsidRPr="00A1262B" w14:paraId="07598102" w14:textId="77777777" w:rsidTr="00282D9F">
        <w:tc>
          <w:tcPr>
            <w:tcW w:w="5000" w:type="pct"/>
            <w:gridSpan w:val="2"/>
            <w:tcBorders>
              <w:bottom w:val="single" w:sz="4" w:space="0" w:color="auto"/>
            </w:tcBorders>
            <w:shd w:val="clear" w:color="auto" w:fill="DBE5F1" w:themeFill="accent1" w:themeFillTint="33"/>
          </w:tcPr>
          <w:p w14:paraId="19AFC65C" w14:textId="77777777" w:rsidR="00C42CAC" w:rsidRPr="00A1262B" w:rsidRDefault="00C42CAC" w:rsidP="00977F08">
            <w:pPr>
              <w:spacing w:before="60" w:after="60"/>
              <w:rPr>
                <w:rFonts w:cs="Arial"/>
                <w:b/>
              </w:rPr>
            </w:pPr>
            <w:r w:rsidRPr="00A1262B">
              <w:rPr>
                <w:rFonts w:cs="Arial"/>
                <w:b/>
              </w:rPr>
              <w:t xml:space="preserve">Reinforcing wholesale market </w:t>
            </w:r>
          </w:p>
        </w:tc>
      </w:tr>
      <w:tr w:rsidR="00C42CAC" w:rsidRPr="00A1262B" w14:paraId="44B7F35B" w14:textId="77777777" w:rsidTr="00282D9F">
        <w:tc>
          <w:tcPr>
            <w:tcW w:w="1444" w:type="pct"/>
            <w:tcBorders>
              <w:bottom w:val="single" w:sz="4" w:space="0" w:color="auto"/>
            </w:tcBorders>
            <w:shd w:val="clear" w:color="auto" w:fill="auto"/>
          </w:tcPr>
          <w:p w14:paraId="0FB6DC15" w14:textId="77777777" w:rsidR="00C42CAC" w:rsidRPr="00A1262B" w:rsidRDefault="00C42CAC" w:rsidP="00977F08">
            <w:pPr>
              <w:spacing w:before="60" w:after="60"/>
              <w:rPr>
                <w:rFonts w:cs="Arial"/>
              </w:rPr>
            </w:pPr>
            <w:r w:rsidRPr="00A1262B">
              <w:rPr>
                <w:rFonts w:cs="Arial"/>
              </w:rPr>
              <w:t>Improve availability of wholesale electricity and gas market information</w:t>
            </w:r>
          </w:p>
          <w:p w14:paraId="7525C780" w14:textId="77777777" w:rsidR="00C42CAC" w:rsidRPr="00A1262B" w:rsidRDefault="00C42CAC" w:rsidP="00977F08">
            <w:pPr>
              <w:spacing w:before="60" w:after="60"/>
              <w:rPr>
                <w:rFonts w:cs="Arial"/>
              </w:rPr>
            </w:pPr>
          </w:p>
        </w:tc>
        <w:tc>
          <w:tcPr>
            <w:tcW w:w="3556" w:type="pct"/>
            <w:tcBorders>
              <w:bottom w:val="single" w:sz="4" w:space="0" w:color="auto"/>
            </w:tcBorders>
            <w:shd w:val="clear" w:color="auto" w:fill="auto"/>
          </w:tcPr>
          <w:p w14:paraId="45636A58" w14:textId="77777777" w:rsidR="00C42CAC" w:rsidRDefault="00C42CAC" w:rsidP="00977F08">
            <w:pPr>
              <w:autoSpaceDE w:val="0"/>
              <w:autoSpaceDN w:val="0"/>
              <w:adjustRightInd w:val="0"/>
              <w:spacing w:before="60" w:after="60"/>
            </w:pPr>
            <w:r w:rsidRPr="00A1262B">
              <w:t xml:space="preserve">The Review identified that there are gaps in the information disclosure rules for the wholesale electricity and gas markets.  It recommended the Electricity Authority and Gas Industry Company review their respective disclosure rules to close those gaps in order to promote better performance.   </w:t>
            </w:r>
          </w:p>
          <w:p w14:paraId="11F37ABA" w14:textId="69C5522E" w:rsidR="00C42CAC" w:rsidRPr="00A1262B" w:rsidRDefault="00C42CAC" w:rsidP="003C2BC7">
            <w:pPr>
              <w:autoSpaceDE w:val="0"/>
              <w:autoSpaceDN w:val="0"/>
              <w:adjustRightInd w:val="0"/>
              <w:spacing w:before="60" w:after="60"/>
            </w:pPr>
            <w:r>
              <w:t xml:space="preserve">The Government will make it clear to the Electricity Authority and the Gas Industry Company that it expects them </w:t>
            </w:r>
            <w:r w:rsidR="003C2BC7">
              <w:t xml:space="preserve">to </w:t>
            </w:r>
            <w:r>
              <w:t>promptly close any gaps in their information disclosure rules, as recommended by the Review.</w:t>
            </w:r>
          </w:p>
        </w:tc>
      </w:tr>
      <w:tr w:rsidR="00C42CAC" w:rsidRPr="00A1262B" w14:paraId="2789EB91" w14:textId="77777777" w:rsidTr="00282D9F">
        <w:tc>
          <w:tcPr>
            <w:tcW w:w="1444" w:type="pct"/>
            <w:shd w:val="clear" w:color="auto" w:fill="auto"/>
          </w:tcPr>
          <w:p w14:paraId="5FFFD654" w14:textId="77777777" w:rsidR="00C42CAC" w:rsidRPr="00A1262B" w:rsidRDefault="00C42CAC" w:rsidP="00977F08">
            <w:pPr>
              <w:spacing w:before="60" w:after="60"/>
              <w:rPr>
                <w:rFonts w:cs="Arial"/>
              </w:rPr>
            </w:pPr>
            <w:r w:rsidRPr="00A1262B">
              <w:rPr>
                <w:rFonts w:cs="Arial"/>
              </w:rPr>
              <w:t>Introduce mandatory market-making obligations unless the sector develops an effective incentive-based scheme</w:t>
            </w:r>
          </w:p>
        </w:tc>
        <w:tc>
          <w:tcPr>
            <w:tcW w:w="3556" w:type="pct"/>
            <w:shd w:val="clear" w:color="auto" w:fill="auto"/>
          </w:tcPr>
          <w:p w14:paraId="74CE4069" w14:textId="67E9B5A6" w:rsidR="00C42CAC" w:rsidRPr="00A1262B" w:rsidRDefault="002E6255" w:rsidP="00C1306C">
            <w:pPr>
              <w:autoSpaceDE w:val="0"/>
              <w:autoSpaceDN w:val="0"/>
              <w:adjustRightInd w:val="0"/>
              <w:spacing w:before="60" w:after="60"/>
            </w:pPr>
            <w:r w:rsidRPr="00BF6806">
              <w:t xml:space="preserve">The </w:t>
            </w:r>
            <w:r>
              <w:t xml:space="preserve">Review found that the voluntary </w:t>
            </w:r>
            <w:r w:rsidRPr="00BF6806">
              <w:t xml:space="preserve">wholesale </w:t>
            </w:r>
            <w:r>
              <w:t xml:space="preserve">electricity hedge </w:t>
            </w:r>
            <w:r w:rsidRPr="00BF6806">
              <w:t xml:space="preserve">market </w:t>
            </w:r>
            <w:r>
              <w:t xml:space="preserve">does not always work effectively.  This undermines the ability of independent retailers to manage their exposure to volatile spot prices.  Without this, these retailers will struggle to grow retail competition, which is vital for competition.  </w:t>
            </w:r>
          </w:p>
        </w:tc>
      </w:tr>
      <w:tr w:rsidR="00C42CAC" w:rsidRPr="00A1262B" w14:paraId="32B8BFA6" w14:textId="77777777" w:rsidTr="00282D9F">
        <w:tc>
          <w:tcPr>
            <w:tcW w:w="1444" w:type="pct"/>
          </w:tcPr>
          <w:p w14:paraId="711ED10C" w14:textId="77777777" w:rsidR="00C42CAC" w:rsidRPr="00A1262B" w:rsidRDefault="00C42CAC" w:rsidP="00977F08">
            <w:pPr>
              <w:spacing w:before="60" w:after="60"/>
              <w:rPr>
                <w:rFonts w:cs="Arial"/>
              </w:rPr>
            </w:pPr>
            <w:r w:rsidRPr="00A1262B">
              <w:rPr>
                <w:rFonts w:cs="Arial"/>
              </w:rPr>
              <w:t>Make generator-retailers release information about the profitability of their retailing activities</w:t>
            </w:r>
          </w:p>
          <w:p w14:paraId="46469C1D" w14:textId="77777777" w:rsidR="00C42CAC" w:rsidRPr="00A1262B" w:rsidRDefault="00C42CAC" w:rsidP="00977F08">
            <w:pPr>
              <w:spacing w:before="60" w:after="60"/>
              <w:rPr>
                <w:rFonts w:cs="Arial"/>
              </w:rPr>
            </w:pPr>
          </w:p>
        </w:tc>
        <w:tc>
          <w:tcPr>
            <w:tcW w:w="3556" w:type="pct"/>
          </w:tcPr>
          <w:p w14:paraId="1DDFEDF6" w14:textId="572238B4" w:rsidR="00C42CAC" w:rsidRPr="00A1262B" w:rsidRDefault="002E6255" w:rsidP="00977F08">
            <w:pPr>
              <w:autoSpaceDE w:val="0"/>
              <w:autoSpaceDN w:val="0"/>
              <w:adjustRightInd w:val="0"/>
              <w:spacing w:before="60" w:after="60"/>
            </w:pPr>
            <w:r>
              <w:t>The Government welcomes this recommendation.   There are ongoing questions about whether generator</w:t>
            </w:r>
            <w:r w:rsidRPr="00A46E9A">
              <w:t>s are making excessive profits</w:t>
            </w:r>
            <w:r>
              <w:t xml:space="preserve"> at the expense of consumers.   This risks </w:t>
            </w:r>
            <w:r w:rsidRPr="00A46E9A">
              <w:t>undermin</w:t>
            </w:r>
            <w:r>
              <w:t xml:space="preserve">ing </w:t>
            </w:r>
            <w:r w:rsidRPr="00A46E9A">
              <w:t xml:space="preserve">confidence in the </w:t>
            </w:r>
            <w:r>
              <w:t xml:space="preserve">wholesale </w:t>
            </w:r>
            <w:r w:rsidRPr="00A46E9A">
              <w:t>market</w:t>
            </w:r>
            <w:r>
              <w:t xml:space="preserve">.   Whilst the Review found no evidence to support this contention, it recommended the </w:t>
            </w:r>
            <w:r w:rsidRPr="00176213">
              <w:t>Electricity Authority</w:t>
            </w:r>
            <w:r>
              <w:t xml:space="preserve"> </w:t>
            </w:r>
            <w:r w:rsidRPr="007A559B">
              <w:t>require vertically</w:t>
            </w:r>
            <w:r w:rsidRPr="00176213">
              <w:t xml:space="preserve"> integrated companies to report separately on the financia</w:t>
            </w:r>
            <w:r>
              <w:t>l performance of their retail</w:t>
            </w:r>
            <w:r w:rsidRPr="00176213">
              <w:t xml:space="preserve"> and generation operations using a common set of rules</w:t>
            </w:r>
            <w:r>
              <w:t xml:space="preserve">.  </w:t>
            </w:r>
            <w:r w:rsidRPr="007A559B">
              <w:t xml:space="preserve">This will assist </w:t>
            </w:r>
            <w:r>
              <w:t xml:space="preserve">market participants and others assess </w:t>
            </w:r>
            <w:r w:rsidRPr="007A559B">
              <w:t>whether generator</w:t>
            </w:r>
            <w:r w:rsidR="001F006F">
              <w:t>s</w:t>
            </w:r>
            <w:r w:rsidRPr="007A559B">
              <w:t xml:space="preserve"> are making excessive profits.  </w:t>
            </w:r>
          </w:p>
        </w:tc>
      </w:tr>
      <w:tr w:rsidR="00C42CAC" w:rsidRPr="00A1262B" w14:paraId="4541B06B" w14:textId="77777777" w:rsidTr="00282D9F">
        <w:tc>
          <w:tcPr>
            <w:tcW w:w="1444" w:type="pct"/>
          </w:tcPr>
          <w:p w14:paraId="749D0F81" w14:textId="77777777" w:rsidR="00C42CAC" w:rsidRPr="00A1262B" w:rsidRDefault="00C42CAC" w:rsidP="00977F08">
            <w:pPr>
              <w:spacing w:before="60" w:after="60"/>
              <w:rPr>
                <w:rFonts w:cs="Arial"/>
              </w:rPr>
            </w:pPr>
            <w:r w:rsidRPr="00A1262B">
              <w:rPr>
                <w:rFonts w:cs="Arial"/>
              </w:rPr>
              <w:t>Monitor contract prices and new-generation costs more closely</w:t>
            </w:r>
          </w:p>
          <w:p w14:paraId="4868BDA6" w14:textId="77777777" w:rsidR="00C42CAC" w:rsidRPr="00A1262B" w:rsidRDefault="00C42CAC" w:rsidP="00977F08">
            <w:pPr>
              <w:spacing w:before="60" w:after="60"/>
              <w:rPr>
                <w:rFonts w:cs="Arial"/>
              </w:rPr>
            </w:pPr>
          </w:p>
        </w:tc>
        <w:tc>
          <w:tcPr>
            <w:tcW w:w="3556" w:type="pct"/>
          </w:tcPr>
          <w:p w14:paraId="754077D2" w14:textId="0E7B47B9" w:rsidR="00282D9F" w:rsidRPr="00A1262B" w:rsidRDefault="00C42CAC" w:rsidP="00977F08">
            <w:pPr>
              <w:autoSpaceDE w:val="0"/>
              <w:autoSpaceDN w:val="0"/>
              <w:adjustRightInd w:val="0"/>
              <w:spacing w:before="60" w:after="60"/>
            </w:pPr>
            <w:r w:rsidRPr="00A1262B">
              <w:lastRenderedPageBreak/>
              <w:t xml:space="preserve">Similar to the previous recommendation, there are ongoing questions about whether generators are making excessive profits at the expense of consumers.   I will urge the Electricity Authority to expand its </w:t>
            </w:r>
            <w:r w:rsidRPr="00A1262B">
              <w:lastRenderedPageBreak/>
              <w:t xml:space="preserve">monitoring of the wholesale market to include periodic comparisons of wholesale contract prices with new-generation costs.  </w:t>
            </w:r>
          </w:p>
        </w:tc>
      </w:tr>
      <w:tr w:rsidR="00C42CAC" w:rsidRPr="00A1262B" w14:paraId="6FAF4B06" w14:textId="77777777" w:rsidTr="00282D9F">
        <w:tc>
          <w:tcPr>
            <w:tcW w:w="5000" w:type="pct"/>
            <w:gridSpan w:val="2"/>
            <w:shd w:val="clear" w:color="auto" w:fill="DBE5F1" w:themeFill="accent1" w:themeFillTint="33"/>
          </w:tcPr>
          <w:p w14:paraId="0419DFE7" w14:textId="77777777" w:rsidR="00C42CAC" w:rsidRPr="00A1262B" w:rsidRDefault="00C42CAC" w:rsidP="00977F08">
            <w:pPr>
              <w:spacing w:before="60" w:after="60"/>
              <w:rPr>
                <w:rFonts w:cs="Arial"/>
                <w:b/>
              </w:rPr>
            </w:pPr>
            <w:r w:rsidRPr="00A1262B">
              <w:rPr>
                <w:rFonts w:cs="Arial"/>
                <w:b/>
              </w:rPr>
              <w:lastRenderedPageBreak/>
              <w:t>Improving transmission and distribution</w:t>
            </w:r>
          </w:p>
        </w:tc>
      </w:tr>
      <w:tr w:rsidR="00C42CAC" w:rsidRPr="00A1262B" w14:paraId="424A18EC" w14:textId="77777777" w:rsidTr="00282D9F">
        <w:tc>
          <w:tcPr>
            <w:tcW w:w="1444" w:type="pct"/>
          </w:tcPr>
          <w:p w14:paraId="32DE2888" w14:textId="77777777" w:rsidR="00C42CAC" w:rsidRPr="00A1262B" w:rsidRDefault="00C42CAC" w:rsidP="00977F08">
            <w:pPr>
              <w:spacing w:before="60" w:after="60"/>
              <w:rPr>
                <w:rFonts w:cs="Arial"/>
              </w:rPr>
            </w:pPr>
            <w:r w:rsidRPr="00A1262B">
              <w:rPr>
                <w:rFonts w:cs="Arial"/>
              </w:rPr>
              <w:t xml:space="preserve">Issue a Government Policy Statement on transmission pricing </w:t>
            </w:r>
          </w:p>
        </w:tc>
        <w:tc>
          <w:tcPr>
            <w:tcW w:w="3556" w:type="pct"/>
          </w:tcPr>
          <w:p w14:paraId="37EA44F2" w14:textId="77777777" w:rsidR="002E6255" w:rsidRDefault="002E6255" w:rsidP="002E6255">
            <w:pPr>
              <w:autoSpaceDE w:val="0"/>
              <w:autoSpaceDN w:val="0"/>
              <w:adjustRightInd w:val="0"/>
            </w:pPr>
            <w:r>
              <w:t xml:space="preserve">The Electricity </w:t>
            </w:r>
            <w:r w:rsidRPr="007A559B">
              <w:t xml:space="preserve">Authority </w:t>
            </w:r>
            <w:r>
              <w:t xml:space="preserve">began </w:t>
            </w:r>
            <w:r w:rsidRPr="007A559B">
              <w:t>consult</w:t>
            </w:r>
            <w:r>
              <w:t>ing</w:t>
            </w:r>
            <w:r w:rsidRPr="007A559B">
              <w:t xml:space="preserve"> on a new transmission pricing proposal </w:t>
            </w:r>
            <w:r>
              <w:t>in August</w:t>
            </w:r>
            <w:r w:rsidRPr="007A559B">
              <w:t xml:space="preserve">, with a view to making final decisions around April next year.  </w:t>
            </w:r>
          </w:p>
          <w:p w14:paraId="2D878019" w14:textId="220661FE" w:rsidR="00C42CAC" w:rsidRPr="00A1262B" w:rsidRDefault="002E6255" w:rsidP="00B912E5">
            <w:pPr>
              <w:autoSpaceDE w:val="0"/>
              <w:autoSpaceDN w:val="0"/>
              <w:adjustRightInd w:val="0"/>
              <w:spacing w:before="60" w:after="60"/>
            </w:pPr>
            <w:r>
              <w:t>The Government will wait for this process to run its course.  However</w:t>
            </w:r>
            <w:r w:rsidR="001F006F">
              <w:t>,</w:t>
            </w:r>
            <w:r>
              <w:t xml:space="preserve"> if it becomes apparent that further Government guidance in this area is warranted,</w:t>
            </w:r>
            <w:r w:rsidR="002629AE">
              <w:t xml:space="preserve"> the Minister of Energy and Resources</w:t>
            </w:r>
            <w:r>
              <w:t xml:space="preserve"> will </w:t>
            </w:r>
            <w:r w:rsidRPr="007A559B">
              <w:t>consult</w:t>
            </w:r>
            <w:r>
              <w:t xml:space="preserve"> with</w:t>
            </w:r>
            <w:r w:rsidRPr="007A559B">
              <w:t xml:space="preserve"> the Electricity Authority (as required by statute</w:t>
            </w:r>
            <w:r>
              <w:t xml:space="preserve">) on a draft </w:t>
            </w:r>
            <w:r w:rsidRPr="00EA0F49">
              <w:t>G</w:t>
            </w:r>
            <w:r>
              <w:t xml:space="preserve">PS, then report back to Cabinet for approval to issue the Statement.  </w:t>
            </w:r>
          </w:p>
        </w:tc>
      </w:tr>
      <w:tr w:rsidR="00C42CAC" w:rsidRPr="00A1262B" w14:paraId="1F9C1836" w14:textId="77777777" w:rsidTr="00282D9F">
        <w:tc>
          <w:tcPr>
            <w:tcW w:w="1444" w:type="pct"/>
            <w:tcBorders>
              <w:bottom w:val="single" w:sz="4" w:space="0" w:color="auto"/>
            </w:tcBorders>
          </w:tcPr>
          <w:p w14:paraId="2FAAE768" w14:textId="77777777" w:rsidR="00C42CAC" w:rsidRPr="00A1262B" w:rsidRDefault="00C42CAC" w:rsidP="00977F08">
            <w:pPr>
              <w:spacing w:before="60" w:after="60"/>
              <w:rPr>
                <w:rFonts w:cs="Arial"/>
              </w:rPr>
            </w:pPr>
            <w:r w:rsidRPr="00A1262B">
              <w:rPr>
                <w:rFonts w:cs="Arial"/>
              </w:rPr>
              <w:t xml:space="preserve">Issue a Government Policy Statement on distribution pricing </w:t>
            </w:r>
          </w:p>
        </w:tc>
        <w:tc>
          <w:tcPr>
            <w:tcW w:w="3556" w:type="pct"/>
            <w:tcBorders>
              <w:bottom w:val="single" w:sz="4" w:space="0" w:color="auto"/>
            </w:tcBorders>
          </w:tcPr>
          <w:p w14:paraId="4A7C5A2C" w14:textId="27A9AEE1" w:rsidR="00C42CAC" w:rsidRPr="00A1262B" w:rsidRDefault="00C42CAC" w:rsidP="00B912E5">
            <w:pPr>
              <w:autoSpaceDE w:val="0"/>
              <w:autoSpaceDN w:val="0"/>
              <w:adjustRightInd w:val="0"/>
              <w:spacing w:before="60" w:after="60"/>
            </w:pPr>
            <w:r w:rsidRPr="00A1262B">
              <w:t xml:space="preserve">The Electricity Authority is </w:t>
            </w:r>
            <w:r w:rsidR="00AC0E1A">
              <w:t xml:space="preserve">also </w:t>
            </w:r>
            <w:r w:rsidRPr="00A1262B">
              <w:t>working on reform of electricity distribution pricing</w:t>
            </w:r>
            <w:r w:rsidR="00B912E5">
              <w:t xml:space="preserve">, which </w:t>
            </w:r>
            <w:r w:rsidRPr="00A1262B">
              <w:t xml:space="preserve">has the potential to result in price shocks for some consumers.  </w:t>
            </w:r>
            <w:r w:rsidR="00AC0E1A">
              <w:t xml:space="preserve">As such, the Government </w:t>
            </w:r>
            <w:r>
              <w:t>propose</w:t>
            </w:r>
            <w:r w:rsidR="00AC0E1A">
              <w:t>s</w:t>
            </w:r>
            <w:r>
              <w:t xml:space="preserve"> to issue a distribution</w:t>
            </w:r>
            <w:r w:rsidRPr="00A1262B">
              <w:t xml:space="preserve"> GPS </w:t>
            </w:r>
            <w:r w:rsidR="00AC0E1A">
              <w:t>to provide guidance to the Electricity Authority in this area</w:t>
            </w:r>
            <w:r w:rsidRPr="00A1262B">
              <w:t xml:space="preserve">.  </w:t>
            </w:r>
            <w:r w:rsidR="00AC0E1A">
              <w:t xml:space="preserve">This </w:t>
            </w:r>
            <w:r w:rsidRPr="00A1262B">
              <w:t xml:space="preserve">will </w:t>
            </w:r>
            <w:r w:rsidR="00AC0E1A">
              <w:t xml:space="preserve">be </w:t>
            </w:r>
            <w:r w:rsidRPr="00A1262B">
              <w:t>combine</w:t>
            </w:r>
            <w:r w:rsidR="00AC0E1A">
              <w:t>d</w:t>
            </w:r>
            <w:r w:rsidRPr="00A1262B">
              <w:t xml:space="preserve"> with </w:t>
            </w:r>
            <w:r w:rsidR="00B912E5">
              <w:t xml:space="preserve">any </w:t>
            </w:r>
            <w:r w:rsidRPr="00A1262B">
              <w:t xml:space="preserve">GPS on transmission pricing.  </w:t>
            </w:r>
          </w:p>
        </w:tc>
      </w:tr>
      <w:tr w:rsidR="00C42CAC" w:rsidRPr="00A1262B" w14:paraId="5BEB374B" w14:textId="77777777" w:rsidTr="00282D9F">
        <w:tc>
          <w:tcPr>
            <w:tcW w:w="1444" w:type="pct"/>
            <w:shd w:val="clear" w:color="auto" w:fill="auto"/>
          </w:tcPr>
          <w:p w14:paraId="42599B5F" w14:textId="77777777" w:rsidR="00C42CAC" w:rsidRPr="00A1262B" w:rsidRDefault="00C42CAC" w:rsidP="00977F08">
            <w:pPr>
              <w:spacing w:before="60" w:after="60"/>
              <w:rPr>
                <w:rFonts w:cs="Arial"/>
              </w:rPr>
            </w:pPr>
            <w:r w:rsidRPr="00A1262B">
              <w:rPr>
                <w:rFonts w:cs="Arial"/>
              </w:rPr>
              <w:t>Ensure distributors have access to smart meter data on reasonable terms</w:t>
            </w:r>
          </w:p>
        </w:tc>
        <w:tc>
          <w:tcPr>
            <w:tcW w:w="3556" w:type="pct"/>
            <w:shd w:val="clear" w:color="auto" w:fill="auto"/>
          </w:tcPr>
          <w:p w14:paraId="02AA577E" w14:textId="33A6AD94" w:rsidR="00C42CAC" w:rsidRPr="00A1262B" w:rsidRDefault="00C42CAC" w:rsidP="00B912E5">
            <w:pPr>
              <w:spacing w:before="60" w:after="60"/>
            </w:pPr>
            <w:r w:rsidRPr="00A1262B">
              <w:t xml:space="preserve">Having access to metering data will allow improved management of distribution networks.  The Electricity Authority has already begun work to address this issue.  The Government will </w:t>
            </w:r>
            <w:r w:rsidR="00B912E5">
              <w:t xml:space="preserve">ask </w:t>
            </w:r>
            <w:r w:rsidRPr="00A1262B">
              <w:t xml:space="preserve">the Electricity Authority to </w:t>
            </w:r>
            <w:r>
              <w:t>expedite</w:t>
            </w:r>
            <w:r w:rsidRPr="00A1262B">
              <w:t xml:space="preserve"> its work and ensure distributors have access to metering data.  </w:t>
            </w:r>
          </w:p>
        </w:tc>
      </w:tr>
      <w:tr w:rsidR="00C42CAC" w:rsidRPr="00A1262B" w14:paraId="5DAF1835" w14:textId="77777777" w:rsidTr="00282D9F">
        <w:tc>
          <w:tcPr>
            <w:tcW w:w="1444" w:type="pct"/>
          </w:tcPr>
          <w:p w14:paraId="69B50CC4" w14:textId="77777777" w:rsidR="00C42CAC" w:rsidRPr="00A1262B" w:rsidRDefault="00C42CAC" w:rsidP="00977F08">
            <w:pPr>
              <w:spacing w:before="60" w:after="60"/>
              <w:rPr>
                <w:rFonts w:cs="Arial"/>
              </w:rPr>
            </w:pPr>
            <w:r w:rsidRPr="00A1262B">
              <w:rPr>
                <w:rFonts w:cs="Arial"/>
              </w:rPr>
              <w:t>Give the Commerce Commission more powers to regulate distributors</w:t>
            </w:r>
          </w:p>
        </w:tc>
        <w:tc>
          <w:tcPr>
            <w:tcW w:w="3556" w:type="pct"/>
          </w:tcPr>
          <w:p w14:paraId="61B7A7D9" w14:textId="77777777" w:rsidR="00C42CAC" w:rsidRPr="00A1262B" w:rsidRDefault="00C42CAC" w:rsidP="00977F08">
            <w:pPr>
              <w:autoSpaceDE w:val="0"/>
              <w:autoSpaceDN w:val="0"/>
              <w:adjustRightInd w:val="0"/>
              <w:spacing w:before="60" w:after="60"/>
            </w:pPr>
            <w:r w:rsidRPr="00A1262B">
              <w:t xml:space="preserve">The Commerce Commission needs the right tools to regulate and ensure the electricity distribution sector operates efficiently. The Government has asked officials to work through the various issues and report back in mid-2020 on options for improving the Commission’s regulatory tools. </w:t>
            </w:r>
          </w:p>
        </w:tc>
      </w:tr>
      <w:tr w:rsidR="00C42CAC" w:rsidRPr="00A1262B" w14:paraId="43175FB6" w14:textId="77777777" w:rsidTr="00282D9F">
        <w:tc>
          <w:tcPr>
            <w:tcW w:w="5000" w:type="pct"/>
            <w:gridSpan w:val="2"/>
            <w:tcBorders>
              <w:bottom w:val="single" w:sz="4" w:space="0" w:color="auto"/>
            </w:tcBorders>
            <w:shd w:val="clear" w:color="auto" w:fill="DBE5F1" w:themeFill="accent1" w:themeFillTint="33"/>
          </w:tcPr>
          <w:p w14:paraId="21408412" w14:textId="77777777" w:rsidR="00C42CAC" w:rsidRPr="00A1262B" w:rsidRDefault="00C42CAC" w:rsidP="00977F08">
            <w:pPr>
              <w:spacing w:before="60" w:after="60"/>
              <w:rPr>
                <w:rFonts w:cs="Arial"/>
                <w:b/>
              </w:rPr>
            </w:pPr>
            <w:r w:rsidRPr="00A1262B">
              <w:rPr>
                <w:rFonts w:cs="Arial"/>
                <w:b/>
              </w:rPr>
              <w:t>Improving the regulatory system</w:t>
            </w:r>
          </w:p>
        </w:tc>
      </w:tr>
      <w:tr w:rsidR="00C42CAC" w:rsidRPr="00A1262B" w14:paraId="65DF37E0" w14:textId="77777777" w:rsidTr="00282D9F">
        <w:trPr>
          <w:trHeight w:val="507"/>
        </w:trPr>
        <w:tc>
          <w:tcPr>
            <w:tcW w:w="1444" w:type="pct"/>
            <w:tcBorders>
              <w:bottom w:val="single" w:sz="4" w:space="0" w:color="auto"/>
            </w:tcBorders>
          </w:tcPr>
          <w:p w14:paraId="72BF934B" w14:textId="77777777" w:rsidR="00C42CAC" w:rsidRPr="00A1262B" w:rsidRDefault="00C42CAC" w:rsidP="00977F08">
            <w:pPr>
              <w:spacing w:before="60" w:after="60"/>
              <w:rPr>
                <w:rFonts w:cs="Arial"/>
              </w:rPr>
            </w:pPr>
            <w:r w:rsidRPr="00A1262B">
              <w:rPr>
                <w:rFonts w:cs="Arial"/>
              </w:rPr>
              <w:t>Give the Electricity Authority more powers to regulate network access</w:t>
            </w:r>
          </w:p>
          <w:p w14:paraId="3A829DB5" w14:textId="77777777" w:rsidR="00C42CAC" w:rsidRPr="00A1262B" w:rsidRDefault="00C42CAC" w:rsidP="00977F08">
            <w:pPr>
              <w:spacing w:before="60" w:after="60"/>
              <w:rPr>
                <w:rFonts w:cs="Arial"/>
              </w:rPr>
            </w:pPr>
          </w:p>
        </w:tc>
        <w:tc>
          <w:tcPr>
            <w:tcW w:w="3556" w:type="pct"/>
          </w:tcPr>
          <w:p w14:paraId="3FE8ED2A" w14:textId="3E223E5F" w:rsidR="00C42CAC" w:rsidRPr="00A1262B" w:rsidRDefault="00C42CAC" w:rsidP="00977F08">
            <w:pPr>
              <w:spacing w:before="60" w:after="60"/>
            </w:pPr>
            <w:r w:rsidRPr="00A1262B">
              <w:t>An emerging issue is electricity distributors offering services in emerging markets.  However</w:t>
            </w:r>
            <w:r>
              <w:t>,</w:t>
            </w:r>
            <w:r w:rsidRPr="00A1262B">
              <w:t xml:space="preserve"> this might discourage or supress competition from other parties due to a distributor’s monopoly position as the </w:t>
            </w:r>
            <w:r w:rsidR="00157C2B">
              <w:t>owner/</w:t>
            </w:r>
            <w:r w:rsidRPr="00A1262B">
              <w:t xml:space="preserve">operator of the distribution lines.  </w:t>
            </w:r>
            <w:r>
              <w:t>The Government has tasked officials to come back</w:t>
            </w:r>
            <w:r w:rsidRPr="00A1262B">
              <w:t xml:space="preserve"> with specific proposals to amend legislation in response to this recommendation.  </w:t>
            </w:r>
          </w:p>
        </w:tc>
      </w:tr>
      <w:tr w:rsidR="00C42CAC" w:rsidRPr="00A1262B" w14:paraId="1F0C3C7C" w14:textId="77777777" w:rsidTr="00282D9F">
        <w:trPr>
          <w:trHeight w:val="559"/>
        </w:trPr>
        <w:tc>
          <w:tcPr>
            <w:tcW w:w="1444" w:type="pct"/>
            <w:tcBorders>
              <w:bottom w:val="single" w:sz="4" w:space="0" w:color="auto"/>
            </w:tcBorders>
          </w:tcPr>
          <w:p w14:paraId="3F6F817D" w14:textId="77777777" w:rsidR="00C42CAC" w:rsidRPr="00A1262B" w:rsidRDefault="00C42CAC" w:rsidP="00977F08">
            <w:pPr>
              <w:spacing w:before="60" w:after="60"/>
              <w:rPr>
                <w:rFonts w:cs="Arial"/>
              </w:rPr>
            </w:pPr>
            <w:r w:rsidRPr="00A1262B">
              <w:rPr>
                <w:rFonts w:cs="Arial"/>
              </w:rPr>
              <w:t>Give the Electricity Authority an explicit customer protection function</w:t>
            </w:r>
          </w:p>
          <w:p w14:paraId="33C76E94" w14:textId="77777777" w:rsidR="00C42CAC" w:rsidRPr="00A1262B" w:rsidRDefault="00C42CAC" w:rsidP="00977F08">
            <w:pPr>
              <w:spacing w:before="60" w:after="60"/>
              <w:rPr>
                <w:rFonts w:cs="Arial"/>
              </w:rPr>
            </w:pPr>
          </w:p>
        </w:tc>
        <w:tc>
          <w:tcPr>
            <w:tcW w:w="3556" w:type="pct"/>
          </w:tcPr>
          <w:p w14:paraId="04E9F943" w14:textId="0F645F2E" w:rsidR="00C42CAC" w:rsidRPr="00A1262B" w:rsidRDefault="00C42CAC" w:rsidP="002629AE">
            <w:pPr>
              <w:spacing w:before="60" w:after="60"/>
            </w:pPr>
            <w:r w:rsidRPr="00A1262B">
              <w:t xml:space="preserve">The Electricity Authority administers industry guidelines for vulnerable and medically dependent consumers, but </w:t>
            </w:r>
            <w:r w:rsidR="002E6255">
              <w:t>it needs specific powers to</w:t>
            </w:r>
            <w:r w:rsidR="00E95281">
              <w:t xml:space="preserve"> better</w:t>
            </w:r>
            <w:r w:rsidR="002E6255">
              <w:t xml:space="preserve"> protect consumers.</w:t>
            </w:r>
            <w:r w:rsidR="00157C2B">
              <w:t xml:space="preserve"> </w:t>
            </w:r>
            <w:r>
              <w:t xml:space="preserve"> </w:t>
            </w:r>
            <w:r w:rsidR="002629AE">
              <w:t xml:space="preserve">The Minister of Energy and </w:t>
            </w:r>
            <w:r w:rsidR="002629AE">
              <w:lastRenderedPageBreak/>
              <w:t xml:space="preserve">Resources </w:t>
            </w:r>
            <w:r w:rsidR="002E6255">
              <w:t xml:space="preserve">will </w:t>
            </w:r>
            <w:r w:rsidR="002E6255" w:rsidRPr="00217E96">
              <w:t xml:space="preserve">report back to Cabinet with specific proposals to amend </w:t>
            </w:r>
            <w:r w:rsidR="002E6255">
              <w:t xml:space="preserve">legislation </w:t>
            </w:r>
            <w:r w:rsidR="002E6255" w:rsidRPr="00217E96">
              <w:t>to give the Electricity Authority a consumer protection function</w:t>
            </w:r>
            <w:r w:rsidR="002E6255">
              <w:t xml:space="preserve">.  </w:t>
            </w:r>
          </w:p>
        </w:tc>
      </w:tr>
      <w:tr w:rsidR="00C42CAC" w:rsidRPr="00A1262B" w14:paraId="136868EE" w14:textId="77777777" w:rsidTr="00282D9F">
        <w:trPr>
          <w:trHeight w:val="553"/>
        </w:trPr>
        <w:tc>
          <w:tcPr>
            <w:tcW w:w="1444" w:type="pct"/>
            <w:tcBorders>
              <w:bottom w:val="single" w:sz="4" w:space="0" w:color="auto"/>
            </w:tcBorders>
          </w:tcPr>
          <w:p w14:paraId="33791CEA" w14:textId="77777777" w:rsidR="00C42CAC" w:rsidRPr="00A1262B" w:rsidRDefault="00C42CAC" w:rsidP="00977F08">
            <w:pPr>
              <w:spacing w:before="60" w:after="60"/>
              <w:rPr>
                <w:rFonts w:cs="Arial"/>
              </w:rPr>
            </w:pPr>
            <w:r w:rsidRPr="00A1262B">
              <w:rPr>
                <w:rFonts w:cs="Arial"/>
              </w:rPr>
              <w:lastRenderedPageBreak/>
              <w:t>Update the Electricity Authority’s compliance framework and strengthen its information-gathering powers</w:t>
            </w:r>
          </w:p>
          <w:p w14:paraId="48571BDE" w14:textId="77777777" w:rsidR="00C42CAC" w:rsidRPr="00A1262B" w:rsidRDefault="00C42CAC" w:rsidP="00977F08">
            <w:pPr>
              <w:spacing w:before="60" w:after="60"/>
              <w:rPr>
                <w:rFonts w:cs="Arial"/>
              </w:rPr>
            </w:pPr>
          </w:p>
        </w:tc>
        <w:tc>
          <w:tcPr>
            <w:tcW w:w="3556" w:type="pct"/>
            <w:tcBorders>
              <w:bottom w:val="single" w:sz="4" w:space="0" w:color="auto"/>
            </w:tcBorders>
          </w:tcPr>
          <w:p w14:paraId="50D4EBD7" w14:textId="1C5DD751" w:rsidR="00C42CAC" w:rsidRPr="00A1262B" w:rsidRDefault="00C42CAC" w:rsidP="00B912E5">
            <w:pPr>
              <w:spacing w:before="60" w:after="60"/>
            </w:pPr>
            <w:r w:rsidRPr="00A1262B">
              <w:t xml:space="preserve">The Review found that the Electricity Authority’s compliance framework lacks the ability to respond proportionately to complaints and code infringements, and is bound by overly prescriptive procedures.  Its information gathering powers also need reviewing.  This recommendation will be </w:t>
            </w:r>
            <w:r w:rsidR="00B912E5">
              <w:t xml:space="preserve">considered </w:t>
            </w:r>
            <w:r w:rsidRPr="00A1262B">
              <w:t xml:space="preserve">as part of a broader review of institutional arrangements for energy policy and regulation.  </w:t>
            </w:r>
          </w:p>
        </w:tc>
      </w:tr>
      <w:tr w:rsidR="00C42CAC" w:rsidRPr="00A1262B" w14:paraId="000FDDCA" w14:textId="77777777" w:rsidTr="00282D9F">
        <w:trPr>
          <w:trHeight w:val="561"/>
        </w:trPr>
        <w:tc>
          <w:tcPr>
            <w:tcW w:w="1444" w:type="pct"/>
            <w:tcBorders>
              <w:bottom w:val="single" w:sz="4" w:space="0" w:color="auto"/>
            </w:tcBorders>
            <w:shd w:val="clear" w:color="auto" w:fill="auto"/>
          </w:tcPr>
          <w:p w14:paraId="278E336D" w14:textId="77777777" w:rsidR="00C42CAC" w:rsidRPr="00A1262B" w:rsidRDefault="00C42CAC" w:rsidP="00977F08">
            <w:pPr>
              <w:spacing w:before="60" w:after="60"/>
              <w:rPr>
                <w:rFonts w:cs="Arial"/>
              </w:rPr>
            </w:pPr>
            <w:r w:rsidRPr="00A1262B">
              <w:rPr>
                <w:rFonts w:cs="Arial"/>
              </w:rPr>
              <w:t>Phase out low fixed charge tariff regulations</w:t>
            </w:r>
          </w:p>
          <w:p w14:paraId="1557A295" w14:textId="77777777" w:rsidR="00C42CAC" w:rsidRPr="00A1262B" w:rsidRDefault="00C42CAC" w:rsidP="00977F08">
            <w:pPr>
              <w:spacing w:before="60" w:after="60"/>
              <w:rPr>
                <w:rFonts w:cs="Arial"/>
              </w:rPr>
            </w:pPr>
          </w:p>
        </w:tc>
        <w:tc>
          <w:tcPr>
            <w:tcW w:w="3556" w:type="pct"/>
            <w:shd w:val="clear" w:color="auto" w:fill="auto"/>
          </w:tcPr>
          <w:p w14:paraId="5E04FAA1" w14:textId="6B0BBD77" w:rsidR="00C42CAC" w:rsidRPr="00A1262B" w:rsidRDefault="00C42CAC" w:rsidP="00C11473">
            <w:pPr>
              <w:spacing w:before="60" w:after="60"/>
            </w:pPr>
            <w:r w:rsidRPr="00A1262B">
              <w:t xml:space="preserve">The Review found a number of shortcomings in the low fixed charge regulations. </w:t>
            </w:r>
            <w:r w:rsidR="0059064F">
              <w:t xml:space="preserve"> These include being poorly targeted, producing a cross subsidy potentially making some households in energy hardship worse off, and potentially hampering distribution price reform that </w:t>
            </w:r>
            <w:r w:rsidR="00C11473">
              <w:t xml:space="preserve">will </w:t>
            </w:r>
            <w:r w:rsidR="0059064F">
              <w:t xml:space="preserve">support the adoption of new technologies </w:t>
            </w:r>
            <w:r w:rsidR="00C11473">
              <w:t xml:space="preserve">that is </w:t>
            </w:r>
            <w:r w:rsidR="0059064F">
              <w:t xml:space="preserve">needed for decarbonisation.  </w:t>
            </w:r>
            <w:r>
              <w:t xml:space="preserve">The Government has tasked officials to </w:t>
            </w:r>
            <w:r w:rsidRPr="00A1262B">
              <w:t xml:space="preserve">develop specific proposals to phase-out the regulations.  </w:t>
            </w:r>
          </w:p>
        </w:tc>
      </w:tr>
      <w:tr w:rsidR="00C42CAC" w:rsidRPr="00A1262B" w14:paraId="00D85F5B" w14:textId="77777777" w:rsidTr="00282D9F">
        <w:tc>
          <w:tcPr>
            <w:tcW w:w="5000" w:type="pct"/>
            <w:gridSpan w:val="2"/>
            <w:tcBorders>
              <w:bottom w:val="single" w:sz="4" w:space="0" w:color="auto"/>
            </w:tcBorders>
            <w:shd w:val="clear" w:color="auto" w:fill="DBE5F1" w:themeFill="accent1" w:themeFillTint="33"/>
          </w:tcPr>
          <w:p w14:paraId="7BBC460D" w14:textId="77777777" w:rsidR="00C42CAC" w:rsidRPr="00A1262B" w:rsidRDefault="00C42CAC" w:rsidP="00977F08">
            <w:pPr>
              <w:spacing w:before="60" w:after="60"/>
              <w:rPr>
                <w:rFonts w:cs="Arial"/>
                <w:b/>
              </w:rPr>
            </w:pPr>
            <w:r w:rsidRPr="00A1262B">
              <w:rPr>
                <w:rFonts w:cs="Arial"/>
                <w:b/>
              </w:rPr>
              <w:t>Preparing for a low-carbon future</w:t>
            </w:r>
          </w:p>
        </w:tc>
      </w:tr>
      <w:tr w:rsidR="00C42CAC" w:rsidRPr="00A1262B" w14:paraId="0D618975" w14:textId="77777777" w:rsidTr="00282D9F">
        <w:tc>
          <w:tcPr>
            <w:tcW w:w="1444" w:type="pct"/>
          </w:tcPr>
          <w:p w14:paraId="07CEE647" w14:textId="77777777" w:rsidR="00C42CAC" w:rsidRPr="00A1262B" w:rsidRDefault="00C42CAC" w:rsidP="00977F08">
            <w:pPr>
              <w:spacing w:before="60" w:after="60"/>
              <w:rPr>
                <w:rFonts w:cs="Arial"/>
              </w:rPr>
            </w:pPr>
            <w:r w:rsidRPr="00A1262B">
              <w:rPr>
                <w:rFonts w:cs="Arial"/>
              </w:rPr>
              <w:t>Encourage more energy sector innovation</w:t>
            </w:r>
          </w:p>
          <w:p w14:paraId="2764D875" w14:textId="77777777" w:rsidR="00C42CAC" w:rsidRPr="00A1262B" w:rsidRDefault="00C42CAC" w:rsidP="00977F08">
            <w:pPr>
              <w:spacing w:before="60" w:after="60"/>
              <w:rPr>
                <w:rFonts w:cs="Arial"/>
              </w:rPr>
            </w:pPr>
          </w:p>
        </w:tc>
        <w:tc>
          <w:tcPr>
            <w:tcW w:w="3556" w:type="pct"/>
          </w:tcPr>
          <w:p w14:paraId="62D0DB5A" w14:textId="77777777" w:rsidR="00C42CAC" w:rsidRPr="00A1262B" w:rsidRDefault="00C42CAC" w:rsidP="00977F08">
            <w:pPr>
              <w:spacing w:before="60" w:after="60"/>
            </w:pPr>
            <w:r w:rsidRPr="00A1262B">
              <w:t xml:space="preserve">Ministers responsible for Electricity Authority, Commerce Commission, Callaghan Innovation, Endeavour Fund, New Zealand Venture Investment Fund, Strategic Science Investment Fund and Innovation Partnership programmes will encourage their agencies to facilitate more innovation in the energy sector, particularly new technologies and alternative business models that support a low-carbon future.  </w:t>
            </w:r>
          </w:p>
          <w:p w14:paraId="017C01E6" w14:textId="414EB87C" w:rsidR="00C42CAC" w:rsidRPr="00A1262B" w:rsidRDefault="00C42CAC" w:rsidP="00543D68">
            <w:pPr>
              <w:spacing w:before="60" w:after="60"/>
            </w:pPr>
            <w:r>
              <w:t>Following consultation,</w:t>
            </w:r>
            <w:r w:rsidRPr="00A1262B">
              <w:t xml:space="preserve"> a GPS </w:t>
            </w:r>
            <w:r>
              <w:t xml:space="preserve">will be </w:t>
            </w:r>
            <w:r w:rsidRPr="00A1262B">
              <w:t xml:space="preserve">issued to the Electricity Authority and the Commerce Commission </w:t>
            </w:r>
            <w:r w:rsidR="003057AF">
              <w:t xml:space="preserve">to </w:t>
            </w:r>
            <w:r w:rsidR="00543D68">
              <w:t xml:space="preserve">have regard to the Government’s objectives for more </w:t>
            </w:r>
            <w:r w:rsidRPr="00A1262B">
              <w:t xml:space="preserve">energy sector innovation. </w:t>
            </w:r>
          </w:p>
        </w:tc>
      </w:tr>
      <w:tr w:rsidR="00C42CAC" w:rsidRPr="00A1262B" w14:paraId="0A5653CC" w14:textId="77777777" w:rsidTr="00282D9F">
        <w:tc>
          <w:tcPr>
            <w:tcW w:w="1444" w:type="pct"/>
          </w:tcPr>
          <w:p w14:paraId="71E30A1F" w14:textId="77777777" w:rsidR="00C42CAC" w:rsidRPr="00A1262B" w:rsidRDefault="00C42CAC" w:rsidP="00977F08">
            <w:pPr>
              <w:spacing w:before="60" w:after="60"/>
              <w:rPr>
                <w:rFonts w:cs="Arial"/>
              </w:rPr>
            </w:pPr>
            <w:r w:rsidRPr="00A1262B">
              <w:rPr>
                <w:rFonts w:cs="Arial"/>
              </w:rPr>
              <w:t>Examine the security and resilience of electricity supply</w:t>
            </w:r>
          </w:p>
        </w:tc>
        <w:tc>
          <w:tcPr>
            <w:tcW w:w="3556" w:type="pct"/>
          </w:tcPr>
          <w:p w14:paraId="2E082A95" w14:textId="77777777" w:rsidR="00C42CAC" w:rsidRPr="00A1262B" w:rsidRDefault="00C42CAC" w:rsidP="00977F08">
            <w:pPr>
              <w:spacing w:before="60" w:after="60"/>
            </w:pPr>
            <w:r>
              <w:t>The Government</w:t>
            </w:r>
            <w:r w:rsidRPr="00A1262B">
              <w:t xml:space="preserve"> will write to the Electricity Authority and request it commence work on this recommendation within the next 12 months, and report back on progress within 18 months.  </w:t>
            </w:r>
          </w:p>
        </w:tc>
      </w:tr>
      <w:tr w:rsidR="00C42CAC" w:rsidRPr="00A1262B" w14:paraId="56B62D6C" w14:textId="77777777" w:rsidTr="00282D9F">
        <w:tc>
          <w:tcPr>
            <w:tcW w:w="1444" w:type="pct"/>
            <w:tcBorders>
              <w:bottom w:val="single" w:sz="4" w:space="0" w:color="auto"/>
            </w:tcBorders>
          </w:tcPr>
          <w:p w14:paraId="2CD97F65" w14:textId="77777777" w:rsidR="00C42CAC" w:rsidRPr="00A1262B" w:rsidRDefault="00C42CAC" w:rsidP="00977F08">
            <w:pPr>
              <w:spacing w:before="60" w:after="60"/>
              <w:rPr>
                <w:rFonts w:cs="Arial"/>
              </w:rPr>
            </w:pPr>
            <w:r w:rsidRPr="00A1262B">
              <w:rPr>
                <w:rFonts w:cs="Arial"/>
              </w:rPr>
              <w:t>Explore new institutional arrangements for energy policy and regulation</w:t>
            </w:r>
          </w:p>
          <w:p w14:paraId="2EF907B4" w14:textId="77777777" w:rsidR="00C42CAC" w:rsidRPr="00A1262B" w:rsidRDefault="00C42CAC" w:rsidP="00977F08">
            <w:pPr>
              <w:spacing w:before="60" w:after="60"/>
              <w:rPr>
                <w:rFonts w:cs="Arial"/>
              </w:rPr>
            </w:pPr>
          </w:p>
        </w:tc>
        <w:tc>
          <w:tcPr>
            <w:tcW w:w="3556" w:type="pct"/>
            <w:tcBorders>
              <w:bottom w:val="single" w:sz="4" w:space="0" w:color="auto"/>
            </w:tcBorders>
          </w:tcPr>
          <w:p w14:paraId="22A95F35" w14:textId="6ADBACA7" w:rsidR="00C42CAC" w:rsidRPr="00A1262B" w:rsidRDefault="00C42CAC">
            <w:pPr>
              <w:spacing w:before="60" w:after="60"/>
            </w:pPr>
            <w:r w:rsidRPr="00A1262B">
              <w:t xml:space="preserve">The Government </w:t>
            </w:r>
            <w:r w:rsidR="005A0CA4">
              <w:t>welcomes this proposal</w:t>
            </w:r>
            <w:r w:rsidRPr="00A1262B">
              <w:t xml:space="preserve">.  </w:t>
            </w:r>
            <w:r w:rsidR="005A0CA4">
              <w:t xml:space="preserve">It has </w:t>
            </w:r>
            <w:r>
              <w:t xml:space="preserve">tasked official to develop </w:t>
            </w:r>
            <w:r w:rsidRPr="00A1262B">
              <w:t xml:space="preserve">further detail on the scope and timeframe of this review.  The objectives will include ensuring the sector can accelerate investment in renewables, reduce emissions and maximise the consumer benefits from new technologies, all while ensuring consumers have affordable and reliable power.   The review will also take into account the importance of maintaining investor confidence, which is critical to ensuring investment in renewable generation and to promote supply security and affordability.  </w:t>
            </w:r>
          </w:p>
        </w:tc>
      </w:tr>
      <w:tr w:rsidR="00C42CAC" w:rsidRPr="00A1262B" w14:paraId="09A6EB6A" w14:textId="77777777" w:rsidTr="00282D9F">
        <w:tc>
          <w:tcPr>
            <w:tcW w:w="1444" w:type="pct"/>
            <w:tcBorders>
              <w:bottom w:val="single" w:sz="4" w:space="0" w:color="auto"/>
            </w:tcBorders>
            <w:shd w:val="clear" w:color="auto" w:fill="auto"/>
          </w:tcPr>
          <w:p w14:paraId="25F978C7" w14:textId="77777777" w:rsidR="00C42CAC" w:rsidRPr="00A1262B" w:rsidRDefault="00C42CAC" w:rsidP="00977F08">
            <w:pPr>
              <w:spacing w:before="60" w:after="60"/>
              <w:rPr>
                <w:rFonts w:cs="Arial"/>
              </w:rPr>
            </w:pPr>
            <w:r w:rsidRPr="00A1262B">
              <w:rPr>
                <w:rFonts w:cs="Arial"/>
              </w:rPr>
              <w:lastRenderedPageBreak/>
              <w:t>Improve building energy efficiency</w:t>
            </w:r>
          </w:p>
          <w:p w14:paraId="6E9B3D63" w14:textId="77777777" w:rsidR="00C42CAC" w:rsidRPr="00A1262B" w:rsidRDefault="00C42CAC" w:rsidP="00977F08">
            <w:pPr>
              <w:spacing w:before="60" w:after="60"/>
              <w:rPr>
                <w:rFonts w:cs="Arial"/>
              </w:rPr>
            </w:pPr>
          </w:p>
        </w:tc>
        <w:tc>
          <w:tcPr>
            <w:tcW w:w="3556" w:type="pct"/>
            <w:shd w:val="clear" w:color="auto" w:fill="auto"/>
          </w:tcPr>
          <w:p w14:paraId="1F75ECCC" w14:textId="77777777" w:rsidR="002E6255" w:rsidRDefault="002E6255" w:rsidP="002E6255">
            <w:pPr>
              <w:spacing w:before="60" w:after="60"/>
            </w:pPr>
            <w:r>
              <w:t xml:space="preserve">The </w:t>
            </w:r>
            <w:r w:rsidRPr="008919D0">
              <w:t xml:space="preserve">Government </w:t>
            </w:r>
            <w:r>
              <w:t xml:space="preserve">welcomes this recommendation.   </w:t>
            </w:r>
            <w:r w:rsidRPr="005A6AE4">
              <w:t xml:space="preserve">The Building Code can set minimum standards for new buildings and is a key lever for improving energy efficiency.  Current work </w:t>
            </w:r>
            <w:r>
              <w:t xml:space="preserve">being undertaken by MBIE </w:t>
            </w:r>
            <w:r w:rsidRPr="005A6AE4">
              <w:t>on maintaining and updating the Building Code may contribute to energy efficiency for specific building types.</w:t>
            </w:r>
            <w:r>
              <w:t xml:space="preserve"> </w:t>
            </w:r>
            <w:r w:rsidRPr="005A6AE4">
              <w:t xml:space="preserve"> </w:t>
            </w:r>
          </w:p>
          <w:p w14:paraId="548EE9A9" w14:textId="18A41CFD" w:rsidR="00C42CAC" w:rsidRPr="00A1262B" w:rsidRDefault="002E6255" w:rsidP="002E6255">
            <w:pPr>
              <w:spacing w:before="60" w:after="60"/>
            </w:pPr>
            <w:r w:rsidRPr="005A6AE4">
              <w:t>Energy efficiency is also being considered as part of a work programme seeking to advise the Minister for Building and Construction on how the building regulatory system could support the government’s climate change goals</w:t>
            </w:r>
            <w:r>
              <w:t xml:space="preserve">.  </w:t>
            </w:r>
          </w:p>
        </w:tc>
      </w:tr>
    </w:tbl>
    <w:p w14:paraId="6D236B2F" w14:textId="77777777" w:rsidR="00282D9F" w:rsidRDefault="00282D9F" w:rsidP="00835F1F">
      <w:pPr>
        <w:spacing w:before="60" w:after="60" w:line="240" w:lineRule="auto"/>
        <w:rPr>
          <w:b/>
        </w:rPr>
      </w:pPr>
    </w:p>
    <w:p w14:paraId="53E5633A" w14:textId="11971C40" w:rsidR="00E00014" w:rsidRPr="00F9534F" w:rsidRDefault="00E00014" w:rsidP="00835F1F">
      <w:pPr>
        <w:spacing w:before="60" w:after="60" w:line="240" w:lineRule="auto"/>
        <w:rPr>
          <w:b/>
        </w:rPr>
      </w:pPr>
      <w:r w:rsidRPr="00F9534F">
        <w:rPr>
          <w:b/>
        </w:rPr>
        <w:t xml:space="preserve">Ensuring implementation of specified recommendations </w:t>
      </w:r>
    </w:p>
    <w:p w14:paraId="258A1AF1" w14:textId="1368214E" w:rsidR="00C569AE" w:rsidRDefault="00835F1F" w:rsidP="00835F1F">
      <w:pPr>
        <w:spacing w:before="60" w:after="60" w:line="240" w:lineRule="auto"/>
      </w:pPr>
      <w:r w:rsidRPr="00E359D7">
        <w:t xml:space="preserve">Many of the recommendations for immediate action fall to the Electricity Authority to address.  </w:t>
      </w:r>
      <w:r>
        <w:t xml:space="preserve">The </w:t>
      </w:r>
      <w:r w:rsidRPr="00E359D7">
        <w:t>Electricity Authority is an independent agency which</w:t>
      </w:r>
      <w:r w:rsidR="005A0CA4">
        <w:t xml:space="preserve"> the Government </w:t>
      </w:r>
      <w:r w:rsidRPr="00E359D7">
        <w:t xml:space="preserve">cannot direct to regulate in specific ways.  While </w:t>
      </w:r>
      <w:r w:rsidR="005A0CA4">
        <w:t xml:space="preserve">the Government is </w:t>
      </w:r>
      <w:r w:rsidRPr="00E359D7">
        <w:t>confident the Electricity Authority will give due consideration to the Review’s recommendations</w:t>
      </w:r>
      <w:r w:rsidR="00F9534F">
        <w:t xml:space="preserve"> that the Government accepts</w:t>
      </w:r>
      <w:r w:rsidRPr="00E359D7">
        <w:t xml:space="preserve">, </w:t>
      </w:r>
      <w:r w:rsidR="005A0CA4">
        <w:t xml:space="preserve">we </w:t>
      </w:r>
      <w:r w:rsidRPr="00E359D7">
        <w:t xml:space="preserve">consider it </w:t>
      </w:r>
      <w:r w:rsidR="005A0CA4">
        <w:t xml:space="preserve">is </w:t>
      </w:r>
      <w:r w:rsidRPr="00E359D7">
        <w:t xml:space="preserve">prudent to create, through legislation, a backstop power that will enable </w:t>
      </w:r>
      <w:r>
        <w:t xml:space="preserve">the </w:t>
      </w:r>
      <w:r w:rsidRPr="00E359D7">
        <w:t xml:space="preserve">Minister of Energy and Resources to give effect to the recommendations if the Electricity Authority does not do so to the Government’s satisfaction within a specified timeframe. </w:t>
      </w:r>
      <w:r w:rsidR="00F9534F">
        <w:t xml:space="preserve"> There is </w:t>
      </w:r>
      <w:r w:rsidR="00620439">
        <w:t>precedence</w:t>
      </w:r>
      <w:r w:rsidR="00F9534F">
        <w:t xml:space="preserve"> for this in the form of a </w:t>
      </w:r>
      <w:r w:rsidRPr="00E359D7">
        <w:t>mechanism previously used in the Electricity Industry Act</w:t>
      </w:r>
      <w:r w:rsidR="00F9534F">
        <w:t xml:space="preserve"> 2010</w:t>
      </w:r>
      <w:r w:rsidRPr="00E359D7">
        <w:t xml:space="preserve">. </w:t>
      </w:r>
    </w:p>
    <w:p w14:paraId="7C92A0BA" w14:textId="77777777" w:rsidR="00C569AE" w:rsidRDefault="00C569AE" w:rsidP="00835F1F">
      <w:pPr>
        <w:spacing w:before="60" w:after="60" w:line="240" w:lineRule="auto"/>
      </w:pPr>
    </w:p>
    <w:sectPr w:rsidR="00C569AE" w:rsidSect="008416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37453" w14:textId="77777777" w:rsidR="00CB172B" w:rsidRDefault="00CB172B" w:rsidP="00665033">
      <w:pPr>
        <w:spacing w:after="0" w:line="240" w:lineRule="auto"/>
      </w:pPr>
      <w:r>
        <w:separator/>
      </w:r>
    </w:p>
  </w:endnote>
  <w:endnote w:type="continuationSeparator" w:id="0">
    <w:p w14:paraId="2FBD79CD" w14:textId="77777777" w:rsidR="00CB172B" w:rsidRDefault="00CB172B" w:rsidP="0066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E4578" w14:textId="77777777" w:rsidR="00CB172B" w:rsidRDefault="00CB172B" w:rsidP="00665033">
      <w:pPr>
        <w:spacing w:after="0" w:line="240" w:lineRule="auto"/>
      </w:pPr>
      <w:r>
        <w:separator/>
      </w:r>
    </w:p>
  </w:footnote>
  <w:footnote w:type="continuationSeparator" w:id="0">
    <w:p w14:paraId="1F1F817B" w14:textId="77777777" w:rsidR="00CB172B" w:rsidRDefault="00CB172B" w:rsidP="0066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B7C"/>
    <w:multiLevelType w:val="multilevel"/>
    <w:tmpl w:val="3E9EA1F2"/>
    <w:lvl w:ilvl="0">
      <w:start w:val="1"/>
      <w:numFmt w:val="decimal"/>
      <w:pStyle w:val="BodyText-Numbered"/>
      <w:lvlText w:val="%1."/>
      <w:lvlJc w:val="left"/>
      <w:pPr>
        <w:ind w:left="786" w:hanging="360"/>
      </w:pPr>
      <w:rPr>
        <w:rFonts w:hint="default"/>
        <w:b w:val="0"/>
        <w:sz w:val="24"/>
        <w:szCs w:val="24"/>
      </w:rPr>
    </w:lvl>
    <w:lvl w:ilvl="1">
      <w:start w:val="1"/>
      <w:numFmt w:val="decimal"/>
      <w:pStyle w:val="Subbulletbodytext"/>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525D4"/>
    <w:multiLevelType w:val="hybridMultilevel"/>
    <w:tmpl w:val="556C6BBE"/>
    <w:lvl w:ilvl="0" w:tplc="107011C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9954EE"/>
    <w:multiLevelType w:val="hybridMultilevel"/>
    <w:tmpl w:val="7D5CC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8E63FE"/>
    <w:multiLevelType w:val="multilevel"/>
    <w:tmpl w:val="A060FCFC"/>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E56A06"/>
    <w:multiLevelType w:val="hybridMultilevel"/>
    <w:tmpl w:val="5678A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1B4488"/>
    <w:multiLevelType w:val="hybridMultilevel"/>
    <w:tmpl w:val="CA942D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1B"/>
    <w:rsid w:val="00002834"/>
    <w:rsid w:val="00003577"/>
    <w:rsid w:val="00003EC5"/>
    <w:rsid w:val="000040AC"/>
    <w:rsid w:val="00004748"/>
    <w:rsid w:val="000049BC"/>
    <w:rsid w:val="00005071"/>
    <w:rsid w:val="000060FF"/>
    <w:rsid w:val="000105EE"/>
    <w:rsid w:val="00011459"/>
    <w:rsid w:val="000115BD"/>
    <w:rsid w:val="00011E57"/>
    <w:rsid w:val="00012D51"/>
    <w:rsid w:val="00014AE9"/>
    <w:rsid w:val="00014F4A"/>
    <w:rsid w:val="00017989"/>
    <w:rsid w:val="0002141E"/>
    <w:rsid w:val="000216A7"/>
    <w:rsid w:val="00021AF3"/>
    <w:rsid w:val="0002208F"/>
    <w:rsid w:val="0002282D"/>
    <w:rsid w:val="00023404"/>
    <w:rsid w:val="0002416A"/>
    <w:rsid w:val="00024FC8"/>
    <w:rsid w:val="00027512"/>
    <w:rsid w:val="000302B4"/>
    <w:rsid w:val="000307D6"/>
    <w:rsid w:val="00030D14"/>
    <w:rsid w:val="00032F50"/>
    <w:rsid w:val="000334BF"/>
    <w:rsid w:val="0003410D"/>
    <w:rsid w:val="000364C4"/>
    <w:rsid w:val="000366DB"/>
    <w:rsid w:val="00037314"/>
    <w:rsid w:val="00037DCB"/>
    <w:rsid w:val="000405B7"/>
    <w:rsid w:val="000410A9"/>
    <w:rsid w:val="00041B12"/>
    <w:rsid w:val="000432AB"/>
    <w:rsid w:val="000434A6"/>
    <w:rsid w:val="0004420B"/>
    <w:rsid w:val="0004679F"/>
    <w:rsid w:val="00047176"/>
    <w:rsid w:val="00047B00"/>
    <w:rsid w:val="00050701"/>
    <w:rsid w:val="00051D35"/>
    <w:rsid w:val="00051FFB"/>
    <w:rsid w:val="000535AF"/>
    <w:rsid w:val="00055307"/>
    <w:rsid w:val="0005730E"/>
    <w:rsid w:val="00057B33"/>
    <w:rsid w:val="000600F7"/>
    <w:rsid w:val="00062009"/>
    <w:rsid w:val="0006245C"/>
    <w:rsid w:val="000624C2"/>
    <w:rsid w:val="000654CA"/>
    <w:rsid w:val="00065940"/>
    <w:rsid w:val="00065CB9"/>
    <w:rsid w:val="00066549"/>
    <w:rsid w:val="000679D7"/>
    <w:rsid w:val="00071907"/>
    <w:rsid w:val="00072290"/>
    <w:rsid w:val="00072F1F"/>
    <w:rsid w:val="00073032"/>
    <w:rsid w:val="00074EA4"/>
    <w:rsid w:val="00076162"/>
    <w:rsid w:val="000765C3"/>
    <w:rsid w:val="00076601"/>
    <w:rsid w:val="00076B43"/>
    <w:rsid w:val="00076D09"/>
    <w:rsid w:val="000772EA"/>
    <w:rsid w:val="00077FD1"/>
    <w:rsid w:val="000800AA"/>
    <w:rsid w:val="000803BA"/>
    <w:rsid w:val="0008123C"/>
    <w:rsid w:val="00081A01"/>
    <w:rsid w:val="000820A4"/>
    <w:rsid w:val="0008312F"/>
    <w:rsid w:val="000852ED"/>
    <w:rsid w:val="000862AC"/>
    <w:rsid w:val="0008670E"/>
    <w:rsid w:val="00086AAC"/>
    <w:rsid w:val="00086F74"/>
    <w:rsid w:val="00087F1B"/>
    <w:rsid w:val="00090A34"/>
    <w:rsid w:val="00091F2D"/>
    <w:rsid w:val="00092CAE"/>
    <w:rsid w:val="00092DC3"/>
    <w:rsid w:val="0009352C"/>
    <w:rsid w:val="00093B7A"/>
    <w:rsid w:val="000958C6"/>
    <w:rsid w:val="00096D02"/>
    <w:rsid w:val="000A067F"/>
    <w:rsid w:val="000A100C"/>
    <w:rsid w:val="000A1135"/>
    <w:rsid w:val="000A2117"/>
    <w:rsid w:val="000A23C0"/>
    <w:rsid w:val="000A287B"/>
    <w:rsid w:val="000A2C52"/>
    <w:rsid w:val="000A3A01"/>
    <w:rsid w:val="000A3E60"/>
    <w:rsid w:val="000A46AC"/>
    <w:rsid w:val="000A482B"/>
    <w:rsid w:val="000A4CCA"/>
    <w:rsid w:val="000A56F9"/>
    <w:rsid w:val="000A5C19"/>
    <w:rsid w:val="000A5F09"/>
    <w:rsid w:val="000A6427"/>
    <w:rsid w:val="000A648C"/>
    <w:rsid w:val="000A7E4C"/>
    <w:rsid w:val="000B2B68"/>
    <w:rsid w:val="000B351E"/>
    <w:rsid w:val="000B3B5D"/>
    <w:rsid w:val="000B3F7A"/>
    <w:rsid w:val="000B518A"/>
    <w:rsid w:val="000C055B"/>
    <w:rsid w:val="000C09EA"/>
    <w:rsid w:val="000C0E05"/>
    <w:rsid w:val="000C1B5D"/>
    <w:rsid w:val="000C3B64"/>
    <w:rsid w:val="000C489D"/>
    <w:rsid w:val="000C4B59"/>
    <w:rsid w:val="000C4E7B"/>
    <w:rsid w:val="000C5C64"/>
    <w:rsid w:val="000D1524"/>
    <w:rsid w:val="000D1582"/>
    <w:rsid w:val="000D32F1"/>
    <w:rsid w:val="000D38F4"/>
    <w:rsid w:val="000D4283"/>
    <w:rsid w:val="000D6670"/>
    <w:rsid w:val="000D680A"/>
    <w:rsid w:val="000D6C11"/>
    <w:rsid w:val="000E0416"/>
    <w:rsid w:val="000E3715"/>
    <w:rsid w:val="000E3FC6"/>
    <w:rsid w:val="000E4C8F"/>
    <w:rsid w:val="000E4F09"/>
    <w:rsid w:val="000E50E8"/>
    <w:rsid w:val="000E52F0"/>
    <w:rsid w:val="000E584F"/>
    <w:rsid w:val="000E67F5"/>
    <w:rsid w:val="000E6DB9"/>
    <w:rsid w:val="000E736E"/>
    <w:rsid w:val="000E7E1F"/>
    <w:rsid w:val="000F0428"/>
    <w:rsid w:val="000F0CF4"/>
    <w:rsid w:val="000F0EE0"/>
    <w:rsid w:val="000F0F21"/>
    <w:rsid w:val="000F1BC7"/>
    <w:rsid w:val="000F269B"/>
    <w:rsid w:val="000F31E7"/>
    <w:rsid w:val="000F4DD0"/>
    <w:rsid w:val="000F64C6"/>
    <w:rsid w:val="000F7BB4"/>
    <w:rsid w:val="000F7C9F"/>
    <w:rsid w:val="001018B6"/>
    <w:rsid w:val="00102941"/>
    <w:rsid w:val="0010313C"/>
    <w:rsid w:val="001035DC"/>
    <w:rsid w:val="00103E07"/>
    <w:rsid w:val="0010540F"/>
    <w:rsid w:val="00106F14"/>
    <w:rsid w:val="00110C94"/>
    <w:rsid w:val="00110FED"/>
    <w:rsid w:val="001117F3"/>
    <w:rsid w:val="0011221D"/>
    <w:rsid w:val="001125C5"/>
    <w:rsid w:val="00112A39"/>
    <w:rsid w:val="00112A43"/>
    <w:rsid w:val="00112CA0"/>
    <w:rsid w:val="00116391"/>
    <w:rsid w:val="00116B81"/>
    <w:rsid w:val="001204EB"/>
    <w:rsid w:val="001218D5"/>
    <w:rsid w:val="0012210C"/>
    <w:rsid w:val="001222BB"/>
    <w:rsid w:val="00124BF3"/>
    <w:rsid w:val="00125062"/>
    <w:rsid w:val="00125C2A"/>
    <w:rsid w:val="00125D45"/>
    <w:rsid w:val="00125F2E"/>
    <w:rsid w:val="00126844"/>
    <w:rsid w:val="0012701A"/>
    <w:rsid w:val="0012757E"/>
    <w:rsid w:val="00130FC0"/>
    <w:rsid w:val="001311E0"/>
    <w:rsid w:val="0013164F"/>
    <w:rsid w:val="0013258C"/>
    <w:rsid w:val="001332CA"/>
    <w:rsid w:val="001338B7"/>
    <w:rsid w:val="00133E8D"/>
    <w:rsid w:val="00134A89"/>
    <w:rsid w:val="00135542"/>
    <w:rsid w:val="001355EC"/>
    <w:rsid w:val="00135D0D"/>
    <w:rsid w:val="00136F72"/>
    <w:rsid w:val="00140159"/>
    <w:rsid w:val="00140B57"/>
    <w:rsid w:val="00142C97"/>
    <w:rsid w:val="00143C65"/>
    <w:rsid w:val="00144208"/>
    <w:rsid w:val="001451DA"/>
    <w:rsid w:val="001455C8"/>
    <w:rsid w:val="00145765"/>
    <w:rsid w:val="00146756"/>
    <w:rsid w:val="001468FD"/>
    <w:rsid w:val="0014769F"/>
    <w:rsid w:val="00147D1D"/>
    <w:rsid w:val="001508DD"/>
    <w:rsid w:val="0015143B"/>
    <w:rsid w:val="00151668"/>
    <w:rsid w:val="001516AD"/>
    <w:rsid w:val="0015549E"/>
    <w:rsid w:val="00155958"/>
    <w:rsid w:val="001559EE"/>
    <w:rsid w:val="00155A5A"/>
    <w:rsid w:val="00157007"/>
    <w:rsid w:val="00157A6C"/>
    <w:rsid w:val="00157C2B"/>
    <w:rsid w:val="00160222"/>
    <w:rsid w:val="00160A69"/>
    <w:rsid w:val="0016162E"/>
    <w:rsid w:val="00162463"/>
    <w:rsid w:val="001647F3"/>
    <w:rsid w:val="0016519A"/>
    <w:rsid w:val="00165412"/>
    <w:rsid w:val="00166D26"/>
    <w:rsid w:val="0016719C"/>
    <w:rsid w:val="00167470"/>
    <w:rsid w:val="001713F9"/>
    <w:rsid w:val="0017142F"/>
    <w:rsid w:val="001721D2"/>
    <w:rsid w:val="001732FA"/>
    <w:rsid w:val="00173607"/>
    <w:rsid w:val="0017520A"/>
    <w:rsid w:val="001763CC"/>
    <w:rsid w:val="00176699"/>
    <w:rsid w:val="00176A1E"/>
    <w:rsid w:val="00180030"/>
    <w:rsid w:val="00180A3B"/>
    <w:rsid w:val="00180AAA"/>
    <w:rsid w:val="00181ED0"/>
    <w:rsid w:val="001829B2"/>
    <w:rsid w:val="00182C8D"/>
    <w:rsid w:val="00183600"/>
    <w:rsid w:val="00183AB2"/>
    <w:rsid w:val="00185976"/>
    <w:rsid w:val="00185CE0"/>
    <w:rsid w:val="00185EB0"/>
    <w:rsid w:val="00186125"/>
    <w:rsid w:val="001872A9"/>
    <w:rsid w:val="001875C5"/>
    <w:rsid w:val="00187F7F"/>
    <w:rsid w:val="00190545"/>
    <w:rsid w:val="001905B1"/>
    <w:rsid w:val="001908B9"/>
    <w:rsid w:val="00190BF6"/>
    <w:rsid w:val="00190EDF"/>
    <w:rsid w:val="001920A0"/>
    <w:rsid w:val="00193A50"/>
    <w:rsid w:val="00195AF3"/>
    <w:rsid w:val="00195EA8"/>
    <w:rsid w:val="001A001D"/>
    <w:rsid w:val="001A17EF"/>
    <w:rsid w:val="001A1CD9"/>
    <w:rsid w:val="001A269A"/>
    <w:rsid w:val="001A3545"/>
    <w:rsid w:val="001A4CFD"/>
    <w:rsid w:val="001A60C7"/>
    <w:rsid w:val="001A7958"/>
    <w:rsid w:val="001A7A42"/>
    <w:rsid w:val="001B1685"/>
    <w:rsid w:val="001B42F1"/>
    <w:rsid w:val="001B5B6C"/>
    <w:rsid w:val="001C0C68"/>
    <w:rsid w:val="001C0FE4"/>
    <w:rsid w:val="001C0FF6"/>
    <w:rsid w:val="001C1E69"/>
    <w:rsid w:val="001C2FD4"/>
    <w:rsid w:val="001C57D3"/>
    <w:rsid w:val="001C6153"/>
    <w:rsid w:val="001C64E6"/>
    <w:rsid w:val="001C65BF"/>
    <w:rsid w:val="001C6C18"/>
    <w:rsid w:val="001C6C30"/>
    <w:rsid w:val="001D0642"/>
    <w:rsid w:val="001D08AE"/>
    <w:rsid w:val="001D0F5E"/>
    <w:rsid w:val="001D3AF1"/>
    <w:rsid w:val="001D4AA8"/>
    <w:rsid w:val="001D55A3"/>
    <w:rsid w:val="001D6181"/>
    <w:rsid w:val="001D6A22"/>
    <w:rsid w:val="001D6EB1"/>
    <w:rsid w:val="001D7366"/>
    <w:rsid w:val="001E0B30"/>
    <w:rsid w:val="001E21E7"/>
    <w:rsid w:val="001E42A5"/>
    <w:rsid w:val="001E4BE6"/>
    <w:rsid w:val="001E4F19"/>
    <w:rsid w:val="001E70CB"/>
    <w:rsid w:val="001E7D00"/>
    <w:rsid w:val="001F006F"/>
    <w:rsid w:val="001F334B"/>
    <w:rsid w:val="001F3731"/>
    <w:rsid w:val="001F3783"/>
    <w:rsid w:val="001F39D9"/>
    <w:rsid w:val="001F4364"/>
    <w:rsid w:val="001F4A04"/>
    <w:rsid w:val="001F4ECD"/>
    <w:rsid w:val="001F4FA7"/>
    <w:rsid w:val="001F61FC"/>
    <w:rsid w:val="001F780C"/>
    <w:rsid w:val="001F7915"/>
    <w:rsid w:val="002005C0"/>
    <w:rsid w:val="00200F3E"/>
    <w:rsid w:val="0020122E"/>
    <w:rsid w:val="00201F1B"/>
    <w:rsid w:val="00202D74"/>
    <w:rsid w:val="0020324D"/>
    <w:rsid w:val="00205C3F"/>
    <w:rsid w:val="00206C3F"/>
    <w:rsid w:val="00207CCF"/>
    <w:rsid w:val="00210F26"/>
    <w:rsid w:val="002113F7"/>
    <w:rsid w:val="0021164B"/>
    <w:rsid w:val="0021343A"/>
    <w:rsid w:val="0021382C"/>
    <w:rsid w:val="00214149"/>
    <w:rsid w:val="00217609"/>
    <w:rsid w:val="00221F7C"/>
    <w:rsid w:val="002223A9"/>
    <w:rsid w:val="00225FC5"/>
    <w:rsid w:val="002267FC"/>
    <w:rsid w:val="0022758E"/>
    <w:rsid w:val="002278B5"/>
    <w:rsid w:val="00227BBC"/>
    <w:rsid w:val="002315BB"/>
    <w:rsid w:val="00231AA7"/>
    <w:rsid w:val="00233F80"/>
    <w:rsid w:val="0023562E"/>
    <w:rsid w:val="002366BA"/>
    <w:rsid w:val="0024328F"/>
    <w:rsid w:val="00243915"/>
    <w:rsid w:val="00243A88"/>
    <w:rsid w:val="002447C9"/>
    <w:rsid w:val="00246A67"/>
    <w:rsid w:val="00247274"/>
    <w:rsid w:val="002500EE"/>
    <w:rsid w:val="0025121B"/>
    <w:rsid w:val="002514DD"/>
    <w:rsid w:val="00251931"/>
    <w:rsid w:val="00252680"/>
    <w:rsid w:val="0025413B"/>
    <w:rsid w:val="002541D6"/>
    <w:rsid w:val="002550C5"/>
    <w:rsid w:val="00255642"/>
    <w:rsid w:val="0025695B"/>
    <w:rsid w:val="00256B1B"/>
    <w:rsid w:val="00257083"/>
    <w:rsid w:val="00260589"/>
    <w:rsid w:val="002606E9"/>
    <w:rsid w:val="00261EC8"/>
    <w:rsid w:val="002621FD"/>
    <w:rsid w:val="002629AE"/>
    <w:rsid w:val="00264285"/>
    <w:rsid w:val="0026515D"/>
    <w:rsid w:val="002656C8"/>
    <w:rsid w:val="002661BA"/>
    <w:rsid w:val="0026736A"/>
    <w:rsid w:val="00270927"/>
    <w:rsid w:val="00271162"/>
    <w:rsid w:val="0027118B"/>
    <w:rsid w:val="00271575"/>
    <w:rsid w:val="002719FD"/>
    <w:rsid w:val="002728B0"/>
    <w:rsid w:val="00273297"/>
    <w:rsid w:val="00273DFF"/>
    <w:rsid w:val="002743E2"/>
    <w:rsid w:val="00277242"/>
    <w:rsid w:val="002778A6"/>
    <w:rsid w:val="00277B3D"/>
    <w:rsid w:val="00277F7C"/>
    <w:rsid w:val="00280697"/>
    <w:rsid w:val="00281F7A"/>
    <w:rsid w:val="00282D9F"/>
    <w:rsid w:val="002846A0"/>
    <w:rsid w:val="00285D62"/>
    <w:rsid w:val="00286882"/>
    <w:rsid w:val="00286CB6"/>
    <w:rsid w:val="002877FE"/>
    <w:rsid w:val="00287F9B"/>
    <w:rsid w:val="00290153"/>
    <w:rsid w:val="00290218"/>
    <w:rsid w:val="00291BEC"/>
    <w:rsid w:val="00293721"/>
    <w:rsid w:val="00293AA3"/>
    <w:rsid w:val="00295F57"/>
    <w:rsid w:val="00296649"/>
    <w:rsid w:val="0029769C"/>
    <w:rsid w:val="00297F74"/>
    <w:rsid w:val="002A0144"/>
    <w:rsid w:val="002A1E64"/>
    <w:rsid w:val="002A5820"/>
    <w:rsid w:val="002A6880"/>
    <w:rsid w:val="002A6D5B"/>
    <w:rsid w:val="002A74F9"/>
    <w:rsid w:val="002B0191"/>
    <w:rsid w:val="002B0317"/>
    <w:rsid w:val="002B0D75"/>
    <w:rsid w:val="002B2F0D"/>
    <w:rsid w:val="002B4F2B"/>
    <w:rsid w:val="002B6177"/>
    <w:rsid w:val="002B7F54"/>
    <w:rsid w:val="002B7FF2"/>
    <w:rsid w:val="002C0C4D"/>
    <w:rsid w:val="002C1021"/>
    <w:rsid w:val="002C15B5"/>
    <w:rsid w:val="002C1D97"/>
    <w:rsid w:val="002C2D9A"/>
    <w:rsid w:val="002C358B"/>
    <w:rsid w:val="002C3ED2"/>
    <w:rsid w:val="002C41C3"/>
    <w:rsid w:val="002C42F0"/>
    <w:rsid w:val="002C4EF0"/>
    <w:rsid w:val="002D035A"/>
    <w:rsid w:val="002D07CC"/>
    <w:rsid w:val="002D19BC"/>
    <w:rsid w:val="002D1C49"/>
    <w:rsid w:val="002D3A4E"/>
    <w:rsid w:val="002D5367"/>
    <w:rsid w:val="002D5C28"/>
    <w:rsid w:val="002D607D"/>
    <w:rsid w:val="002D7238"/>
    <w:rsid w:val="002D7C39"/>
    <w:rsid w:val="002E0792"/>
    <w:rsid w:val="002E1589"/>
    <w:rsid w:val="002E1EDF"/>
    <w:rsid w:val="002E25E9"/>
    <w:rsid w:val="002E33A5"/>
    <w:rsid w:val="002E5872"/>
    <w:rsid w:val="002E5F54"/>
    <w:rsid w:val="002E6255"/>
    <w:rsid w:val="002E68BA"/>
    <w:rsid w:val="002E6B85"/>
    <w:rsid w:val="002F1AD4"/>
    <w:rsid w:val="002F3790"/>
    <w:rsid w:val="002F4456"/>
    <w:rsid w:val="00300098"/>
    <w:rsid w:val="00300B24"/>
    <w:rsid w:val="00301D42"/>
    <w:rsid w:val="003025CC"/>
    <w:rsid w:val="00303025"/>
    <w:rsid w:val="00303461"/>
    <w:rsid w:val="00303826"/>
    <w:rsid w:val="00304599"/>
    <w:rsid w:val="00305376"/>
    <w:rsid w:val="003057AF"/>
    <w:rsid w:val="00305C3C"/>
    <w:rsid w:val="0030633A"/>
    <w:rsid w:val="00307042"/>
    <w:rsid w:val="003075E7"/>
    <w:rsid w:val="00310FA4"/>
    <w:rsid w:val="0031150B"/>
    <w:rsid w:val="00312B51"/>
    <w:rsid w:val="0031375C"/>
    <w:rsid w:val="0031398C"/>
    <w:rsid w:val="00313D32"/>
    <w:rsid w:val="003143B8"/>
    <w:rsid w:val="00314618"/>
    <w:rsid w:val="00314974"/>
    <w:rsid w:val="003151C1"/>
    <w:rsid w:val="003157E8"/>
    <w:rsid w:val="00315EF9"/>
    <w:rsid w:val="003160DD"/>
    <w:rsid w:val="00316F15"/>
    <w:rsid w:val="0031797E"/>
    <w:rsid w:val="00317AA4"/>
    <w:rsid w:val="003206B7"/>
    <w:rsid w:val="00322788"/>
    <w:rsid w:val="00323BFA"/>
    <w:rsid w:val="00324458"/>
    <w:rsid w:val="00325DDB"/>
    <w:rsid w:val="00325DE0"/>
    <w:rsid w:val="003267EC"/>
    <w:rsid w:val="0033041D"/>
    <w:rsid w:val="00330BB8"/>
    <w:rsid w:val="003332F2"/>
    <w:rsid w:val="00334769"/>
    <w:rsid w:val="00334A11"/>
    <w:rsid w:val="00335CEF"/>
    <w:rsid w:val="00335F1B"/>
    <w:rsid w:val="00336174"/>
    <w:rsid w:val="00336ED8"/>
    <w:rsid w:val="003376F8"/>
    <w:rsid w:val="00340126"/>
    <w:rsid w:val="00340595"/>
    <w:rsid w:val="00341161"/>
    <w:rsid w:val="003425C3"/>
    <w:rsid w:val="00342DBF"/>
    <w:rsid w:val="00343EC0"/>
    <w:rsid w:val="003445DF"/>
    <w:rsid w:val="003448BB"/>
    <w:rsid w:val="00344C62"/>
    <w:rsid w:val="00346110"/>
    <w:rsid w:val="00346650"/>
    <w:rsid w:val="00347A3F"/>
    <w:rsid w:val="003514F4"/>
    <w:rsid w:val="00352007"/>
    <w:rsid w:val="00352CA3"/>
    <w:rsid w:val="0035394B"/>
    <w:rsid w:val="0035398D"/>
    <w:rsid w:val="00353D6E"/>
    <w:rsid w:val="003544DD"/>
    <w:rsid w:val="00354DE8"/>
    <w:rsid w:val="0035546D"/>
    <w:rsid w:val="00355F19"/>
    <w:rsid w:val="0035696D"/>
    <w:rsid w:val="003572B6"/>
    <w:rsid w:val="0036042D"/>
    <w:rsid w:val="003606F3"/>
    <w:rsid w:val="00360A3E"/>
    <w:rsid w:val="00360C24"/>
    <w:rsid w:val="00361C9B"/>
    <w:rsid w:val="00362C2F"/>
    <w:rsid w:val="00363044"/>
    <w:rsid w:val="0036304D"/>
    <w:rsid w:val="00363177"/>
    <w:rsid w:val="00366C37"/>
    <w:rsid w:val="003671FE"/>
    <w:rsid w:val="0037070C"/>
    <w:rsid w:val="00371308"/>
    <w:rsid w:val="00371D4A"/>
    <w:rsid w:val="0037274E"/>
    <w:rsid w:val="003729FF"/>
    <w:rsid w:val="003733A6"/>
    <w:rsid w:val="003737EB"/>
    <w:rsid w:val="00373E9F"/>
    <w:rsid w:val="00373ED0"/>
    <w:rsid w:val="0037421F"/>
    <w:rsid w:val="00374B78"/>
    <w:rsid w:val="00377434"/>
    <w:rsid w:val="0038015A"/>
    <w:rsid w:val="00380421"/>
    <w:rsid w:val="00381283"/>
    <w:rsid w:val="00381F26"/>
    <w:rsid w:val="00382D87"/>
    <w:rsid w:val="00383A9D"/>
    <w:rsid w:val="003846CA"/>
    <w:rsid w:val="00384987"/>
    <w:rsid w:val="00384E81"/>
    <w:rsid w:val="00385034"/>
    <w:rsid w:val="00385E25"/>
    <w:rsid w:val="00386CD9"/>
    <w:rsid w:val="0038799A"/>
    <w:rsid w:val="003913CF"/>
    <w:rsid w:val="003921F0"/>
    <w:rsid w:val="0039287B"/>
    <w:rsid w:val="00393E22"/>
    <w:rsid w:val="00393F12"/>
    <w:rsid w:val="00395E18"/>
    <w:rsid w:val="003960AF"/>
    <w:rsid w:val="00397969"/>
    <w:rsid w:val="003A02BF"/>
    <w:rsid w:val="003A0B7E"/>
    <w:rsid w:val="003A148C"/>
    <w:rsid w:val="003A2DE3"/>
    <w:rsid w:val="003A39B4"/>
    <w:rsid w:val="003A42A9"/>
    <w:rsid w:val="003A5972"/>
    <w:rsid w:val="003A5CA2"/>
    <w:rsid w:val="003A6A53"/>
    <w:rsid w:val="003B015A"/>
    <w:rsid w:val="003B0568"/>
    <w:rsid w:val="003B083C"/>
    <w:rsid w:val="003B0906"/>
    <w:rsid w:val="003B1CAF"/>
    <w:rsid w:val="003B4169"/>
    <w:rsid w:val="003B51A1"/>
    <w:rsid w:val="003B5DF9"/>
    <w:rsid w:val="003B6093"/>
    <w:rsid w:val="003C0ADD"/>
    <w:rsid w:val="003C0CDF"/>
    <w:rsid w:val="003C27A3"/>
    <w:rsid w:val="003C2BC7"/>
    <w:rsid w:val="003C2DC5"/>
    <w:rsid w:val="003C3D32"/>
    <w:rsid w:val="003C4498"/>
    <w:rsid w:val="003C5090"/>
    <w:rsid w:val="003C5C56"/>
    <w:rsid w:val="003C6198"/>
    <w:rsid w:val="003C736C"/>
    <w:rsid w:val="003C7772"/>
    <w:rsid w:val="003D0BFD"/>
    <w:rsid w:val="003D376F"/>
    <w:rsid w:val="003D4F2C"/>
    <w:rsid w:val="003D5F4B"/>
    <w:rsid w:val="003D6688"/>
    <w:rsid w:val="003D706F"/>
    <w:rsid w:val="003E1372"/>
    <w:rsid w:val="003E1AF5"/>
    <w:rsid w:val="003E1C18"/>
    <w:rsid w:val="003E1E2F"/>
    <w:rsid w:val="003E2400"/>
    <w:rsid w:val="003E3D6C"/>
    <w:rsid w:val="003E4607"/>
    <w:rsid w:val="003E4E7B"/>
    <w:rsid w:val="003E535E"/>
    <w:rsid w:val="003E5A44"/>
    <w:rsid w:val="003E706A"/>
    <w:rsid w:val="003E7683"/>
    <w:rsid w:val="003E7B70"/>
    <w:rsid w:val="003F1B25"/>
    <w:rsid w:val="003F4959"/>
    <w:rsid w:val="003F4B54"/>
    <w:rsid w:val="003F4F80"/>
    <w:rsid w:val="003F5E2D"/>
    <w:rsid w:val="003F68CE"/>
    <w:rsid w:val="003F79CF"/>
    <w:rsid w:val="003F7A2F"/>
    <w:rsid w:val="0040065E"/>
    <w:rsid w:val="004018BB"/>
    <w:rsid w:val="00401B9A"/>
    <w:rsid w:val="00402366"/>
    <w:rsid w:val="00404269"/>
    <w:rsid w:val="004051C8"/>
    <w:rsid w:val="004072B7"/>
    <w:rsid w:val="00410542"/>
    <w:rsid w:val="00410E15"/>
    <w:rsid w:val="0041242E"/>
    <w:rsid w:val="00412498"/>
    <w:rsid w:val="0041271D"/>
    <w:rsid w:val="00412803"/>
    <w:rsid w:val="004143FB"/>
    <w:rsid w:val="00414429"/>
    <w:rsid w:val="00415199"/>
    <w:rsid w:val="00415DB2"/>
    <w:rsid w:val="00416D46"/>
    <w:rsid w:val="004209B0"/>
    <w:rsid w:val="0042110C"/>
    <w:rsid w:val="00421404"/>
    <w:rsid w:val="00422ACF"/>
    <w:rsid w:val="00423206"/>
    <w:rsid w:val="00423954"/>
    <w:rsid w:val="0042415A"/>
    <w:rsid w:val="00424850"/>
    <w:rsid w:val="00424882"/>
    <w:rsid w:val="004260BD"/>
    <w:rsid w:val="00426B32"/>
    <w:rsid w:val="00426DD5"/>
    <w:rsid w:val="00427F3A"/>
    <w:rsid w:val="00430319"/>
    <w:rsid w:val="0043167F"/>
    <w:rsid w:val="004338F8"/>
    <w:rsid w:val="00433CBB"/>
    <w:rsid w:val="00434379"/>
    <w:rsid w:val="00436B8F"/>
    <w:rsid w:val="00436DA6"/>
    <w:rsid w:val="004377DD"/>
    <w:rsid w:val="004416B8"/>
    <w:rsid w:val="004419DE"/>
    <w:rsid w:val="00442355"/>
    <w:rsid w:val="004424D5"/>
    <w:rsid w:val="00442B90"/>
    <w:rsid w:val="004435FD"/>
    <w:rsid w:val="00444713"/>
    <w:rsid w:val="004448E5"/>
    <w:rsid w:val="00446E1C"/>
    <w:rsid w:val="0044732D"/>
    <w:rsid w:val="00447AA3"/>
    <w:rsid w:val="00447ECC"/>
    <w:rsid w:val="004514F9"/>
    <w:rsid w:val="00451764"/>
    <w:rsid w:val="00452406"/>
    <w:rsid w:val="00452A2A"/>
    <w:rsid w:val="00454A2E"/>
    <w:rsid w:val="0045505B"/>
    <w:rsid w:val="004553FE"/>
    <w:rsid w:val="00456451"/>
    <w:rsid w:val="00456E82"/>
    <w:rsid w:val="0045771E"/>
    <w:rsid w:val="004604FD"/>
    <w:rsid w:val="004607CB"/>
    <w:rsid w:val="004612E8"/>
    <w:rsid w:val="0046194C"/>
    <w:rsid w:val="00461B5B"/>
    <w:rsid w:val="004622B4"/>
    <w:rsid w:val="00462636"/>
    <w:rsid w:val="00462A1C"/>
    <w:rsid w:val="00464D21"/>
    <w:rsid w:val="00467A24"/>
    <w:rsid w:val="00467B44"/>
    <w:rsid w:val="0047001E"/>
    <w:rsid w:val="00470832"/>
    <w:rsid w:val="0047095E"/>
    <w:rsid w:val="004709C5"/>
    <w:rsid w:val="00471674"/>
    <w:rsid w:val="00472ED9"/>
    <w:rsid w:val="004735CF"/>
    <w:rsid w:val="00474B0F"/>
    <w:rsid w:val="00475455"/>
    <w:rsid w:val="0047669B"/>
    <w:rsid w:val="004770D3"/>
    <w:rsid w:val="004818CB"/>
    <w:rsid w:val="00482E54"/>
    <w:rsid w:val="004833AD"/>
    <w:rsid w:val="00483AAB"/>
    <w:rsid w:val="00483B08"/>
    <w:rsid w:val="004840AB"/>
    <w:rsid w:val="00484ABA"/>
    <w:rsid w:val="00485B7D"/>
    <w:rsid w:val="00486256"/>
    <w:rsid w:val="00486A25"/>
    <w:rsid w:val="00490B21"/>
    <w:rsid w:val="004911B7"/>
    <w:rsid w:val="00495C0B"/>
    <w:rsid w:val="00496EFA"/>
    <w:rsid w:val="00497A9C"/>
    <w:rsid w:val="004A0052"/>
    <w:rsid w:val="004A0E3A"/>
    <w:rsid w:val="004A152A"/>
    <w:rsid w:val="004A2E22"/>
    <w:rsid w:val="004A2E46"/>
    <w:rsid w:val="004A2EE0"/>
    <w:rsid w:val="004A32B2"/>
    <w:rsid w:val="004A34B6"/>
    <w:rsid w:val="004A4094"/>
    <w:rsid w:val="004A5898"/>
    <w:rsid w:val="004A60DD"/>
    <w:rsid w:val="004A68AF"/>
    <w:rsid w:val="004A7751"/>
    <w:rsid w:val="004A7E10"/>
    <w:rsid w:val="004A7F5C"/>
    <w:rsid w:val="004B0060"/>
    <w:rsid w:val="004B1969"/>
    <w:rsid w:val="004B1CB7"/>
    <w:rsid w:val="004B267A"/>
    <w:rsid w:val="004B2B03"/>
    <w:rsid w:val="004B2B36"/>
    <w:rsid w:val="004B2D79"/>
    <w:rsid w:val="004B2F86"/>
    <w:rsid w:val="004B3B92"/>
    <w:rsid w:val="004B4271"/>
    <w:rsid w:val="004B4950"/>
    <w:rsid w:val="004B57A1"/>
    <w:rsid w:val="004C06EA"/>
    <w:rsid w:val="004C2306"/>
    <w:rsid w:val="004C2493"/>
    <w:rsid w:val="004C33D6"/>
    <w:rsid w:val="004C3F94"/>
    <w:rsid w:val="004C6BEC"/>
    <w:rsid w:val="004C73E8"/>
    <w:rsid w:val="004D0A8F"/>
    <w:rsid w:val="004D0C47"/>
    <w:rsid w:val="004D23C6"/>
    <w:rsid w:val="004D241C"/>
    <w:rsid w:val="004D2EEC"/>
    <w:rsid w:val="004D6CA2"/>
    <w:rsid w:val="004D71BD"/>
    <w:rsid w:val="004E148E"/>
    <w:rsid w:val="004E16C1"/>
    <w:rsid w:val="004E1AB4"/>
    <w:rsid w:val="004E2352"/>
    <w:rsid w:val="004E3BBA"/>
    <w:rsid w:val="004E44DC"/>
    <w:rsid w:val="004E5A5C"/>
    <w:rsid w:val="004E632B"/>
    <w:rsid w:val="004E7FB4"/>
    <w:rsid w:val="004F00A7"/>
    <w:rsid w:val="004F136D"/>
    <w:rsid w:val="004F1806"/>
    <w:rsid w:val="004F2569"/>
    <w:rsid w:val="004F35E0"/>
    <w:rsid w:val="004F39B1"/>
    <w:rsid w:val="004F3C74"/>
    <w:rsid w:val="004F686B"/>
    <w:rsid w:val="004F699E"/>
    <w:rsid w:val="004F769C"/>
    <w:rsid w:val="00501272"/>
    <w:rsid w:val="005022A2"/>
    <w:rsid w:val="00502AA8"/>
    <w:rsid w:val="00504D55"/>
    <w:rsid w:val="00505199"/>
    <w:rsid w:val="0050742E"/>
    <w:rsid w:val="00507D4E"/>
    <w:rsid w:val="005100DD"/>
    <w:rsid w:val="005102FA"/>
    <w:rsid w:val="005103C2"/>
    <w:rsid w:val="005109ED"/>
    <w:rsid w:val="00511265"/>
    <w:rsid w:val="005113EB"/>
    <w:rsid w:val="00512002"/>
    <w:rsid w:val="005139AD"/>
    <w:rsid w:val="00513E47"/>
    <w:rsid w:val="0051489C"/>
    <w:rsid w:val="0051691B"/>
    <w:rsid w:val="005169E3"/>
    <w:rsid w:val="005202D6"/>
    <w:rsid w:val="00520F2A"/>
    <w:rsid w:val="00522143"/>
    <w:rsid w:val="00522BB8"/>
    <w:rsid w:val="00523DD1"/>
    <w:rsid w:val="0052435B"/>
    <w:rsid w:val="0052437D"/>
    <w:rsid w:val="00524492"/>
    <w:rsid w:val="005246D8"/>
    <w:rsid w:val="0052511E"/>
    <w:rsid w:val="00525CB6"/>
    <w:rsid w:val="0052789A"/>
    <w:rsid w:val="00527ED3"/>
    <w:rsid w:val="0053072F"/>
    <w:rsid w:val="00531263"/>
    <w:rsid w:val="00532776"/>
    <w:rsid w:val="00534201"/>
    <w:rsid w:val="00536130"/>
    <w:rsid w:val="0053691E"/>
    <w:rsid w:val="00536B6B"/>
    <w:rsid w:val="00536C42"/>
    <w:rsid w:val="00536D9D"/>
    <w:rsid w:val="005373B4"/>
    <w:rsid w:val="00537683"/>
    <w:rsid w:val="00537C81"/>
    <w:rsid w:val="00540326"/>
    <w:rsid w:val="0054079B"/>
    <w:rsid w:val="00542130"/>
    <w:rsid w:val="00542701"/>
    <w:rsid w:val="005427FD"/>
    <w:rsid w:val="00543D68"/>
    <w:rsid w:val="005440B9"/>
    <w:rsid w:val="00545B1A"/>
    <w:rsid w:val="00545F94"/>
    <w:rsid w:val="00546472"/>
    <w:rsid w:val="0054653D"/>
    <w:rsid w:val="00546591"/>
    <w:rsid w:val="005468E6"/>
    <w:rsid w:val="00546BAB"/>
    <w:rsid w:val="00547A5C"/>
    <w:rsid w:val="00551897"/>
    <w:rsid w:val="00551D4D"/>
    <w:rsid w:val="005529A0"/>
    <w:rsid w:val="0055388E"/>
    <w:rsid w:val="00555ABE"/>
    <w:rsid w:val="00555D7C"/>
    <w:rsid w:val="0055763E"/>
    <w:rsid w:val="005603C7"/>
    <w:rsid w:val="005621E4"/>
    <w:rsid w:val="0056363F"/>
    <w:rsid w:val="0056470B"/>
    <w:rsid w:val="00567211"/>
    <w:rsid w:val="00567C69"/>
    <w:rsid w:val="005711C9"/>
    <w:rsid w:val="00571A29"/>
    <w:rsid w:val="00571C10"/>
    <w:rsid w:val="00572BF3"/>
    <w:rsid w:val="00572CB4"/>
    <w:rsid w:val="005733A9"/>
    <w:rsid w:val="005738CF"/>
    <w:rsid w:val="00576A4A"/>
    <w:rsid w:val="005777F0"/>
    <w:rsid w:val="00577B17"/>
    <w:rsid w:val="0058007B"/>
    <w:rsid w:val="00581F20"/>
    <w:rsid w:val="0058342D"/>
    <w:rsid w:val="00583B5A"/>
    <w:rsid w:val="00585AB7"/>
    <w:rsid w:val="00586E9A"/>
    <w:rsid w:val="00587244"/>
    <w:rsid w:val="00587E21"/>
    <w:rsid w:val="0059064F"/>
    <w:rsid w:val="00590CEC"/>
    <w:rsid w:val="00591C34"/>
    <w:rsid w:val="005924FE"/>
    <w:rsid w:val="005926BE"/>
    <w:rsid w:val="00593619"/>
    <w:rsid w:val="005965C3"/>
    <w:rsid w:val="00597D68"/>
    <w:rsid w:val="005A0516"/>
    <w:rsid w:val="005A0CA4"/>
    <w:rsid w:val="005A0DD2"/>
    <w:rsid w:val="005A1078"/>
    <w:rsid w:val="005A1DF3"/>
    <w:rsid w:val="005A22FE"/>
    <w:rsid w:val="005A3D6A"/>
    <w:rsid w:val="005A55C7"/>
    <w:rsid w:val="005A5CAB"/>
    <w:rsid w:val="005A7177"/>
    <w:rsid w:val="005A72CE"/>
    <w:rsid w:val="005A75A5"/>
    <w:rsid w:val="005A78EF"/>
    <w:rsid w:val="005A7ACF"/>
    <w:rsid w:val="005B0B58"/>
    <w:rsid w:val="005B1E72"/>
    <w:rsid w:val="005B213B"/>
    <w:rsid w:val="005B2BA3"/>
    <w:rsid w:val="005B350E"/>
    <w:rsid w:val="005B3ED6"/>
    <w:rsid w:val="005B4BEC"/>
    <w:rsid w:val="005B6EEF"/>
    <w:rsid w:val="005B7209"/>
    <w:rsid w:val="005B7D39"/>
    <w:rsid w:val="005C1C6C"/>
    <w:rsid w:val="005C25E1"/>
    <w:rsid w:val="005C3A2F"/>
    <w:rsid w:val="005C3EBC"/>
    <w:rsid w:val="005C43EE"/>
    <w:rsid w:val="005C49FC"/>
    <w:rsid w:val="005C4B74"/>
    <w:rsid w:val="005C4D5B"/>
    <w:rsid w:val="005C5BDF"/>
    <w:rsid w:val="005C5D5F"/>
    <w:rsid w:val="005C734E"/>
    <w:rsid w:val="005D0400"/>
    <w:rsid w:val="005D1551"/>
    <w:rsid w:val="005D2469"/>
    <w:rsid w:val="005D2488"/>
    <w:rsid w:val="005D2E9D"/>
    <w:rsid w:val="005D37AA"/>
    <w:rsid w:val="005D5573"/>
    <w:rsid w:val="005D5DC7"/>
    <w:rsid w:val="005D6EC0"/>
    <w:rsid w:val="005E027A"/>
    <w:rsid w:val="005E0A69"/>
    <w:rsid w:val="005E1804"/>
    <w:rsid w:val="005E1C6F"/>
    <w:rsid w:val="005E252F"/>
    <w:rsid w:val="005E39B3"/>
    <w:rsid w:val="005E3BF2"/>
    <w:rsid w:val="005E4E97"/>
    <w:rsid w:val="005E5B8E"/>
    <w:rsid w:val="005E6AD7"/>
    <w:rsid w:val="005E6FBB"/>
    <w:rsid w:val="005E7823"/>
    <w:rsid w:val="005F2FB8"/>
    <w:rsid w:val="005F37A1"/>
    <w:rsid w:val="005F3A93"/>
    <w:rsid w:val="005F45E5"/>
    <w:rsid w:val="005F54CF"/>
    <w:rsid w:val="005F5A9A"/>
    <w:rsid w:val="00600A37"/>
    <w:rsid w:val="006013B0"/>
    <w:rsid w:val="00601EC7"/>
    <w:rsid w:val="00602618"/>
    <w:rsid w:val="00602F09"/>
    <w:rsid w:val="00603AC6"/>
    <w:rsid w:val="00604128"/>
    <w:rsid w:val="0060510C"/>
    <w:rsid w:val="006074C9"/>
    <w:rsid w:val="006075B6"/>
    <w:rsid w:val="00607D07"/>
    <w:rsid w:val="00607FFD"/>
    <w:rsid w:val="00611637"/>
    <w:rsid w:val="00611A1C"/>
    <w:rsid w:val="006125A9"/>
    <w:rsid w:val="006129A2"/>
    <w:rsid w:val="00613D87"/>
    <w:rsid w:val="00614670"/>
    <w:rsid w:val="00614F48"/>
    <w:rsid w:val="0061568E"/>
    <w:rsid w:val="0061684F"/>
    <w:rsid w:val="0062023D"/>
    <w:rsid w:val="00620439"/>
    <w:rsid w:val="00623838"/>
    <w:rsid w:val="00623D59"/>
    <w:rsid w:val="00624BDD"/>
    <w:rsid w:val="0062520F"/>
    <w:rsid w:val="006254CA"/>
    <w:rsid w:val="00625D41"/>
    <w:rsid w:val="00626744"/>
    <w:rsid w:val="00626D5E"/>
    <w:rsid w:val="0062750B"/>
    <w:rsid w:val="006278CD"/>
    <w:rsid w:val="0063044F"/>
    <w:rsid w:val="00631CE9"/>
    <w:rsid w:val="006321FB"/>
    <w:rsid w:val="00632D8D"/>
    <w:rsid w:val="006331C0"/>
    <w:rsid w:val="00633FBF"/>
    <w:rsid w:val="006355B3"/>
    <w:rsid w:val="00636205"/>
    <w:rsid w:val="00642D6F"/>
    <w:rsid w:val="00643548"/>
    <w:rsid w:val="00644C8E"/>
    <w:rsid w:val="00645394"/>
    <w:rsid w:val="006462C3"/>
    <w:rsid w:val="00646C04"/>
    <w:rsid w:val="00647184"/>
    <w:rsid w:val="00647673"/>
    <w:rsid w:val="00647D87"/>
    <w:rsid w:val="00650E8D"/>
    <w:rsid w:val="0065136F"/>
    <w:rsid w:val="00652526"/>
    <w:rsid w:val="00653465"/>
    <w:rsid w:val="006535FA"/>
    <w:rsid w:val="006544FB"/>
    <w:rsid w:val="00654DCA"/>
    <w:rsid w:val="00655425"/>
    <w:rsid w:val="00655EAF"/>
    <w:rsid w:val="006562A9"/>
    <w:rsid w:val="00656A9C"/>
    <w:rsid w:val="00656EAC"/>
    <w:rsid w:val="00657588"/>
    <w:rsid w:val="0065791E"/>
    <w:rsid w:val="006612C0"/>
    <w:rsid w:val="00661F8C"/>
    <w:rsid w:val="006622B4"/>
    <w:rsid w:val="00663071"/>
    <w:rsid w:val="00663485"/>
    <w:rsid w:val="00664193"/>
    <w:rsid w:val="006641AA"/>
    <w:rsid w:val="00664AFE"/>
    <w:rsid w:val="00664C7A"/>
    <w:rsid w:val="00664D1B"/>
    <w:rsid w:val="00665033"/>
    <w:rsid w:val="006655AD"/>
    <w:rsid w:val="00666700"/>
    <w:rsid w:val="00666B12"/>
    <w:rsid w:val="00667AE1"/>
    <w:rsid w:val="00671D90"/>
    <w:rsid w:val="00673D3B"/>
    <w:rsid w:val="00675B4C"/>
    <w:rsid w:val="00676B3D"/>
    <w:rsid w:val="00676B65"/>
    <w:rsid w:val="00677833"/>
    <w:rsid w:val="00677903"/>
    <w:rsid w:val="00680118"/>
    <w:rsid w:val="0068044D"/>
    <w:rsid w:val="00680646"/>
    <w:rsid w:val="0068264A"/>
    <w:rsid w:val="00682666"/>
    <w:rsid w:val="0068298E"/>
    <w:rsid w:val="00682A9A"/>
    <w:rsid w:val="00682E6A"/>
    <w:rsid w:val="00683DF7"/>
    <w:rsid w:val="00685D77"/>
    <w:rsid w:val="00687F8F"/>
    <w:rsid w:val="00687FED"/>
    <w:rsid w:val="006906C6"/>
    <w:rsid w:val="006929AA"/>
    <w:rsid w:val="00692B7D"/>
    <w:rsid w:val="00694BA9"/>
    <w:rsid w:val="006A00F6"/>
    <w:rsid w:val="006A26E0"/>
    <w:rsid w:val="006A48DA"/>
    <w:rsid w:val="006A5595"/>
    <w:rsid w:val="006A74D6"/>
    <w:rsid w:val="006A7555"/>
    <w:rsid w:val="006B0709"/>
    <w:rsid w:val="006B0982"/>
    <w:rsid w:val="006B0FB8"/>
    <w:rsid w:val="006B248B"/>
    <w:rsid w:val="006B291B"/>
    <w:rsid w:val="006B2CA9"/>
    <w:rsid w:val="006B30F7"/>
    <w:rsid w:val="006B37D1"/>
    <w:rsid w:val="006B4D47"/>
    <w:rsid w:val="006B502D"/>
    <w:rsid w:val="006B505D"/>
    <w:rsid w:val="006B53E3"/>
    <w:rsid w:val="006B5CD7"/>
    <w:rsid w:val="006B6FFD"/>
    <w:rsid w:val="006C089A"/>
    <w:rsid w:val="006C173E"/>
    <w:rsid w:val="006C2387"/>
    <w:rsid w:val="006C2C47"/>
    <w:rsid w:val="006C4B28"/>
    <w:rsid w:val="006C4CB0"/>
    <w:rsid w:val="006C581E"/>
    <w:rsid w:val="006C5E3D"/>
    <w:rsid w:val="006C65EE"/>
    <w:rsid w:val="006C66EF"/>
    <w:rsid w:val="006C6B74"/>
    <w:rsid w:val="006D00E3"/>
    <w:rsid w:val="006D0C3D"/>
    <w:rsid w:val="006D0DFE"/>
    <w:rsid w:val="006D2382"/>
    <w:rsid w:val="006D26BE"/>
    <w:rsid w:val="006D3411"/>
    <w:rsid w:val="006D35DF"/>
    <w:rsid w:val="006D3D1D"/>
    <w:rsid w:val="006D52C1"/>
    <w:rsid w:val="006D5454"/>
    <w:rsid w:val="006D556F"/>
    <w:rsid w:val="006D5851"/>
    <w:rsid w:val="006D69FC"/>
    <w:rsid w:val="006D6A05"/>
    <w:rsid w:val="006E1FD8"/>
    <w:rsid w:val="006E27A8"/>
    <w:rsid w:val="006E2ABC"/>
    <w:rsid w:val="006E307B"/>
    <w:rsid w:val="006E30DF"/>
    <w:rsid w:val="006E37CC"/>
    <w:rsid w:val="006E3DB6"/>
    <w:rsid w:val="006E40F3"/>
    <w:rsid w:val="006E5D74"/>
    <w:rsid w:val="006F00A2"/>
    <w:rsid w:val="006F0A37"/>
    <w:rsid w:val="006F48A1"/>
    <w:rsid w:val="006F4F3A"/>
    <w:rsid w:val="006F52FF"/>
    <w:rsid w:val="006F5C21"/>
    <w:rsid w:val="006F6393"/>
    <w:rsid w:val="006F6827"/>
    <w:rsid w:val="0070023A"/>
    <w:rsid w:val="00701526"/>
    <w:rsid w:val="0070356A"/>
    <w:rsid w:val="00703B84"/>
    <w:rsid w:val="007041C0"/>
    <w:rsid w:val="00704CAF"/>
    <w:rsid w:val="00704E03"/>
    <w:rsid w:val="007057FD"/>
    <w:rsid w:val="00710B92"/>
    <w:rsid w:val="00710E70"/>
    <w:rsid w:val="007123E4"/>
    <w:rsid w:val="00713BED"/>
    <w:rsid w:val="007144BB"/>
    <w:rsid w:val="00715B5C"/>
    <w:rsid w:val="007164FC"/>
    <w:rsid w:val="00717511"/>
    <w:rsid w:val="00720036"/>
    <w:rsid w:val="007201FD"/>
    <w:rsid w:val="00720980"/>
    <w:rsid w:val="0072137F"/>
    <w:rsid w:val="007215D5"/>
    <w:rsid w:val="00721EE8"/>
    <w:rsid w:val="0072290A"/>
    <w:rsid w:val="0072446E"/>
    <w:rsid w:val="00724D42"/>
    <w:rsid w:val="007254D9"/>
    <w:rsid w:val="007275C6"/>
    <w:rsid w:val="00727748"/>
    <w:rsid w:val="00730B97"/>
    <w:rsid w:val="00730FA4"/>
    <w:rsid w:val="00733D76"/>
    <w:rsid w:val="00734009"/>
    <w:rsid w:val="0073484A"/>
    <w:rsid w:val="00734865"/>
    <w:rsid w:val="00734E22"/>
    <w:rsid w:val="0073603B"/>
    <w:rsid w:val="0073636D"/>
    <w:rsid w:val="00736600"/>
    <w:rsid w:val="007404AA"/>
    <w:rsid w:val="00741D78"/>
    <w:rsid w:val="00743335"/>
    <w:rsid w:val="00743FB0"/>
    <w:rsid w:val="007441F0"/>
    <w:rsid w:val="00744766"/>
    <w:rsid w:val="007451CA"/>
    <w:rsid w:val="007458A0"/>
    <w:rsid w:val="00746A4F"/>
    <w:rsid w:val="007471EF"/>
    <w:rsid w:val="0074777C"/>
    <w:rsid w:val="00747F1E"/>
    <w:rsid w:val="00750DB2"/>
    <w:rsid w:val="00751282"/>
    <w:rsid w:val="007518C6"/>
    <w:rsid w:val="00752442"/>
    <w:rsid w:val="00754640"/>
    <w:rsid w:val="00756765"/>
    <w:rsid w:val="00763569"/>
    <w:rsid w:val="00763F95"/>
    <w:rsid w:val="00764727"/>
    <w:rsid w:val="00764B36"/>
    <w:rsid w:val="00765793"/>
    <w:rsid w:val="0076587A"/>
    <w:rsid w:val="0076718E"/>
    <w:rsid w:val="007679A2"/>
    <w:rsid w:val="0077136E"/>
    <w:rsid w:val="00772909"/>
    <w:rsid w:val="0077341A"/>
    <w:rsid w:val="00774729"/>
    <w:rsid w:val="00774B50"/>
    <w:rsid w:val="00774F32"/>
    <w:rsid w:val="007756D5"/>
    <w:rsid w:val="00776562"/>
    <w:rsid w:val="007805B1"/>
    <w:rsid w:val="00780CAB"/>
    <w:rsid w:val="007816F8"/>
    <w:rsid w:val="007824B6"/>
    <w:rsid w:val="007826F0"/>
    <w:rsid w:val="00783337"/>
    <w:rsid w:val="00784ADF"/>
    <w:rsid w:val="00784E04"/>
    <w:rsid w:val="00785008"/>
    <w:rsid w:val="007853CB"/>
    <w:rsid w:val="00785770"/>
    <w:rsid w:val="00786796"/>
    <w:rsid w:val="00786C59"/>
    <w:rsid w:val="0078776D"/>
    <w:rsid w:val="00787989"/>
    <w:rsid w:val="00792155"/>
    <w:rsid w:val="0079364A"/>
    <w:rsid w:val="00793C56"/>
    <w:rsid w:val="0079404B"/>
    <w:rsid w:val="00796701"/>
    <w:rsid w:val="007A04D7"/>
    <w:rsid w:val="007A1BAD"/>
    <w:rsid w:val="007A1D10"/>
    <w:rsid w:val="007A2CE6"/>
    <w:rsid w:val="007A3FDE"/>
    <w:rsid w:val="007A4AC4"/>
    <w:rsid w:val="007A4FD7"/>
    <w:rsid w:val="007A7CD4"/>
    <w:rsid w:val="007A7D48"/>
    <w:rsid w:val="007B03B6"/>
    <w:rsid w:val="007B0B4E"/>
    <w:rsid w:val="007B2867"/>
    <w:rsid w:val="007B3B50"/>
    <w:rsid w:val="007B3EBF"/>
    <w:rsid w:val="007B41FF"/>
    <w:rsid w:val="007B47C0"/>
    <w:rsid w:val="007B4AB0"/>
    <w:rsid w:val="007B4ED0"/>
    <w:rsid w:val="007B5880"/>
    <w:rsid w:val="007B63BB"/>
    <w:rsid w:val="007B6686"/>
    <w:rsid w:val="007B6F3A"/>
    <w:rsid w:val="007B7732"/>
    <w:rsid w:val="007B7B47"/>
    <w:rsid w:val="007C011E"/>
    <w:rsid w:val="007C0E69"/>
    <w:rsid w:val="007C1665"/>
    <w:rsid w:val="007C2A94"/>
    <w:rsid w:val="007C3A0F"/>
    <w:rsid w:val="007C4A4A"/>
    <w:rsid w:val="007C4A8F"/>
    <w:rsid w:val="007C527E"/>
    <w:rsid w:val="007C6CC7"/>
    <w:rsid w:val="007C76B2"/>
    <w:rsid w:val="007C7E70"/>
    <w:rsid w:val="007D0312"/>
    <w:rsid w:val="007D0C54"/>
    <w:rsid w:val="007D2FC1"/>
    <w:rsid w:val="007D3139"/>
    <w:rsid w:val="007D345D"/>
    <w:rsid w:val="007D4179"/>
    <w:rsid w:val="007D444A"/>
    <w:rsid w:val="007E129F"/>
    <w:rsid w:val="007E283A"/>
    <w:rsid w:val="007E3113"/>
    <w:rsid w:val="007E3893"/>
    <w:rsid w:val="007E3D18"/>
    <w:rsid w:val="007E5249"/>
    <w:rsid w:val="007E5EF5"/>
    <w:rsid w:val="007E68CD"/>
    <w:rsid w:val="007E78E0"/>
    <w:rsid w:val="007F0309"/>
    <w:rsid w:val="007F05AE"/>
    <w:rsid w:val="007F2027"/>
    <w:rsid w:val="007F3A88"/>
    <w:rsid w:val="007F42BD"/>
    <w:rsid w:val="007F5ACF"/>
    <w:rsid w:val="007F74F2"/>
    <w:rsid w:val="00800796"/>
    <w:rsid w:val="00800D86"/>
    <w:rsid w:val="00801651"/>
    <w:rsid w:val="008027EE"/>
    <w:rsid w:val="00802B81"/>
    <w:rsid w:val="00803D02"/>
    <w:rsid w:val="00804955"/>
    <w:rsid w:val="0080589B"/>
    <w:rsid w:val="008102C1"/>
    <w:rsid w:val="00810F93"/>
    <w:rsid w:val="00811612"/>
    <w:rsid w:val="00811A2D"/>
    <w:rsid w:val="00811EBA"/>
    <w:rsid w:val="008122E9"/>
    <w:rsid w:val="008123E3"/>
    <w:rsid w:val="0081553B"/>
    <w:rsid w:val="00815725"/>
    <w:rsid w:val="00815805"/>
    <w:rsid w:val="00815DEA"/>
    <w:rsid w:val="00816502"/>
    <w:rsid w:val="008165B2"/>
    <w:rsid w:val="00816BC8"/>
    <w:rsid w:val="00817B30"/>
    <w:rsid w:val="00820BC0"/>
    <w:rsid w:val="008213C3"/>
    <w:rsid w:val="00821979"/>
    <w:rsid w:val="0082461D"/>
    <w:rsid w:val="008249A9"/>
    <w:rsid w:val="00825991"/>
    <w:rsid w:val="00826BC9"/>
    <w:rsid w:val="00830AE2"/>
    <w:rsid w:val="0083125C"/>
    <w:rsid w:val="00831A7B"/>
    <w:rsid w:val="00833BCD"/>
    <w:rsid w:val="00835F1F"/>
    <w:rsid w:val="0083652B"/>
    <w:rsid w:val="00837F46"/>
    <w:rsid w:val="00840688"/>
    <w:rsid w:val="00840A39"/>
    <w:rsid w:val="00841627"/>
    <w:rsid w:val="008417A1"/>
    <w:rsid w:val="008439A7"/>
    <w:rsid w:val="00843BA4"/>
    <w:rsid w:val="00844B13"/>
    <w:rsid w:val="008455B9"/>
    <w:rsid w:val="00845804"/>
    <w:rsid w:val="00847243"/>
    <w:rsid w:val="00850023"/>
    <w:rsid w:val="00851021"/>
    <w:rsid w:val="00851828"/>
    <w:rsid w:val="00852E01"/>
    <w:rsid w:val="008540B6"/>
    <w:rsid w:val="008564AB"/>
    <w:rsid w:val="00856F28"/>
    <w:rsid w:val="008570FB"/>
    <w:rsid w:val="0086104B"/>
    <w:rsid w:val="008625F6"/>
    <w:rsid w:val="00862B9A"/>
    <w:rsid w:val="00865A2E"/>
    <w:rsid w:val="00865F3E"/>
    <w:rsid w:val="00866779"/>
    <w:rsid w:val="00870468"/>
    <w:rsid w:val="00870DA5"/>
    <w:rsid w:val="008713E6"/>
    <w:rsid w:val="00871C4F"/>
    <w:rsid w:val="0087399D"/>
    <w:rsid w:val="008759F3"/>
    <w:rsid w:val="00877341"/>
    <w:rsid w:val="008809AD"/>
    <w:rsid w:val="00882055"/>
    <w:rsid w:val="00882467"/>
    <w:rsid w:val="00882510"/>
    <w:rsid w:val="00882D02"/>
    <w:rsid w:val="00883148"/>
    <w:rsid w:val="008833EB"/>
    <w:rsid w:val="00883CC2"/>
    <w:rsid w:val="00885236"/>
    <w:rsid w:val="008858FA"/>
    <w:rsid w:val="008858FF"/>
    <w:rsid w:val="00886FC4"/>
    <w:rsid w:val="00890AB5"/>
    <w:rsid w:val="008919D0"/>
    <w:rsid w:val="00891D06"/>
    <w:rsid w:val="008922C3"/>
    <w:rsid w:val="00894E0D"/>
    <w:rsid w:val="00895090"/>
    <w:rsid w:val="00895BA8"/>
    <w:rsid w:val="0089768A"/>
    <w:rsid w:val="008A140E"/>
    <w:rsid w:val="008A2CDF"/>
    <w:rsid w:val="008A3A15"/>
    <w:rsid w:val="008A3CFE"/>
    <w:rsid w:val="008A3FE1"/>
    <w:rsid w:val="008A4932"/>
    <w:rsid w:val="008A5306"/>
    <w:rsid w:val="008A57CF"/>
    <w:rsid w:val="008A5909"/>
    <w:rsid w:val="008A6374"/>
    <w:rsid w:val="008A63FE"/>
    <w:rsid w:val="008A7043"/>
    <w:rsid w:val="008B270A"/>
    <w:rsid w:val="008B3960"/>
    <w:rsid w:val="008B3A98"/>
    <w:rsid w:val="008B3D0F"/>
    <w:rsid w:val="008B4157"/>
    <w:rsid w:val="008B5D82"/>
    <w:rsid w:val="008B5EDC"/>
    <w:rsid w:val="008B70CF"/>
    <w:rsid w:val="008B722C"/>
    <w:rsid w:val="008B74A4"/>
    <w:rsid w:val="008C4837"/>
    <w:rsid w:val="008C67F4"/>
    <w:rsid w:val="008C76A4"/>
    <w:rsid w:val="008D0054"/>
    <w:rsid w:val="008D252B"/>
    <w:rsid w:val="008D29ED"/>
    <w:rsid w:val="008D2AF9"/>
    <w:rsid w:val="008D3657"/>
    <w:rsid w:val="008D3A64"/>
    <w:rsid w:val="008D3C5C"/>
    <w:rsid w:val="008D46B3"/>
    <w:rsid w:val="008D4CB7"/>
    <w:rsid w:val="008D5B04"/>
    <w:rsid w:val="008D64DC"/>
    <w:rsid w:val="008D64FA"/>
    <w:rsid w:val="008D764A"/>
    <w:rsid w:val="008D785C"/>
    <w:rsid w:val="008E0185"/>
    <w:rsid w:val="008E0C5E"/>
    <w:rsid w:val="008E2477"/>
    <w:rsid w:val="008E3152"/>
    <w:rsid w:val="008E52F3"/>
    <w:rsid w:val="008E5CE5"/>
    <w:rsid w:val="008E77D5"/>
    <w:rsid w:val="008F0FA7"/>
    <w:rsid w:val="008F2558"/>
    <w:rsid w:val="008F30B6"/>
    <w:rsid w:val="008F31C6"/>
    <w:rsid w:val="008F500F"/>
    <w:rsid w:val="008F59E7"/>
    <w:rsid w:val="008F7DD2"/>
    <w:rsid w:val="008F7E4F"/>
    <w:rsid w:val="009005FB"/>
    <w:rsid w:val="00900A68"/>
    <w:rsid w:val="00900D30"/>
    <w:rsid w:val="009017E1"/>
    <w:rsid w:val="009035BC"/>
    <w:rsid w:val="0090433C"/>
    <w:rsid w:val="009059AA"/>
    <w:rsid w:val="00907619"/>
    <w:rsid w:val="009079ED"/>
    <w:rsid w:val="00910325"/>
    <w:rsid w:val="00911162"/>
    <w:rsid w:val="009120DE"/>
    <w:rsid w:val="009130A0"/>
    <w:rsid w:val="00913F56"/>
    <w:rsid w:val="009141E6"/>
    <w:rsid w:val="009157B3"/>
    <w:rsid w:val="00917005"/>
    <w:rsid w:val="00920726"/>
    <w:rsid w:val="00920919"/>
    <w:rsid w:val="00921050"/>
    <w:rsid w:val="00921A5E"/>
    <w:rsid w:val="00921CFF"/>
    <w:rsid w:val="00922504"/>
    <w:rsid w:val="00922A95"/>
    <w:rsid w:val="00922C81"/>
    <w:rsid w:val="009235F8"/>
    <w:rsid w:val="00923C80"/>
    <w:rsid w:val="009242FB"/>
    <w:rsid w:val="00924C6B"/>
    <w:rsid w:val="00924CAC"/>
    <w:rsid w:val="009250AF"/>
    <w:rsid w:val="00925239"/>
    <w:rsid w:val="00926209"/>
    <w:rsid w:val="00927DDC"/>
    <w:rsid w:val="0093030E"/>
    <w:rsid w:val="009308D6"/>
    <w:rsid w:val="00930D7E"/>
    <w:rsid w:val="00931243"/>
    <w:rsid w:val="00931DA7"/>
    <w:rsid w:val="009323EC"/>
    <w:rsid w:val="00933161"/>
    <w:rsid w:val="0093349D"/>
    <w:rsid w:val="009339B8"/>
    <w:rsid w:val="00933AE1"/>
    <w:rsid w:val="009366FC"/>
    <w:rsid w:val="009426D2"/>
    <w:rsid w:val="00943074"/>
    <w:rsid w:val="00943271"/>
    <w:rsid w:val="009438B1"/>
    <w:rsid w:val="00944362"/>
    <w:rsid w:val="009443F8"/>
    <w:rsid w:val="00944F71"/>
    <w:rsid w:val="009458D3"/>
    <w:rsid w:val="00945F7C"/>
    <w:rsid w:val="009461B9"/>
    <w:rsid w:val="009466C6"/>
    <w:rsid w:val="009475F2"/>
    <w:rsid w:val="009479D7"/>
    <w:rsid w:val="00951225"/>
    <w:rsid w:val="009512EA"/>
    <w:rsid w:val="009542BC"/>
    <w:rsid w:val="00954F05"/>
    <w:rsid w:val="00957024"/>
    <w:rsid w:val="0095734A"/>
    <w:rsid w:val="00960386"/>
    <w:rsid w:val="00960AAB"/>
    <w:rsid w:val="00960B20"/>
    <w:rsid w:val="0096148C"/>
    <w:rsid w:val="0096189C"/>
    <w:rsid w:val="00961DDE"/>
    <w:rsid w:val="00961F83"/>
    <w:rsid w:val="0096213B"/>
    <w:rsid w:val="0096348E"/>
    <w:rsid w:val="009637DF"/>
    <w:rsid w:val="00963887"/>
    <w:rsid w:val="00963A17"/>
    <w:rsid w:val="009653B0"/>
    <w:rsid w:val="00965BBD"/>
    <w:rsid w:val="00965C55"/>
    <w:rsid w:val="00966E17"/>
    <w:rsid w:val="00967001"/>
    <w:rsid w:val="009708DA"/>
    <w:rsid w:val="00971579"/>
    <w:rsid w:val="0097273E"/>
    <w:rsid w:val="0097326B"/>
    <w:rsid w:val="009735CE"/>
    <w:rsid w:val="00974A67"/>
    <w:rsid w:val="00975538"/>
    <w:rsid w:val="0097768B"/>
    <w:rsid w:val="00980832"/>
    <w:rsid w:val="009812D0"/>
    <w:rsid w:val="009846E4"/>
    <w:rsid w:val="009858F9"/>
    <w:rsid w:val="00986603"/>
    <w:rsid w:val="00987619"/>
    <w:rsid w:val="009916BA"/>
    <w:rsid w:val="009930FE"/>
    <w:rsid w:val="00993D9B"/>
    <w:rsid w:val="0099487D"/>
    <w:rsid w:val="00994CC4"/>
    <w:rsid w:val="00995FD8"/>
    <w:rsid w:val="00996058"/>
    <w:rsid w:val="0099611A"/>
    <w:rsid w:val="00996F64"/>
    <w:rsid w:val="0099727C"/>
    <w:rsid w:val="00997D72"/>
    <w:rsid w:val="009A0CAD"/>
    <w:rsid w:val="009A0E85"/>
    <w:rsid w:val="009A1AE7"/>
    <w:rsid w:val="009A2557"/>
    <w:rsid w:val="009A3922"/>
    <w:rsid w:val="009A3EC1"/>
    <w:rsid w:val="009A5F6A"/>
    <w:rsid w:val="009A6160"/>
    <w:rsid w:val="009A70A2"/>
    <w:rsid w:val="009A7697"/>
    <w:rsid w:val="009B12FF"/>
    <w:rsid w:val="009B229F"/>
    <w:rsid w:val="009B2562"/>
    <w:rsid w:val="009B3074"/>
    <w:rsid w:val="009B3158"/>
    <w:rsid w:val="009B4BCA"/>
    <w:rsid w:val="009B6413"/>
    <w:rsid w:val="009B6C99"/>
    <w:rsid w:val="009C11EA"/>
    <w:rsid w:val="009C257C"/>
    <w:rsid w:val="009C2600"/>
    <w:rsid w:val="009C26F7"/>
    <w:rsid w:val="009C295F"/>
    <w:rsid w:val="009C2A79"/>
    <w:rsid w:val="009C46B0"/>
    <w:rsid w:val="009C4C8E"/>
    <w:rsid w:val="009C5037"/>
    <w:rsid w:val="009C754F"/>
    <w:rsid w:val="009C77D5"/>
    <w:rsid w:val="009D0161"/>
    <w:rsid w:val="009D0210"/>
    <w:rsid w:val="009D1A08"/>
    <w:rsid w:val="009D20AB"/>
    <w:rsid w:val="009D2367"/>
    <w:rsid w:val="009D2CA4"/>
    <w:rsid w:val="009D50D1"/>
    <w:rsid w:val="009D523F"/>
    <w:rsid w:val="009D52BE"/>
    <w:rsid w:val="009D6080"/>
    <w:rsid w:val="009D72E3"/>
    <w:rsid w:val="009D77F6"/>
    <w:rsid w:val="009E166A"/>
    <w:rsid w:val="009E19AE"/>
    <w:rsid w:val="009E1B14"/>
    <w:rsid w:val="009E3147"/>
    <w:rsid w:val="009E31BE"/>
    <w:rsid w:val="009E39B8"/>
    <w:rsid w:val="009E3A08"/>
    <w:rsid w:val="009E61E6"/>
    <w:rsid w:val="009E6376"/>
    <w:rsid w:val="009E6EEF"/>
    <w:rsid w:val="009E76BE"/>
    <w:rsid w:val="009F15A9"/>
    <w:rsid w:val="009F32EB"/>
    <w:rsid w:val="009F3C9C"/>
    <w:rsid w:val="009F3FA3"/>
    <w:rsid w:val="009F478A"/>
    <w:rsid w:val="009F5C12"/>
    <w:rsid w:val="009F5FC7"/>
    <w:rsid w:val="009F64A3"/>
    <w:rsid w:val="009F6EE4"/>
    <w:rsid w:val="009F6F2E"/>
    <w:rsid w:val="00A010C1"/>
    <w:rsid w:val="00A02215"/>
    <w:rsid w:val="00A03A67"/>
    <w:rsid w:val="00A059C0"/>
    <w:rsid w:val="00A06C28"/>
    <w:rsid w:val="00A10118"/>
    <w:rsid w:val="00A103E0"/>
    <w:rsid w:val="00A110C0"/>
    <w:rsid w:val="00A1237D"/>
    <w:rsid w:val="00A123F9"/>
    <w:rsid w:val="00A1264A"/>
    <w:rsid w:val="00A12873"/>
    <w:rsid w:val="00A130D5"/>
    <w:rsid w:val="00A13F59"/>
    <w:rsid w:val="00A1425C"/>
    <w:rsid w:val="00A156E2"/>
    <w:rsid w:val="00A163CA"/>
    <w:rsid w:val="00A16E11"/>
    <w:rsid w:val="00A20DF7"/>
    <w:rsid w:val="00A21132"/>
    <w:rsid w:val="00A22A2B"/>
    <w:rsid w:val="00A23C7E"/>
    <w:rsid w:val="00A242DE"/>
    <w:rsid w:val="00A25F7E"/>
    <w:rsid w:val="00A27202"/>
    <w:rsid w:val="00A310AE"/>
    <w:rsid w:val="00A3214D"/>
    <w:rsid w:val="00A36D1C"/>
    <w:rsid w:val="00A36FD8"/>
    <w:rsid w:val="00A401EA"/>
    <w:rsid w:val="00A40341"/>
    <w:rsid w:val="00A413F9"/>
    <w:rsid w:val="00A44092"/>
    <w:rsid w:val="00A44943"/>
    <w:rsid w:val="00A4658F"/>
    <w:rsid w:val="00A46FEC"/>
    <w:rsid w:val="00A47A53"/>
    <w:rsid w:val="00A50143"/>
    <w:rsid w:val="00A506C9"/>
    <w:rsid w:val="00A515CA"/>
    <w:rsid w:val="00A53B75"/>
    <w:rsid w:val="00A53D12"/>
    <w:rsid w:val="00A56D1A"/>
    <w:rsid w:val="00A6293E"/>
    <w:rsid w:val="00A63BE1"/>
    <w:rsid w:val="00A643A0"/>
    <w:rsid w:val="00A65E0E"/>
    <w:rsid w:val="00A67662"/>
    <w:rsid w:val="00A6796A"/>
    <w:rsid w:val="00A703AB"/>
    <w:rsid w:val="00A7274A"/>
    <w:rsid w:val="00A72EE0"/>
    <w:rsid w:val="00A72F3D"/>
    <w:rsid w:val="00A730A9"/>
    <w:rsid w:val="00A74257"/>
    <w:rsid w:val="00A7469F"/>
    <w:rsid w:val="00A75436"/>
    <w:rsid w:val="00A75571"/>
    <w:rsid w:val="00A7580C"/>
    <w:rsid w:val="00A75E7A"/>
    <w:rsid w:val="00A800CB"/>
    <w:rsid w:val="00A80493"/>
    <w:rsid w:val="00A8118B"/>
    <w:rsid w:val="00A827E5"/>
    <w:rsid w:val="00A8375D"/>
    <w:rsid w:val="00A84253"/>
    <w:rsid w:val="00A84D7F"/>
    <w:rsid w:val="00A8561A"/>
    <w:rsid w:val="00A85A86"/>
    <w:rsid w:val="00A8727E"/>
    <w:rsid w:val="00A872A1"/>
    <w:rsid w:val="00A914B0"/>
    <w:rsid w:val="00A930BE"/>
    <w:rsid w:val="00A93192"/>
    <w:rsid w:val="00A94164"/>
    <w:rsid w:val="00A94665"/>
    <w:rsid w:val="00A97772"/>
    <w:rsid w:val="00A97A2C"/>
    <w:rsid w:val="00AA2070"/>
    <w:rsid w:val="00AA2FD6"/>
    <w:rsid w:val="00AA4F5B"/>
    <w:rsid w:val="00AA5911"/>
    <w:rsid w:val="00AB132A"/>
    <w:rsid w:val="00AB21AE"/>
    <w:rsid w:val="00AB33A0"/>
    <w:rsid w:val="00AB3F6D"/>
    <w:rsid w:val="00AB44AB"/>
    <w:rsid w:val="00AB577E"/>
    <w:rsid w:val="00AB770D"/>
    <w:rsid w:val="00AC0171"/>
    <w:rsid w:val="00AC0E1A"/>
    <w:rsid w:val="00AC1208"/>
    <w:rsid w:val="00AC14D4"/>
    <w:rsid w:val="00AC204D"/>
    <w:rsid w:val="00AC3262"/>
    <w:rsid w:val="00AC3662"/>
    <w:rsid w:val="00AC3692"/>
    <w:rsid w:val="00AC3A7A"/>
    <w:rsid w:val="00AC40DB"/>
    <w:rsid w:val="00AC42CA"/>
    <w:rsid w:val="00AC4692"/>
    <w:rsid w:val="00AD0AAD"/>
    <w:rsid w:val="00AD1D65"/>
    <w:rsid w:val="00AD21D5"/>
    <w:rsid w:val="00AD2B2B"/>
    <w:rsid w:val="00AD3FB1"/>
    <w:rsid w:val="00AD5552"/>
    <w:rsid w:val="00AD6914"/>
    <w:rsid w:val="00AD7E26"/>
    <w:rsid w:val="00AD7F34"/>
    <w:rsid w:val="00AE2A3C"/>
    <w:rsid w:val="00AE3358"/>
    <w:rsid w:val="00AE3E1F"/>
    <w:rsid w:val="00AE3F00"/>
    <w:rsid w:val="00AE5495"/>
    <w:rsid w:val="00AE5870"/>
    <w:rsid w:val="00AE6F0A"/>
    <w:rsid w:val="00AE781A"/>
    <w:rsid w:val="00AE7908"/>
    <w:rsid w:val="00AF058E"/>
    <w:rsid w:val="00AF1F54"/>
    <w:rsid w:val="00AF37D5"/>
    <w:rsid w:val="00AF4485"/>
    <w:rsid w:val="00AF6EE4"/>
    <w:rsid w:val="00AF7E4F"/>
    <w:rsid w:val="00B000A1"/>
    <w:rsid w:val="00B0048D"/>
    <w:rsid w:val="00B03355"/>
    <w:rsid w:val="00B044E6"/>
    <w:rsid w:val="00B04581"/>
    <w:rsid w:val="00B05669"/>
    <w:rsid w:val="00B0570C"/>
    <w:rsid w:val="00B05EFE"/>
    <w:rsid w:val="00B06470"/>
    <w:rsid w:val="00B064AB"/>
    <w:rsid w:val="00B078CE"/>
    <w:rsid w:val="00B10031"/>
    <w:rsid w:val="00B10159"/>
    <w:rsid w:val="00B10994"/>
    <w:rsid w:val="00B113AF"/>
    <w:rsid w:val="00B1238A"/>
    <w:rsid w:val="00B12869"/>
    <w:rsid w:val="00B12ECF"/>
    <w:rsid w:val="00B1313E"/>
    <w:rsid w:val="00B14018"/>
    <w:rsid w:val="00B14C6A"/>
    <w:rsid w:val="00B15402"/>
    <w:rsid w:val="00B15634"/>
    <w:rsid w:val="00B1634C"/>
    <w:rsid w:val="00B16FDF"/>
    <w:rsid w:val="00B17054"/>
    <w:rsid w:val="00B1726B"/>
    <w:rsid w:val="00B20505"/>
    <w:rsid w:val="00B21312"/>
    <w:rsid w:val="00B2141A"/>
    <w:rsid w:val="00B25973"/>
    <w:rsid w:val="00B262DF"/>
    <w:rsid w:val="00B263EC"/>
    <w:rsid w:val="00B26CA7"/>
    <w:rsid w:val="00B27FAB"/>
    <w:rsid w:val="00B31E54"/>
    <w:rsid w:val="00B33542"/>
    <w:rsid w:val="00B33AAE"/>
    <w:rsid w:val="00B350C8"/>
    <w:rsid w:val="00B35A0C"/>
    <w:rsid w:val="00B362F5"/>
    <w:rsid w:val="00B369B5"/>
    <w:rsid w:val="00B400B6"/>
    <w:rsid w:val="00B40B3F"/>
    <w:rsid w:val="00B41743"/>
    <w:rsid w:val="00B417D0"/>
    <w:rsid w:val="00B418B6"/>
    <w:rsid w:val="00B423CA"/>
    <w:rsid w:val="00B438E9"/>
    <w:rsid w:val="00B4395B"/>
    <w:rsid w:val="00B43D5E"/>
    <w:rsid w:val="00B45396"/>
    <w:rsid w:val="00B45A43"/>
    <w:rsid w:val="00B46964"/>
    <w:rsid w:val="00B50311"/>
    <w:rsid w:val="00B5412E"/>
    <w:rsid w:val="00B549B0"/>
    <w:rsid w:val="00B5555E"/>
    <w:rsid w:val="00B561F9"/>
    <w:rsid w:val="00B564C5"/>
    <w:rsid w:val="00B56CF1"/>
    <w:rsid w:val="00B573D7"/>
    <w:rsid w:val="00B57706"/>
    <w:rsid w:val="00B601A2"/>
    <w:rsid w:val="00B60AAE"/>
    <w:rsid w:val="00B613BB"/>
    <w:rsid w:val="00B6158E"/>
    <w:rsid w:val="00B61A13"/>
    <w:rsid w:val="00B62E44"/>
    <w:rsid w:val="00B63CF0"/>
    <w:rsid w:val="00B63CF4"/>
    <w:rsid w:val="00B63FE3"/>
    <w:rsid w:val="00B65B82"/>
    <w:rsid w:val="00B66001"/>
    <w:rsid w:val="00B66254"/>
    <w:rsid w:val="00B678B9"/>
    <w:rsid w:val="00B67923"/>
    <w:rsid w:val="00B70501"/>
    <w:rsid w:val="00B7095C"/>
    <w:rsid w:val="00B713E1"/>
    <w:rsid w:val="00B72024"/>
    <w:rsid w:val="00B73741"/>
    <w:rsid w:val="00B753D9"/>
    <w:rsid w:val="00B77A38"/>
    <w:rsid w:val="00B825D0"/>
    <w:rsid w:val="00B82E5C"/>
    <w:rsid w:val="00B8415B"/>
    <w:rsid w:val="00B853A1"/>
    <w:rsid w:val="00B858ED"/>
    <w:rsid w:val="00B912E5"/>
    <w:rsid w:val="00B93E51"/>
    <w:rsid w:val="00B941FF"/>
    <w:rsid w:val="00B9428E"/>
    <w:rsid w:val="00B9599B"/>
    <w:rsid w:val="00B96EA8"/>
    <w:rsid w:val="00BA0D73"/>
    <w:rsid w:val="00BA13A3"/>
    <w:rsid w:val="00BA2C3A"/>
    <w:rsid w:val="00BA2CBE"/>
    <w:rsid w:val="00BA2FCE"/>
    <w:rsid w:val="00BA434D"/>
    <w:rsid w:val="00BA4BB1"/>
    <w:rsid w:val="00BA4DB2"/>
    <w:rsid w:val="00BA508A"/>
    <w:rsid w:val="00BA5A29"/>
    <w:rsid w:val="00BA5E54"/>
    <w:rsid w:val="00BA5EB9"/>
    <w:rsid w:val="00BA6CC8"/>
    <w:rsid w:val="00BB024B"/>
    <w:rsid w:val="00BB0B22"/>
    <w:rsid w:val="00BB0BE2"/>
    <w:rsid w:val="00BB10F6"/>
    <w:rsid w:val="00BB1352"/>
    <w:rsid w:val="00BB24B8"/>
    <w:rsid w:val="00BB3828"/>
    <w:rsid w:val="00BB3850"/>
    <w:rsid w:val="00BB3A3E"/>
    <w:rsid w:val="00BB4149"/>
    <w:rsid w:val="00BB452B"/>
    <w:rsid w:val="00BB4B39"/>
    <w:rsid w:val="00BB525D"/>
    <w:rsid w:val="00BB71FD"/>
    <w:rsid w:val="00BB749F"/>
    <w:rsid w:val="00BB78DC"/>
    <w:rsid w:val="00BB7FAC"/>
    <w:rsid w:val="00BC070D"/>
    <w:rsid w:val="00BC07DD"/>
    <w:rsid w:val="00BC0ED9"/>
    <w:rsid w:val="00BC1C19"/>
    <w:rsid w:val="00BC3417"/>
    <w:rsid w:val="00BC3DD9"/>
    <w:rsid w:val="00BC503A"/>
    <w:rsid w:val="00BC51A5"/>
    <w:rsid w:val="00BC5421"/>
    <w:rsid w:val="00BC57BA"/>
    <w:rsid w:val="00BC5D9A"/>
    <w:rsid w:val="00BD169B"/>
    <w:rsid w:val="00BD184C"/>
    <w:rsid w:val="00BD1FE8"/>
    <w:rsid w:val="00BD21D4"/>
    <w:rsid w:val="00BD2B06"/>
    <w:rsid w:val="00BD4698"/>
    <w:rsid w:val="00BD48B6"/>
    <w:rsid w:val="00BD5510"/>
    <w:rsid w:val="00BD6F7E"/>
    <w:rsid w:val="00BD738A"/>
    <w:rsid w:val="00BD7D1D"/>
    <w:rsid w:val="00BE121F"/>
    <w:rsid w:val="00BE21EB"/>
    <w:rsid w:val="00BE2574"/>
    <w:rsid w:val="00BE2BDB"/>
    <w:rsid w:val="00BE3054"/>
    <w:rsid w:val="00BE3DF0"/>
    <w:rsid w:val="00BE3E30"/>
    <w:rsid w:val="00BE616C"/>
    <w:rsid w:val="00BE7969"/>
    <w:rsid w:val="00BE7EDB"/>
    <w:rsid w:val="00BE7EDF"/>
    <w:rsid w:val="00BF0111"/>
    <w:rsid w:val="00BF0618"/>
    <w:rsid w:val="00BF2607"/>
    <w:rsid w:val="00BF2796"/>
    <w:rsid w:val="00BF43FF"/>
    <w:rsid w:val="00BF57B6"/>
    <w:rsid w:val="00BF5F65"/>
    <w:rsid w:val="00BF7449"/>
    <w:rsid w:val="00BF78B4"/>
    <w:rsid w:val="00C031AB"/>
    <w:rsid w:val="00C03671"/>
    <w:rsid w:val="00C0653F"/>
    <w:rsid w:val="00C10D54"/>
    <w:rsid w:val="00C11473"/>
    <w:rsid w:val="00C1306C"/>
    <w:rsid w:val="00C13CAB"/>
    <w:rsid w:val="00C15177"/>
    <w:rsid w:val="00C158D9"/>
    <w:rsid w:val="00C15904"/>
    <w:rsid w:val="00C20065"/>
    <w:rsid w:val="00C203D2"/>
    <w:rsid w:val="00C206AA"/>
    <w:rsid w:val="00C21F0F"/>
    <w:rsid w:val="00C22509"/>
    <w:rsid w:val="00C23EA7"/>
    <w:rsid w:val="00C24237"/>
    <w:rsid w:val="00C242DC"/>
    <w:rsid w:val="00C24F46"/>
    <w:rsid w:val="00C25AEF"/>
    <w:rsid w:val="00C26096"/>
    <w:rsid w:val="00C2655D"/>
    <w:rsid w:val="00C27A89"/>
    <w:rsid w:val="00C30052"/>
    <w:rsid w:val="00C333BC"/>
    <w:rsid w:val="00C3371A"/>
    <w:rsid w:val="00C34386"/>
    <w:rsid w:val="00C357FA"/>
    <w:rsid w:val="00C35C5A"/>
    <w:rsid w:val="00C366A2"/>
    <w:rsid w:val="00C36801"/>
    <w:rsid w:val="00C36A57"/>
    <w:rsid w:val="00C3746F"/>
    <w:rsid w:val="00C40145"/>
    <w:rsid w:val="00C41891"/>
    <w:rsid w:val="00C42285"/>
    <w:rsid w:val="00C425D2"/>
    <w:rsid w:val="00C42CAC"/>
    <w:rsid w:val="00C4423C"/>
    <w:rsid w:val="00C45D21"/>
    <w:rsid w:val="00C4697C"/>
    <w:rsid w:val="00C476DA"/>
    <w:rsid w:val="00C47B44"/>
    <w:rsid w:val="00C507DB"/>
    <w:rsid w:val="00C50BB2"/>
    <w:rsid w:val="00C51530"/>
    <w:rsid w:val="00C51A3C"/>
    <w:rsid w:val="00C52193"/>
    <w:rsid w:val="00C52435"/>
    <w:rsid w:val="00C528EE"/>
    <w:rsid w:val="00C53174"/>
    <w:rsid w:val="00C53555"/>
    <w:rsid w:val="00C561C9"/>
    <w:rsid w:val="00C569AE"/>
    <w:rsid w:val="00C56B6C"/>
    <w:rsid w:val="00C57EF5"/>
    <w:rsid w:val="00C60E42"/>
    <w:rsid w:val="00C60F1F"/>
    <w:rsid w:val="00C61322"/>
    <w:rsid w:val="00C63999"/>
    <w:rsid w:val="00C63B2E"/>
    <w:rsid w:val="00C63E46"/>
    <w:rsid w:val="00C64BD8"/>
    <w:rsid w:val="00C6726C"/>
    <w:rsid w:val="00C67626"/>
    <w:rsid w:val="00C7076D"/>
    <w:rsid w:val="00C71C11"/>
    <w:rsid w:val="00C72DE9"/>
    <w:rsid w:val="00C73237"/>
    <w:rsid w:val="00C734FD"/>
    <w:rsid w:val="00C736F9"/>
    <w:rsid w:val="00C7522A"/>
    <w:rsid w:val="00C752B2"/>
    <w:rsid w:val="00C75A27"/>
    <w:rsid w:val="00C760C3"/>
    <w:rsid w:val="00C76789"/>
    <w:rsid w:val="00C77B32"/>
    <w:rsid w:val="00C80CED"/>
    <w:rsid w:val="00C81C46"/>
    <w:rsid w:val="00C826EB"/>
    <w:rsid w:val="00C82954"/>
    <w:rsid w:val="00C82DDE"/>
    <w:rsid w:val="00C8449B"/>
    <w:rsid w:val="00C84F9B"/>
    <w:rsid w:val="00C87002"/>
    <w:rsid w:val="00C8796F"/>
    <w:rsid w:val="00C87FFE"/>
    <w:rsid w:val="00C904EC"/>
    <w:rsid w:val="00C90EB2"/>
    <w:rsid w:val="00C9167E"/>
    <w:rsid w:val="00C91E32"/>
    <w:rsid w:val="00C91EF1"/>
    <w:rsid w:val="00C91F24"/>
    <w:rsid w:val="00C922AE"/>
    <w:rsid w:val="00C9250F"/>
    <w:rsid w:val="00C92A42"/>
    <w:rsid w:val="00C961E5"/>
    <w:rsid w:val="00C97143"/>
    <w:rsid w:val="00C97703"/>
    <w:rsid w:val="00CA1CBD"/>
    <w:rsid w:val="00CA2544"/>
    <w:rsid w:val="00CA27AA"/>
    <w:rsid w:val="00CA3B93"/>
    <w:rsid w:val="00CA575D"/>
    <w:rsid w:val="00CA61C3"/>
    <w:rsid w:val="00CA61E0"/>
    <w:rsid w:val="00CA6CB2"/>
    <w:rsid w:val="00CA6DC8"/>
    <w:rsid w:val="00CB0679"/>
    <w:rsid w:val="00CB0686"/>
    <w:rsid w:val="00CB06E1"/>
    <w:rsid w:val="00CB0AAE"/>
    <w:rsid w:val="00CB0F69"/>
    <w:rsid w:val="00CB172B"/>
    <w:rsid w:val="00CB2FD0"/>
    <w:rsid w:val="00CB3381"/>
    <w:rsid w:val="00CB65A5"/>
    <w:rsid w:val="00CB6907"/>
    <w:rsid w:val="00CB705E"/>
    <w:rsid w:val="00CB74FC"/>
    <w:rsid w:val="00CB7B73"/>
    <w:rsid w:val="00CC09CB"/>
    <w:rsid w:val="00CC10C5"/>
    <w:rsid w:val="00CC2AB5"/>
    <w:rsid w:val="00CC328C"/>
    <w:rsid w:val="00CC33FC"/>
    <w:rsid w:val="00CC4FA5"/>
    <w:rsid w:val="00CC6602"/>
    <w:rsid w:val="00CC7010"/>
    <w:rsid w:val="00CC7846"/>
    <w:rsid w:val="00CC7B18"/>
    <w:rsid w:val="00CD0F81"/>
    <w:rsid w:val="00CD20CC"/>
    <w:rsid w:val="00CD214E"/>
    <w:rsid w:val="00CD252A"/>
    <w:rsid w:val="00CD2DFA"/>
    <w:rsid w:val="00CD3F44"/>
    <w:rsid w:val="00CD40D0"/>
    <w:rsid w:val="00CD4F6B"/>
    <w:rsid w:val="00CD51F4"/>
    <w:rsid w:val="00CD521B"/>
    <w:rsid w:val="00CD6235"/>
    <w:rsid w:val="00CD63AF"/>
    <w:rsid w:val="00CD69BE"/>
    <w:rsid w:val="00CD6ADB"/>
    <w:rsid w:val="00CD7EA5"/>
    <w:rsid w:val="00CD7F26"/>
    <w:rsid w:val="00CE123D"/>
    <w:rsid w:val="00CE34B1"/>
    <w:rsid w:val="00CE43D7"/>
    <w:rsid w:val="00CE78AE"/>
    <w:rsid w:val="00CF1E9F"/>
    <w:rsid w:val="00CF4022"/>
    <w:rsid w:val="00CF4712"/>
    <w:rsid w:val="00CF549C"/>
    <w:rsid w:val="00CF5757"/>
    <w:rsid w:val="00CF6F39"/>
    <w:rsid w:val="00CF71F2"/>
    <w:rsid w:val="00CF7ED0"/>
    <w:rsid w:val="00D0069D"/>
    <w:rsid w:val="00D015D1"/>
    <w:rsid w:val="00D0276B"/>
    <w:rsid w:val="00D03580"/>
    <w:rsid w:val="00D038D8"/>
    <w:rsid w:val="00D04149"/>
    <w:rsid w:val="00D0440C"/>
    <w:rsid w:val="00D04E71"/>
    <w:rsid w:val="00D0653E"/>
    <w:rsid w:val="00D069F0"/>
    <w:rsid w:val="00D06AD7"/>
    <w:rsid w:val="00D071B0"/>
    <w:rsid w:val="00D11F1D"/>
    <w:rsid w:val="00D1248F"/>
    <w:rsid w:val="00D149CE"/>
    <w:rsid w:val="00D14CBF"/>
    <w:rsid w:val="00D17618"/>
    <w:rsid w:val="00D21B48"/>
    <w:rsid w:val="00D21C3B"/>
    <w:rsid w:val="00D222FD"/>
    <w:rsid w:val="00D22938"/>
    <w:rsid w:val="00D22F14"/>
    <w:rsid w:val="00D23FD8"/>
    <w:rsid w:val="00D24213"/>
    <w:rsid w:val="00D24845"/>
    <w:rsid w:val="00D252A4"/>
    <w:rsid w:val="00D253D9"/>
    <w:rsid w:val="00D2593D"/>
    <w:rsid w:val="00D25C38"/>
    <w:rsid w:val="00D27049"/>
    <w:rsid w:val="00D27A41"/>
    <w:rsid w:val="00D27D98"/>
    <w:rsid w:val="00D33621"/>
    <w:rsid w:val="00D34270"/>
    <w:rsid w:val="00D346CA"/>
    <w:rsid w:val="00D348C0"/>
    <w:rsid w:val="00D354E8"/>
    <w:rsid w:val="00D36220"/>
    <w:rsid w:val="00D3643C"/>
    <w:rsid w:val="00D37576"/>
    <w:rsid w:val="00D37CA9"/>
    <w:rsid w:val="00D409C3"/>
    <w:rsid w:val="00D42BE9"/>
    <w:rsid w:val="00D44365"/>
    <w:rsid w:val="00D45958"/>
    <w:rsid w:val="00D46084"/>
    <w:rsid w:val="00D46125"/>
    <w:rsid w:val="00D464B7"/>
    <w:rsid w:val="00D465C3"/>
    <w:rsid w:val="00D50036"/>
    <w:rsid w:val="00D510B0"/>
    <w:rsid w:val="00D52D84"/>
    <w:rsid w:val="00D56DB3"/>
    <w:rsid w:val="00D620F3"/>
    <w:rsid w:val="00D6494A"/>
    <w:rsid w:val="00D65C21"/>
    <w:rsid w:val="00D65E1B"/>
    <w:rsid w:val="00D66000"/>
    <w:rsid w:val="00D6618B"/>
    <w:rsid w:val="00D66CB6"/>
    <w:rsid w:val="00D67C1A"/>
    <w:rsid w:val="00D72405"/>
    <w:rsid w:val="00D729BF"/>
    <w:rsid w:val="00D73490"/>
    <w:rsid w:val="00D73601"/>
    <w:rsid w:val="00D74A4C"/>
    <w:rsid w:val="00D76829"/>
    <w:rsid w:val="00D76B1B"/>
    <w:rsid w:val="00D80169"/>
    <w:rsid w:val="00D80B11"/>
    <w:rsid w:val="00D84FC6"/>
    <w:rsid w:val="00D85ABD"/>
    <w:rsid w:val="00D85F23"/>
    <w:rsid w:val="00D865D3"/>
    <w:rsid w:val="00D87723"/>
    <w:rsid w:val="00D87BEC"/>
    <w:rsid w:val="00D90659"/>
    <w:rsid w:val="00D91F86"/>
    <w:rsid w:val="00D925B3"/>
    <w:rsid w:val="00D92676"/>
    <w:rsid w:val="00D92F76"/>
    <w:rsid w:val="00D930B9"/>
    <w:rsid w:val="00D938C1"/>
    <w:rsid w:val="00D93A00"/>
    <w:rsid w:val="00D94D8F"/>
    <w:rsid w:val="00D94D9D"/>
    <w:rsid w:val="00D975F8"/>
    <w:rsid w:val="00DA050C"/>
    <w:rsid w:val="00DA0BD5"/>
    <w:rsid w:val="00DA1236"/>
    <w:rsid w:val="00DA183B"/>
    <w:rsid w:val="00DA3F92"/>
    <w:rsid w:val="00DA42D4"/>
    <w:rsid w:val="00DA59BE"/>
    <w:rsid w:val="00DA7526"/>
    <w:rsid w:val="00DA76A0"/>
    <w:rsid w:val="00DB0A50"/>
    <w:rsid w:val="00DB27E9"/>
    <w:rsid w:val="00DB4BC1"/>
    <w:rsid w:val="00DB5C09"/>
    <w:rsid w:val="00DB5C0F"/>
    <w:rsid w:val="00DC017E"/>
    <w:rsid w:val="00DC03FB"/>
    <w:rsid w:val="00DC1ED6"/>
    <w:rsid w:val="00DC2593"/>
    <w:rsid w:val="00DC2F62"/>
    <w:rsid w:val="00DC30B9"/>
    <w:rsid w:val="00DC435F"/>
    <w:rsid w:val="00DC44BC"/>
    <w:rsid w:val="00DC5BF3"/>
    <w:rsid w:val="00DC628C"/>
    <w:rsid w:val="00DD023A"/>
    <w:rsid w:val="00DD0BD6"/>
    <w:rsid w:val="00DD1C32"/>
    <w:rsid w:val="00DD247F"/>
    <w:rsid w:val="00DD2A49"/>
    <w:rsid w:val="00DD4135"/>
    <w:rsid w:val="00DD511B"/>
    <w:rsid w:val="00DD652A"/>
    <w:rsid w:val="00DD6E98"/>
    <w:rsid w:val="00DD7C81"/>
    <w:rsid w:val="00DE045B"/>
    <w:rsid w:val="00DE0E0B"/>
    <w:rsid w:val="00DE1465"/>
    <w:rsid w:val="00DE1AC7"/>
    <w:rsid w:val="00DE1F4D"/>
    <w:rsid w:val="00DE21D0"/>
    <w:rsid w:val="00DE2B0B"/>
    <w:rsid w:val="00DE3062"/>
    <w:rsid w:val="00DE47E9"/>
    <w:rsid w:val="00DE50FA"/>
    <w:rsid w:val="00DE5E4A"/>
    <w:rsid w:val="00DE5FFD"/>
    <w:rsid w:val="00DE7F8F"/>
    <w:rsid w:val="00DF1D84"/>
    <w:rsid w:val="00DF1E5E"/>
    <w:rsid w:val="00DF2E54"/>
    <w:rsid w:val="00DF5EC3"/>
    <w:rsid w:val="00DF6315"/>
    <w:rsid w:val="00E00014"/>
    <w:rsid w:val="00E0003F"/>
    <w:rsid w:val="00E004C6"/>
    <w:rsid w:val="00E0062E"/>
    <w:rsid w:val="00E00780"/>
    <w:rsid w:val="00E00799"/>
    <w:rsid w:val="00E01DA6"/>
    <w:rsid w:val="00E02561"/>
    <w:rsid w:val="00E029D3"/>
    <w:rsid w:val="00E029FE"/>
    <w:rsid w:val="00E0302B"/>
    <w:rsid w:val="00E0418B"/>
    <w:rsid w:val="00E04A82"/>
    <w:rsid w:val="00E05244"/>
    <w:rsid w:val="00E05EBD"/>
    <w:rsid w:val="00E060CD"/>
    <w:rsid w:val="00E10C45"/>
    <w:rsid w:val="00E1122B"/>
    <w:rsid w:val="00E11D3D"/>
    <w:rsid w:val="00E12814"/>
    <w:rsid w:val="00E1294D"/>
    <w:rsid w:val="00E12D7B"/>
    <w:rsid w:val="00E1507E"/>
    <w:rsid w:val="00E168C7"/>
    <w:rsid w:val="00E16B33"/>
    <w:rsid w:val="00E16D98"/>
    <w:rsid w:val="00E17D65"/>
    <w:rsid w:val="00E20141"/>
    <w:rsid w:val="00E21AA2"/>
    <w:rsid w:val="00E220FF"/>
    <w:rsid w:val="00E22D3D"/>
    <w:rsid w:val="00E237DB"/>
    <w:rsid w:val="00E23EB3"/>
    <w:rsid w:val="00E24263"/>
    <w:rsid w:val="00E24BD4"/>
    <w:rsid w:val="00E253A6"/>
    <w:rsid w:val="00E26A3E"/>
    <w:rsid w:val="00E302AE"/>
    <w:rsid w:val="00E316D5"/>
    <w:rsid w:val="00E31BA2"/>
    <w:rsid w:val="00E31DB4"/>
    <w:rsid w:val="00E36359"/>
    <w:rsid w:val="00E37E2B"/>
    <w:rsid w:val="00E40221"/>
    <w:rsid w:val="00E410F9"/>
    <w:rsid w:val="00E41509"/>
    <w:rsid w:val="00E41F3D"/>
    <w:rsid w:val="00E426BD"/>
    <w:rsid w:val="00E45154"/>
    <w:rsid w:val="00E45545"/>
    <w:rsid w:val="00E46F10"/>
    <w:rsid w:val="00E4701A"/>
    <w:rsid w:val="00E473F9"/>
    <w:rsid w:val="00E47CAE"/>
    <w:rsid w:val="00E5005D"/>
    <w:rsid w:val="00E50F0A"/>
    <w:rsid w:val="00E51243"/>
    <w:rsid w:val="00E51C88"/>
    <w:rsid w:val="00E51D1E"/>
    <w:rsid w:val="00E53F78"/>
    <w:rsid w:val="00E54879"/>
    <w:rsid w:val="00E54BC0"/>
    <w:rsid w:val="00E56EC3"/>
    <w:rsid w:val="00E5712A"/>
    <w:rsid w:val="00E57EE4"/>
    <w:rsid w:val="00E57F50"/>
    <w:rsid w:val="00E60486"/>
    <w:rsid w:val="00E605CB"/>
    <w:rsid w:val="00E6075B"/>
    <w:rsid w:val="00E61940"/>
    <w:rsid w:val="00E61C5D"/>
    <w:rsid w:val="00E6206E"/>
    <w:rsid w:val="00E62101"/>
    <w:rsid w:val="00E62AC2"/>
    <w:rsid w:val="00E634E1"/>
    <w:rsid w:val="00E642C6"/>
    <w:rsid w:val="00E643F3"/>
    <w:rsid w:val="00E653F1"/>
    <w:rsid w:val="00E654AD"/>
    <w:rsid w:val="00E66E1E"/>
    <w:rsid w:val="00E67470"/>
    <w:rsid w:val="00E67BF8"/>
    <w:rsid w:val="00E72417"/>
    <w:rsid w:val="00E72654"/>
    <w:rsid w:val="00E72D67"/>
    <w:rsid w:val="00E738B3"/>
    <w:rsid w:val="00E74213"/>
    <w:rsid w:val="00E7427C"/>
    <w:rsid w:val="00E750C7"/>
    <w:rsid w:val="00E75F5D"/>
    <w:rsid w:val="00E75F8B"/>
    <w:rsid w:val="00E76628"/>
    <w:rsid w:val="00E76C8B"/>
    <w:rsid w:val="00E77D1C"/>
    <w:rsid w:val="00E77DB6"/>
    <w:rsid w:val="00E80347"/>
    <w:rsid w:val="00E80568"/>
    <w:rsid w:val="00E81C6D"/>
    <w:rsid w:val="00E8270B"/>
    <w:rsid w:val="00E82F73"/>
    <w:rsid w:val="00E845F5"/>
    <w:rsid w:val="00E84934"/>
    <w:rsid w:val="00E8527E"/>
    <w:rsid w:val="00E8537F"/>
    <w:rsid w:val="00E90313"/>
    <w:rsid w:val="00E90DDF"/>
    <w:rsid w:val="00E91780"/>
    <w:rsid w:val="00E91EA9"/>
    <w:rsid w:val="00E9207C"/>
    <w:rsid w:val="00E921FE"/>
    <w:rsid w:val="00E93C4C"/>
    <w:rsid w:val="00E93F32"/>
    <w:rsid w:val="00E94D9E"/>
    <w:rsid w:val="00E95281"/>
    <w:rsid w:val="00E95701"/>
    <w:rsid w:val="00E95942"/>
    <w:rsid w:val="00E95BCB"/>
    <w:rsid w:val="00E95D9E"/>
    <w:rsid w:val="00E96476"/>
    <w:rsid w:val="00E97782"/>
    <w:rsid w:val="00EA0D52"/>
    <w:rsid w:val="00EA0F9F"/>
    <w:rsid w:val="00EA173A"/>
    <w:rsid w:val="00EA1988"/>
    <w:rsid w:val="00EA205B"/>
    <w:rsid w:val="00EA30E5"/>
    <w:rsid w:val="00EA41D4"/>
    <w:rsid w:val="00EA4FD2"/>
    <w:rsid w:val="00EA5438"/>
    <w:rsid w:val="00EA6835"/>
    <w:rsid w:val="00EA78AE"/>
    <w:rsid w:val="00EA7AEF"/>
    <w:rsid w:val="00EB0B50"/>
    <w:rsid w:val="00EB1B7B"/>
    <w:rsid w:val="00EB30B7"/>
    <w:rsid w:val="00EB6952"/>
    <w:rsid w:val="00EB6A63"/>
    <w:rsid w:val="00EB7436"/>
    <w:rsid w:val="00EB7B71"/>
    <w:rsid w:val="00EC0896"/>
    <w:rsid w:val="00EC1491"/>
    <w:rsid w:val="00EC1964"/>
    <w:rsid w:val="00EC1E45"/>
    <w:rsid w:val="00EC1EE3"/>
    <w:rsid w:val="00EC2DFA"/>
    <w:rsid w:val="00EC433F"/>
    <w:rsid w:val="00EC7893"/>
    <w:rsid w:val="00EC7DD7"/>
    <w:rsid w:val="00EC7FA7"/>
    <w:rsid w:val="00ED0579"/>
    <w:rsid w:val="00ED0C28"/>
    <w:rsid w:val="00ED1756"/>
    <w:rsid w:val="00ED1FC6"/>
    <w:rsid w:val="00ED36B9"/>
    <w:rsid w:val="00ED5292"/>
    <w:rsid w:val="00ED64F4"/>
    <w:rsid w:val="00ED6C15"/>
    <w:rsid w:val="00ED77C4"/>
    <w:rsid w:val="00ED7ADE"/>
    <w:rsid w:val="00ED7FA2"/>
    <w:rsid w:val="00EE0A23"/>
    <w:rsid w:val="00EE1E8F"/>
    <w:rsid w:val="00EE3BE8"/>
    <w:rsid w:val="00EE4454"/>
    <w:rsid w:val="00EE5B5D"/>
    <w:rsid w:val="00EE67F6"/>
    <w:rsid w:val="00EE69AF"/>
    <w:rsid w:val="00EF0066"/>
    <w:rsid w:val="00EF31D5"/>
    <w:rsid w:val="00EF3C3D"/>
    <w:rsid w:val="00EF4303"/>
    <w:rsid w:val="00EF4DA8"/>
    <w:rsid w:val="00EF5545"/>
    <w:rsid w:val="00EF657E"/>
    <w:rsid w:val="00EF7306"/>
    <w:rsid w:val="00EF761C"/>
    <w:rsid w:val="00F014DD"/>
    <w:rsid w:val="00F0244D"/>
    <w:rsid w:val="00F02A29"/>
    <w:rsid w:val="00F0373F"/>
    <w:rsid w:val="00F03E99"/>
    <w:rsid w:val="00F0491F"/>
    <w:rsid w:val="00F04CF1"/>
    <w:rsid w:val="00F05452"/>
    <w:rsid w:val="00F05491"/>
    <w:rsid w:val="00F07237"/>
    <w:rsid w:val="00F07892"/>
    <w:rsid w:val="00F10B2B"/>
    <w:rsid w:val="00F1194B"/>
    <w:rsid w:val="00F11D0B"/>
    <w:rsid w:val="00F12BF6"/>
    <w:rsid w:val="00F13160"/>
    <w:rsid w:val="00F13C74"/>
    <w:rsid w:val="00F149DD"/>
    <w:rsid w:val="00F156A5"/>
    <w:rsid w:val="00F1642B"/>
    <w:rsid w:val="00F17345"/>
    <w:rsid w:val="00F17C93"/>
    <w:rsid w:val="00F20E84"/>
    <w:rsid w:val="00F21135"/>
    <w:rsid w:val="00F21582"/>
    <w:rsid w:val="00F217FC"/>
    <w:rsid w:val="00F220BA"/>
    <w:rsid w:val="00F267CB"/>
    <w:rsid w:val="00F30934"/>
    <w:rsid w:val="00F30B90"/>
    <w:rsid w:val="00F31D10"/>
    <w:rsid w:val="00F335AF"/>
    <w:rsid w:val="00F33C23"/>
    <w:rsid w:val="00F35012"/>
    <w:rsid w:val="00F351C8"/>
    <w:rsid w:val="00F37DC9"/>
    <w:rsid w:val="00F41027"/>
    <w:rsid w:val="00F41888"/>
    <w:rsid w:val="00F420AE"/>
    <w:rsid w:val="00F4246C"/>
    <w:rsid w:val="00F42C8D"/>
    <w:rsid w:val="00F42E2B"/>
    <w:rsid w:val="00F432C5"/>
    <w:rsid w:val="00F436EB"/>
    <w:rsid w:val="00F43C86"/>
    <w:rsid w:val="00F43FE1"/>
    <w:rsid w:val="00F465AB"/>
    <w:rsid w:val="00F46799"/>
    <w:rsid w:val="00F46DB9"/>
    <w:rsid w:val="00F472BE"/>
    <w:rsid w:val="00F47742"/>
    <w:rsid w:val="00F47794"/>
    <w:rsid w:val="00F51F58"/>
    <w:rsid w:val="00F520D7"/>
    <w:rsid w:val="00F52486"/>
    <w:rsid w:val="00F551AB"/>
    <w:rsid w:val="00F601E9"/>
    <w:rsid w:val="00F6084B"/>
    <w:rsid w:val="00F6168E"/>
    <w:rsid w:val="00F61E73"/>
    <w:rsid w:val="00F64242"/>
    <w:rsid w:val="00F646D0"/>
    <w:rsid w:val="00F64903"/>
    <w:rsid w:val="00F65CB6"/>
    <w:rsid w:val="00F665CC"/>
    <w:rsid w:val="00F6714B"/>
    <w:rsid w:val="00F67E87"/>
    <w:rsid w:val="00F70379"/>
    <w:rsid w:val="00F70B27"/>
    <w:rsid w:val="00F70B98"/>
    <w:rsid w:val="00F71151"/>
    <w:rsid w:val="00F712C4"/>
    <w:rsid w:val="00F75331"/>
    <w:rsid w:val="00F76795"/>
    <w:rsid w:val="00F81CF9"/>
    <w:rsid w:val="00F820A6"/>
    <w:rsid w:val="00F823E4"/>
    <w:rsid w:val="00F8292D"/>
    <w:rsid w:val="00F82A7D"/>
    <w:rsid w:val="00F8311A"/>
    <w:rsid w:val="00F86470"/>
    <w:rsid w:val="00F877EB"/>
    <w:rsid w:val="00F90007"/>
    <w:rsid w:val="00F90A09"/>
    <w:rsid w:val="00F9291E"/>
    <w:rsid w:val="00F9294D"/>
    <w:rsid w:val="00F93A32"/>
    <w:rsid w:val="00F9534F"/>
    <w:rsid w:val="00F962C2"/>
    <w:rsid w:val="00F9708F"/>
    <w:rsid w:val="00F9763C"/>
    <w:rsid w:val="00F97FFD"/>
    <w:rsid w:val="00FA1377"/>
    <w:rsid w:val="00FA14AC"/>
    <w:rsid w:val="00FA1612"/>
    <w:rsid w:val="00FA17A7"/>
    <w:rsid w:val="00FA310B"/>
    <w:rsid w:val="00FA5C62"/>
    <w:rsid w:val="00FA77F3"/>
    <w:rsid w:val="00FB12F2"/>
    <w:rsid w:val="00FB2592"/>
    <w:rsid w:val="00FB264E"/>
    <w:rsid w:val="00FB5B5E"/>
    <w:rsid w:val="00FC065E"/>
    <w:rsid w:val="00FC3B3A"/>
    <w:rsid w:val="00FC3BEA"/>
    <w:rsid w:val="00FC3DD9"/>
    <w:rsid w:val="00FC41A1"/>
    <w:rsid w:val="00FC5109"/>
    <w:rsid w:val="00FC51B6"/>
    <w:rsid w:val="00FC51E8"/>
    <w:rsid w:val="00FC6437"/>
    <w:rsid w:val="00FC69AB"/>
    <w:rsid w:val="00FD0837"/>
    <w:rsid w:val="00FD1401"/>
    <w:rsid w:val="00FD17D4"/>
    <w:rsid w:val="00FD21E4"/>
    <w:rsid w:val="00FD60A3"/>
    <w:rsid w:val="00FD6286"/>
    <w:rsid w:val="00FD7FD8"/>
    <w:rsid w:val="00FE0226"/>
    <w:rsid w:val="00FE0A06"/>
    <w:rsid w:val="00FE1AC1"/>
    <w:rsid w:val="00FE1B38"/>
    <w:rsid w:val="00FE25B1"/>
    <w:rsid w:val="00FE45D2"/>
    <w:rsid w:val="00FE4631"/>
    <w:rsid w:val="00FE527F"/>
    <w:rsid w:val="00FE5DFD"/>
    <w:rsid w:val="00FE5F48"/>
    <w:rsid w:val="00FE667D"/>
    <w:rsid w:val="00FE6B4C"/>
    <w:rsid w:val="00FE6DA2"/>
    <w:rsid w:val="00FF0208"/>
    <w:rsid w:val="00FF1832"/>
    <w:rsid w:val="00FF2FE9"/>
    <w:rsid w:val="00FF4B6D"/>
    <w:rsid w:val="00FF61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490F"/>
  <w15:docId w15:val="{8A0756CF-3FE9-4FD5-ADDC-04A096D9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514DD"/>
    <w:pPr>
      <w:keepNext/>
      <w:spacing w:after="240" w:line="240" w:lineRule="auto"/>
      <w:jc w:val="both"/>
      <w:outlineLvl w:val="1"/>
    </w:pPr>
    <w:rPr>
      <w:rFonts w:ascii="Arial" w:eastAsia="Times New Roman"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5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033"/>
    <w:rPr>
      <w:sz w:val="20"/>
      <w:szCs w:val="20"/>
    </w:rPr>
  </w:style>
  <w:style w:type="character" w:styleId="FootnoteReference">
    <w:name w:val="footnote reference"/>
    <w:basedOn w:val="DefaultParagraphFont"/>
    <w:uiPriority w:val="99"/>
    <w:semiHidden/>
    <w:unhideWhenUsed/>
    <w:rsid w:val="00665033"/>
    <w:rPr>
      <w:vertAlign w:val="superscript"/>
    </w:rPr>
  </w:style>
  <w:style w:type="paragraph" w:styleId="BalloonText">
    <w:name w:val="Balloon Text"/>
    <w:basedOn w:val="Normal"/>
    <w:link w:val="BalloonTextChar"/>
    <w:uiPriority w:val="99"/>
    <w:semiHidden/>
    <w:unhideWhenUsed/>
    <w:rsid w:val="00703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B84"/>
    <w:rPr>
      <w:rFonts w:ascii="Tahoma" w:hAnsi="Tahoma" w:cs="Tahoma"/>
      <w:sz w:val="16"/>
      <w:szCs w:val="16"/>
    </w:rPr>
  </w:style>
  <w:style w:type="paragraph" w:styleId="ListParagraph">
    <w:name w:val="List Paragraph"/>
    <w:basedOn w:val="Normal"/>
    <w:link w:val="ListParagraphChar"/>
    <w:uiPriority w:val="34"/>
    <w:qFormat/>
    <w:rsid w:val="00703B84"/>
    <w:pPr>
      <w:spacing w:before="60" w:after="120" w:line="240" w:lineRule="auto"/>
      <w:ind w:left="720"/>
      <w:contextualSpacing/>
    </w:pPr>
    <w:rPr>
      <w:rFonts w:ascii="Arial" w:eastAsia="Times New Roman" w:hAnsi="Arial" w:cs="Arial"/>
      <w:szCs w:val="20"/>
    </w:rPr>
  </w:style>
  <w:style w:type="character" w:customStyle="1" w:styleId="ListParagraphChar">
    <w:name w:val="List Paragraph Char"/>
    <w:basedOn w:val="DefaultParagraphFont"/>
    <w:link w:val="ListParagraph"/>
    <w:uiPriority w:val="34"/>
    <w:rsid w:val="00703B84"/>
    <w:rPr>
      <w:rFonts w:ascii="Arial" w:eastAsia="Times New Roman" w:hAnsi="Arial" w:cs="Arial"/>
      <w:szCs w:val="20"/>
    </w:rPr>
  </w:style>
  <w:style w:type="character" w:customStyle="1" w:styleId="Heading2Char">
    <w:name w:val="Heading 2 Char"/>
    <w:basedOn w:val="DefaultParagraphFont"/>
    <w:link w:val="Heading2"/>
    <w:uiPriority w:val="9"/>
    <w:rsid w:val="002514DD"/>
    <w:rPr>
      <w:rFonts w:ascii="Arial" w:eastAsia="Times New Roman" w:hAnsi="Arial" w:cs="Arial"/>
      <w:i/>
      <w:sz w:val="24"/>
      <w:szCs w:val="24"/>
    </w:rPr>
  </w:style>
  <w:style w:type="paragraph" w:customStyle="1" w:styleId="Paragraphbody">
    <w:name w:val="Paragraph body"/>
    <w:basedOn w:val="Normal"/>
    <w:link w:val="ParagraphbodyChar"/>
    <w:rsid w:val="002514DD"/>
    <w:pPr>
      <w:spacing w:before="120" w:after="120" w:line="240" w:lineRule="auto"/>
      <w:jc w:val="both"/>
    </w:pPr>
    <w:rPr>
      <w:rFonts w:ascii="Times New Roman" w:eastAsia="Times New Roman" w:hAnsi="Times New Roman" w:cs="Times New Roman"/>
      <w:sz w:val="24"/>
      <w:szCs w:val="24"/>
    </w:rPr>
  </w:style>
  <w:style w:type="character" w:customStyle="1" w:styleId="ParagraphbodyChar">
    <w:name w:val="Paragraph body Char"/>
    <w:link w:val="Paragraphbody"/>
    <w:locked/>
    <w:rsid w:val="002514DD"/>
    <w:rPr>
      <w:rFonts w:ascii="Times New Roman" w:eastAsia="Times New Roman" w:hAnsi="Times New Roman" w:cs="Times New Roman"/>
      <w:sz w:val="24"/>
      <w:szCs w:val="24"/>
    </w:rPr>
  </w:style>
  <w:style w:type="paragraph" w:customStyle="1" w:styleId="Pa48">
    <w:name w:val="Pa4+++8"/>
    <w:basedOn w:val="Normal"/>
    <w:next w:val="Normal"/>
    <w:uiPriority w:val="99"/>
    <w:rsid w:val="002514DD"/>
    <w:pPr>
      <w:autoSpaceDE w:val="0"/>
      <w:autoSpaceDN w:val="0"/>
      <w:adjustRightInd w:val="0"/>
      <w:spacing w:after="0" w:line="241" w:lineRule="atLeast"/>
    </w:pPr>
    <w:rPr>
      <w:rFonts w:ascii="Arial" w:hAnsi="Arial" w:cs="Arial"/>
      <w:sz w:val="24"/>
      <w:szCs w:val="24"/>
    </w:rPr>
  </w:style>
  <w:style w:type="character" w:customStyle="1" w:styleId="A78">
    <w:name w:val="A7+++8"/>
    <w:uiPriority w:val="99"/>
    <w:rsid w:val="002514DD"/>
    <w:rPr>
      <w:color w:val="000000"/>
      <w:sz w:val="16"/>
      <w:szCs w:val="16"/>
    </w:rPr>
  </w:style>
  <w:style w:type="paragraph" w:customStyle="1" w:styleId="BodyText-Numbered">
    <w:name w:val="Body Text - Numbered"/>
    <w:basedOn w:val="ListParagraph"/>
    <w:link w:val="BodyText-NumberedChar"/>
    <w:qFormat/>
    <w:rsid w:val="007F0309"/>
    <w:pPr>
      <w:numPr>
        <w:numId w:val="3"/>
      </w:numPr>
      <w:spacing w:before="0" w:after="240"/>
      <w:contextualSpacing w:val="0"/>
    </w:pPr>
    <w:rPr>
      <w:rFonts w:eastAsiaTheme="minorHAnsi"/>
      <w:sz w:val="24"/>
      <w:szCs w:val="24"/>
    </w:rPr>
  </w:style>
  <w:style w:type="character" w:customStyle="1" w:styleId="BodyText-NumberedChar">
    <w:name w:val="Body Text - Numbered Char"/>
    <w:basedOn w:val="DefaultParagraphFont"/>
    <w:link w:val="BodyText-Numbered"/>
    <w:rsid w:val="007F0309"/>
    <w:rPr>
      <w:rFonts w:ascii="Arial" w:hAnsi="Arial" w:cs="Arial"/>
      <w:sz w:val="24"/>
      <w:szCs w:val="24"/>
    </w:rPr>
  </w:style>
  <w:style w:type="paragraph" w:customStyle="1" w:styleId="Subbulletbodytext">
    <w:name w:val="Sub bullet body text"/>
    <w:basedOn w:val="BodyText-Numbered"/>
    <w:link w:val="SubbulletbodytextChar"/>
    <w:qFormat/>
    <w:rsid w:val="007F0309"/>
    <w:pPr>
      <w:numPr>
        <w:ilvl w:val="1"/>
      </w:numPr>
      <w:tabs>
        <w:tab w:val="num" w:pos="360"/>
      </w:tabs>
    </w:pPr>
  </w:style>
  <w:style w:type="character" w:customStyle="1" w:styleId="SubbulletbodytextChar">
    <w:name w:val="Sub bullet body text Char"/>
    <w:basedOn w:val="BodyText-NumberedChar"/>
    <w:link w:val="Subbulletbodytext"/>
    <w:rsid w:val="003E7683"/>
    <w:rPr>
      <w:rFonts w:ascii="Arial" w:hAnsi="Arial" w:cs="Arial"/>
      <w:sz w:val="24"/>
      <w:szCs w:val="24"/>
    </w:rPr>
  </w:style>
  <w:style w:type="character" w:styleId="CommentReference">
    <w:name w:val="annotation reference"/>
    <w:basedOn w:val="DefaultParagraphFont"/>
    <w:uiPriority w:val="99"/>
    <w:semiHidden/>
    <w:unhideWhenUsed/>
    <w:rsid w:val="00EF4303"/>
    <w:rPr>
      <w:sz w:val="16"/>
      <w:szCs w:val="16"/>
    </w:rPr>
  </w:style>
  <w:style w:type="paragraph" w:styleId="CommentText">
    <w:name w:val="annotation text"/>
    <w:basedOn w:val="Normal"/>
    <w:link w:val="CommentTextChar"/>
    <w:uiPriority w:val="99"/>
    <w:semiHidden/>
    <w:unhideWhenUsed/>
    <w:rsid w:val="00EF4303"/>
    <w:pPr>
      <w:spacing w:line="240" w:lineRule="auto"/>
    </w:pPr>
    <w:rPr>
      <w:sz w:val="20"/>
      <w:szCs w:val="20"/>
    </w:rPr>
  </w:style>
  <w:style w:type="character" w:customStyle="1" w:styleId="CommentTextChar">
    <w:name w:val="Comment Text Char"/>
    <w:basedOn w:val="DefaultParagraphFont"/>
    <w:link w:val="CommentText"/>
    <w:uiPriority w:val="99"/>
    <w:semiHidden/>
    <w:rsid w:val="00EF4303"/>
    <w:rPr>
      <w:sz w:val="20"/>
      <w:szCs w:val="20"/>
    </w:rPr>
  </w:style>
  <w:style w:type="paragraph" w:styleId="CommentSubject">
    <w:name w:val="annotation subject"/>
    <w:basedOn w:val="CommentText"/>
    <w:next w:val="CommentText"/>
    <w:link w:val="CommentSubjectChar"/>
    <w:uiPriority w:val="99"/>
    <w:semiHidden/>
    <w:unhideWhenUsed/>
    <w:rsid w:val="00EF4303"/>
    <w:rPr>
      <w:b/>
      <w:bCs/>
    </w:rPr>
  </w:style>
  <w:style w:type="character" w:customStyle="1" w:styleId="CommentSubjectChar">
    <w:name w:val="Comment Subject Char"/>
    <w:basedOn w:val="CommentTextChar"/>
    <w:link w:val="CommentSubject"/>
    <w:uiPriority w:val="99"/>
    <w:semiHidden/>
    <w:rsid w:val="00EF4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54AB-28BB-4366-9173-5F94CE0F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2191</Words>
  <Characters>12489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Boyce</dc:creator>
  <cp:lastModifiedBy>Hayden Munro</cp:lastModifiedBy>
  <cp:revision>2</cp:revision>
  <cp:lastPrinted>2019-09-29T20:11:00Z</cp:lastPrinted>
  <dcterms:created xsi:type="dcterms:W3CDTF">2019-10-01T22:47:00Z</dcterms:created>
  <dcterms:modified xsi:type="dcterms:W3CDTF">2019-10-01T22:47:00Z</dcterms:modified>
</cp:coreProperties>
</file>