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2DB1D" w14:textId="2FDE06E3" w:rsidR="00F67999" w:rsidRDefault="00495239" w:rsidP="00F67999">
      <w:pPr>
        <w:spacing w:line="276" w:lineRule="auto"/>
        <w:jc w:val="center"/>
        <w:rPr>
          <w:rFonts w:ascii="Times New Roman" w:hAnsi="Times New Roman" w:cs="Times New Roman"/>
          <w:color w:val="545454"/>
          <w:sz w:val="24"/>
          <w:szCs w:val="24"/>
        </w:rPr>
      </w:pPr>
      <w:bookmarkStart w:id="0" w:name="_GoBack"/>
      <w:bookmarkEnd w:id="0"/>
      <w:r>
        <w:rPr>
          <w:rFonts w:ascii="Times New Roman" w:hAnsi="Times New Roman" w:cs="Times New Roman"/>
          <w:i/>
          <w:sz w:val="24"/>
          <w:szCs w:val="24"/>
        </w:rPr>
        <w:t>“</w:t>
      </w:r>
      <w:r w:rsidR="00650DED" w:rsidRPr="00650DED">
        <w:rPr>
          <w:rFonts w:ascii="Times New Roman" w:hAnsi="Times New Roman" w:cs="Times New Roman"/>
          <w:i/>
          <w:sz w:val="24"/>
          <w:szCs w:val="24"/>
        </w:rPr>
        <w:t>E</w:t>
      </w:r>
      <w:r w:rsidR="00B26028" w:rsidRPr="008347EC">
        <w:rPr>
          <w:rStyle w:val="Emphasis"/>
          <w:rFonts w:ascii="Times New Roman" w:hAnsi="Times New Roman" w:cs="Times New Roman"/>
          <w:bCs/>
          <w:iCs w:val="0"/>
          <w:color w:val="6A6A6A"/>
          <w:sz w:val="24"/>
          <w:szCs w:val="24"/>
        </w:rPr>
        <w:t>conomic</w:t>
      </w:r>
      <w:r w:rsidR="00B26028" w:rsidRPr="00650DED">
        <w:rPr>
          <w:rFonts w:ascii="Times New Roman" w:hAnsi="Times New Roman" w:cs="Times New Roman"/>
          <w:i/>
          <w:color w:val="545454"/>
          <w:sz w:val="24"/>
          <w:szCs w:val="24"/>
        </w:rPr>
        <w:t xml:space="preserve"> </w:t>
      </w:r>
      <w:r w:rsidR="00B26028" w:rsidRPr="00495239">
        <w:rPr>
          <w:rFonts w:ascii="Times New Roman" w:hAnsi="Times New Roman" w:cs="Times New Roman"/>
          <w:i/>
          <w:color w:val="545454"/>
          <w:sz w:val="24"/>
          <w:szCs w:val="24"/>
        </w:rPr>
        <w:t xml:space="preserve">doctrine is not a body of </w:t>
      </w:r>
      <w:r>
        <w:rPr>
          <w:rFonts w:ascii="Times New Roman" w:hAnsi="Times New Roman" w:cs="Times New Roman"/>
          <w:i/>
          <w:color w:val="545454"/>
          <w:sz w:val="24"/>
          <w:szCs w:val="24"/>
        </w:rPr>
        <w:t>concrete</w:t>
      </w:r>
      <w:r w:rsidR="00B26028" w:rsidRPr="00495239">
        <w:rPr>
          <w:rStyle w:val="Emphasis"/>
          <w:rFonts w:ascii="Times New Roman" w:hAnsi="Times New Roman" w:cs="Times New Roman"/>
          <w:bCs/>
          <w:i w:val="0"/>
          <w:iCs w:val="0"/>
          <w:color w:val="6A6A6A"/>
          <w:sz w:val="24"/>
          <w:szCs w:val="24"/>
        </w:rPr>
        <w:t xml:space="preserve"> </w:t>
      </w:r>
      <w:r w:rsidR="00B26028" w:rsidRPr="00495239">
        <w:rPr>
          <w:rStyle w:val="Emphasis"/>
          <w:rFonts w:ascii="Times New Roman" w:hAnsi="Times New Roman" w:cs="Times New Roman"/>
          <w:bCs/>
          <w:iCs w:val="0"/>
          <w:color w:val="6A6A6A"/>
          <w:sz w:val="24"/>
          <w:szCs w:val="24"/>
        </w:rPr>
        <w:t>truth</w:t>
      </w:r>
      <w:r w:rsidR="00B26028" w:rsidRPr="00495239">
        <w:rPr>
          <w:rFonts w:ascii="Times New Roman" w:hAnsi="Times New Roman" w:cs="Times New Roman"/>
          <w:i/>
          <w:color w:val="545454"/>
          <w:sz w:val="24"/>
          <w:szCs w:val="24"/>
        </w:rPr>
        <w:t xml:space="preserve">, but an </w:t>
      </w:r>
      <w:r w:rsidR="00B26028" w:rsidRPr="00495239">
        <w:rPr>
          <w:rStyle w:val="Emphasis"/>
          <w:rFonts w:ascii="Times New Roman" w:hAnsi="Times New Roman" w:cs="Times New Roman"/>
          <w:bCs/>
          <w:iCs w:val="0"/>
          <w:color w:val="6A6A6A"/>
          <w:sz w:val="24"/>
          <w:szCs w:val="24"/>
        </w:rPr>
        <w:t>engine</w:t>
      </w:r>
      <w:r w:rsidR="00B26028" w:rsidRPr="00495239">
        <w:rPr>
          <w:rFonts w:ascii="Times New Roman" w:hAnsi="Times New Roman" w:cs="Times New Roman"/>
          <w:i/>
          <w:color w:val="545454"/>
          <w:sz w:val="24"/>
          <w:szCs w:val="24"/>
        </w:rPr>
        <w:t xml:space="preserve"> of </w:t>
      </w:r>
      <w:r>
        <w:rPr>
          <w:rFonts w:ascii="Times New Roman" w:hAnsi="Times New Roman" w:cs="Times New Roman"/>
          <w:i/>
          <w:color w:val="545454"/>
          <w:sz w:val="24"/>
          <w:szCs w:val="24"/>
        </w:rPr>
        <w:t xml:space="preserve">discovery </w:t>
      </w:r>
      <w:r w:rsidR="00B26028" w:rsidRPr="00495239">
        <w:rPr>
          <w:rFonts w:ascii="Times New Roman" w:hAnsi="Times New Roman" w:cs="Times New Roman"/>
          <w:i/>
          <w:color w:val="545454"/>
          <w:sz w:val="24"/>
          <w:szCs w:val="24"/>
        </w:rPr>
        <w:t xml:space="preserve">of </w:t>
      </w:r>
      <w:r>
        <w:rPr>
          <w:rFonts w:ascii="Times New Roman" w:hAnsi="Times New Roman" w:cs="Times New Roman"/>
          <w:i/>
          <w:color w:val="545454"/>
          <w:sz w:val="24"/>
          <w:szCs w:val="24"/>
        </w:rPr>
        <w:t>concrete</w:t>
      </w:r>
      <w:r w:rsidR="00B26028" w:rsidRPr="00495239">
        <w:rPr>
          <w:rStyle w:val="Emphasis"/>
          <w:rFonts w:ascii="Times New Roman" w:hAnsi="Times New Roman" w:cs="Times New Roman"/>
          <w:bCs/>
          <w:i w:val="0"/>
          <w:iCs w:val="0"/>
          <w:color w:val="6A6A6A"/>
          <w:sz w:val="24"/>
          <w:szCs w:val="24"/>
        </w:rPr>
        <w:t xml:space="preserve"> </w:t>
      </w:r>
      <w:r w:rsidR="00B26028" w:rsidRPr="00495239">
        <w:rPr>
          <w:rStyle w:val="Emphasis"/>
          <w:rFonts w:ascii="Times New Roman" w:hAnsi="Times New Roman" w:cs="Times New Roman"/>
          <w:bCs/>
          <w:iCs w:val="0"/>
          <w:color w:val="6A6A6A"/>
          <w:sz w:val="24"/>
          <w:szCs w:val="24"/>
        </w:rPr>
        <w:t>truth</w:t>
      </w:r>
      <w:r w:rsidR="00B26028" w:rsidRPr="00495239">
        <w:rPr>
          <w:rFonts w:ascii="Times New Roman" w:hAnsi="Times New Roman" w:cs="Times New Roman"/>
          <w:color w:val="545454"/>
          <w:sz w:val="24"/>
          <w:szCs w:val="24"/>
        </w:rPr>
        <w:t>.</w:t>
      </w:r>
      <w:r>
        <w:rPr>
          <w:rFonts w:ascii="Times New Roman" w:hAnsi="Times New Roman" w:cs="Times New Roman"/>
          <w:i/>
          <w:color w:val="545454"/>
          <w:sz w:val="24"/>
          <w:szCs w:val="24"/>
        </w:rPr>
        <w:t>”</w:t>
      </w:r>
      <w:r w:rsidR="008347EC">
        <w:rPr>
          <w:rFonts w:ascii="Times New Roman" w:hAnsi="Times New Roman" w:cs="Times New Roman"/>
          <w:i/>
          <w:color w:val="545454"/>
          <w:sz w:val="24"/>
          <w:szCs w:val="24"/>
        </w:rPr>
        <w:t xml:space="preserve"> </w:t>
      </w:r>
      <w:r>
        <w:rPr>
          <w:rFonts w:ascii="Times New Roman" w:hAnsi="Times New Roman" w:cs="Times New Roman"/>
          <w:i/>
          <w:color w:val="545454"/>
          <w:sz w:val="24"/>
          <w:szCs w:val="24"/>
        </w:rPr>
        <w:t xml:space="preserve"> </w:t>
      </w:r>
      <w:r w:rsidR="008347EC">
        <w:rPr>
          <w:rFonts w:ascii="Times New Roman" w:hAnsi="Times New Roman" w:cs="Times New Roman"/>
          <w:color w:val="545454"/>
          <w:sz w:val="24"/>
          <w:szCs w:val="24"/>
        </w:rPr>
        <w:t>Alfred Marsha</w:t>
      </w:r>
      <w:r w:rsidR="00F67999">
        <w:rPr>
          <w:rFonts w:ascii="Times New Roman" w:hAnsi="Times New Roman" w:cs="Times New Roman"/>
          <w:color w:val="545454"/>
          <w:sz w:val="24"/>
          <w:szCs w:val="24"/>
        </w:rPr>
        <w:t>ll</w:t>
      </w:r>
    </w:p>
    <w:p w14:paraId="7BAEA0E3" w14:textId="77777777" w:rsidR="00F67999" w:rsidRDefault="00F67999" w:rsidP="00F67999">
      <w:pPr>
        <w:spacing w:line="276" w:lineRule="auto"/>
        <w:jc w:val="center"/>
        <w:rPr>
          <w:rFonts w:ascii="Times New Roman" w:hAnsi="Times New Roman" w:cs="Times New Roman"/>
          <w:b/>
          <w:sz w:val="24"/>
          <w:szCs w:val="24"/>
        </w:rPr>
      </w:pPr>
    </w:p>
    <w:p w14:paraId="0C581248" w14:textId="12B38BF2" w:rsidR="00A52505" w:rsidRPr="00B26028" w:rsidRDefault="008347EC" w:rsidP="0049523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The International Energy Authority’s 2017 Review of </w:t>
      </w:r>
      <w:r w:rsidR="00ED6204" w:rsidRPr="00B26028">
        <w:rPr>
          <w:rFonts w:ascii="Times New Roman" w:hAnsi="Times New Roman" w:cs="Times New Roman"/>
          <w:b/>
          <w:sz w:val="24"/>
          <w:szCs w:val="24"/>
        </w:rPr>
        <w:t>New Zealand</w:t>
      </w:r>
    </w:p>
    <w:p w14:paraId="220C8EE0" w14:textId="77777777" w:rsidR="00495239" w:rsidRDefault="00495239" w:rsidP="00207C67">
      <w:pPr>
        <w:spacing w:line="276" w:lineRule="auto"/>
        <w:rPr>
          <w:rFonts w:ascii="Times New Roman" w:hAnsi="Times New Roman" w:cs="Times New Roman"/>
          <w:sz w:val="24"/>
          <w:szCs w:val="24"/>
        </w:rPr>
      </w:pPr>
    </w:p>
    <w:p w14:paraId="5F40C34D" w14:textId="3930D949" w:rsidR="00870D80" w:rsidRDefault="006947E6"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I have been asked by </w:t>
      </w:r>
      <w:r w:rsidR="000F5AFB">
        <w:rPr>
          <w:rFonts w:ascii="Times New Roman" w:hAnsi="Times New Roman" w:cs="Times New Roman"/>
          <w:sz w:val="24"/>
          <w:szCs w:val="24"/>
        </w:rPr>
        <w:t xml:space="preserve">Energy Trusts of New Zealand (ETNZ) to provide an assessment of the content and reasoning of Chapter </w:t>
      </w:r>
      <w:r w:rsidR="00870D80">
        <w:rPr>
          <w:rFonts w:ascii="Times New Roman" w:hAnsi="Times New Roman" w:cs="Times New Roman"/>
          <w:sz w:val="24"/>
          <w:szCs w:val="24"/>
        </w:rPr>
        <w:t>7</w:t>
      </w:r>
      <w:r w:rsidR="000F5AFB">
        <w:rPr>
          <w:rFonts w:ascii="Times New Roman" w:hAnsi="Times New Roman" w:cs="Times New Roman"/>
          <w:sz w:val="24"/>
          <w:szCs w:val="24"/>
        </w:rPr>
        <w:t xml:space="preserve"> of the International Energy Authority’s (IEA’s) 2017 Review of New Zealand</w:t>
      </w:r>
      <w:r w:rsidR="00870D80">
        <w:rPr>
          <w:rFonts w:ascii="Times New Roman" w:hAnsi="Times New Roman" w:cs="Times New Roman"/>
          <w:sz w:val="24"/>
          <w:szCs w:val="24"/>
        </w:rPr>
        <w:t xml:space="preserve"> (“C7”)</w:t>
      </w:r>
      <w:r w:rsidR="000F5AFB">
        <w:rPr>
          <w:rFonts w:ascii="Times New Roman" w:hAnsi="Times New Roman" w:cs="Times New Roman"/>
          <w:sz w:val="24"/>
          <w:szCs w:val="24"/>
        </w:rPr>
        <w:t xml:space="preserve">, which is one of a series of reviews of the Energy Policies of IEA Countries.  </w:t>
      </w:r>
      <w:r w:rsidR="00870D80">
        <w:rPr>
          <w:rFonts w:ascii="Times New Roman" w:hAnsi="Times New Roman" w:cs="Times New Roman"/>
          <w:sz w:val="24"/>
          <w:szCs w:val="24"/>
        </w:rPr>
        <w:t>C7</w:t>
      </w:r>
      <w:r w:rsidR="000F5AFB">
        <w:rPr>
          <w:rFonts w:ascii="Times New Roman" w:hAnsi="Times New Roman" w:cs="Times New Roman"/>
          <w:sz w:val="24"/>
          <w:szCs w:val="24"/>
        </w:rPr>
        <w:t xml:space="preserve"> is a ‘special focus’ chapter devoted </w:t>
      </w:r>
      <w:r w:rsidR="00870D80">
        <w:rPr>
          <w:rFonts w:ascii="Times New Roman" w:hAnsi="Times New Roman" w:cs="Times New Roman"/>
          <w:sz w:val="24"/>
          <w:szCs w:val="24"/>
        </w:rPr>
        <w:t xml:space="preserve">to </w:t>
      </w:r>
      <w:r w:rsidR="000F5AFB">
        <w:rPr>
          <w:rFonts w:ascii="Times New Roman" w:hAnsi="Times New Roman" w:cs="Times New Roman"/>
          <w:sz w:val="24"/>
          <w:szCs w:val="24"/>
        </w:rPr>
        <w:t xml:space="preserve">Electricity Distribution Development.  </w:t>
      </w:r>
    </w:p>
    <w:p w14:paraId="2C72623B" w14:textId="77777777" w:rsidR="00870D80" w:rsidRDefault="000F5AFB"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In particular, I have been asked </w:t>
      </w:r>
      <w:r w:rsidR="001C13F7">
        <w:rPr>
          <w:rFonts w:ascii="Times New Roman" w:hAnsi="Times New Roman" w:cs="Times New Roman"/>
          <w:sz w:val="24"/>
          <w:szCs w:val="24"/>
        </w:rPr>
        <w:t xml:space="preserve">to give opinions on the Review’s views and recommendations or inferred suggestions on three, specific matters:  </w:t>
      </w:r>
    </w:p>
    <w:p w14:paraId="1E22E83A" w14:textId="401CC872" w:rsidR="00870D80" w:rsidRDefault="001C13F7"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(a) the number of electricity distribution businesses (EDBs) in New Zealand, </w:t>
      </w:r>
    </w:p>
    <w:p w14:paraId="29631B03" w14:textId="5A0FFC4F" w:rsidR="00870D80" w:rsidRDefault="001C13F7" w:rsidP="00207C67">
      <w:pPr>
        <w:spacing w:line="276" w:lineRule="auto"/>
        <w:rPr>
          <w:rFonts w:ascii="Times New Roman" w:hAnsi="Times New Roman" w:cs="Times New Roman"/>
          <w:sz w:val="24"/>
          <w:szCs w:val="24"/>
        </w:rPr>
      </w:pPr>
      <w:r>
        <w:rPr>
          <w:rFonts w:ascii="Times New Roman" w:hAnsi="Times New Roman" w:cs="Times New Roman"/>
          <w:sz w:val="24"/>
          <w:szCs w:val="24"/>
        </w:rPr>
        <w:t>(b) economies of scale in electricity distribution</w:t>
      </w:r>
      <w:r w:rsidR="00870D80">
        <w:rPr>
          <w:rFonts w:ascii="Times New Roman" w:hAnsi="Times New Roman" w:cs="Times New Roman"/>
          <w:sz w:val="24"/>
          <w:szCs w:val="24"/>
        </w:rPr>
        <w:t>,</w:t>
      </w:r>
      <w:r>
        <w:rPr>
          <w:rFonts w:ascii="Times New Roman" w:hAnsi="Times New Roman" w:cs="Times New Roman"/>
          <w:sz w:val="24"/>
          <w:szCs w:val="24"/>
        </w:rPr>
        <w:t xml:space="preserve"> and </w:t>
      </w:r>
    </w:p>
    <w:p w14:paraId="7F40C6C1" w14:textId="3C33C6EC" w:rsidR="00ED6204" w:rsidRDefault="001C13F7" w:rsidP="00207C67">
      <w:pPr>
        <w:spacing w:line="276" w:lineRule="auto"/>
        <w:rPr>
          <w:rFonts w:ascii="Times New Roman" w:hAnsi="Times New Roman" w:cs="Times New Roman"/>
          <w:sz w:val="24"/>
          <w:szCs w:val="24"/>
        </w:rPr>
      </w:pPr>
      <w:r>
        <w:rPr>
          <w:rFonts w:ascii="Times New Roman" w:hAnsi="Times New Roman" w:cs="Times New Roman"/>
          <w:sz w:val="24"/>
          <w:szCs w:val="24"/>
        </w:rPr>
        <w:t>(c) the adequacy of trust governance.</w:t>
      </w:r>
    </w:p>
    <w:p w14:paraId="70385086" w14:textId="45D70A4A" w:rsidR="00870D80" w:rsidRDefault="00870D80"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report in response is divided into </w:t>
      </w:r>
      <w:r w:rsidR="009E7E12">
        <w:rPr>
          <w:rFonts w:ascii="Times New Roman" w:hAnsi="Times New Roman" w:cs="Times New Roman"/>
          <w:sz w:val="24"/>
          <w:szCs w:val="24"/>
        </w:rPr>
        <w:t>seven</w:t>
      </w:r>
      <w:r>
        <w:rPr>
          <w:rFonts w:ascii="Times New Roman" w:hAnsi="Times New Roman" w:cs="Times New Roman"/>
          <w:sz w:val="24"/>
          <w:szCs w:val="24"/>
        </w:rPr>
        <w:t xml:space="preserve"> sections</w:t>
      </w:r>
      <w:r w:rsidR="009E7E12">
        <w:rPr>
          <w:rFonts w:ascii="Times New Roman" w:hAnsi="Times New Roman" w:cs="Times New Roman"/>
          <w:sz w:val="24"/>
          <w:szCs w:val="24"/>
        </w:rPr>
        <w:t xml:space="preserve"> providing or addressing</w:t>
      </w:r>
      <w:r>
        <w:rPr>
          <w:rFonts w:ascii="Times New Roman" w:hAnsi="Times New Roman" w:cs="Times New Roman"/>
          <w:sz w:val="24"/>
          <w:szCs w:val="24"/>
        </w:rPr>
        <w:t>:</w:t>
      </w:r>
    </w:p>
    <w:p w14:paraId="02600ECB" w14:textId="607C59B3" w:rsidR="00870D80" w:rsidRDefault="00870D80" w:rsidP="00207C6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w:t>
      </w:r>
      <w:r w:rsidR="005F110C" w:rsidRPr="00870D80">
        <w:rPr>
          <w:rFonts w:ascii="Times New Roman" w:hAnsi="Times New Roman" w:cs="Times New Roman"/>
          <w:sz w:val="24"/>
          <w:szCs w:val="24"/>
        </w:rPr>
        <w:t xml:space="preserve"> brief summary</w:t>
      </w:r>
      <w:r w:rsidR="00207C67">
        <w:rPr>
          <w:rFonts w:ascii="Times New Roman" w:hAnsi="Times New Roman" w:cs="Times New Roman"/>
          <w:sz w:val="24"/>
          <w:szCs w:val="24"/>
        </w:rPr>
        <w:t xml:space="preserve"> </w:t>
      </w:r>
      <w:r w:rsidR="005F110C" w:rsidRPr="00870D80">
        <w:rPr>
          <w:rFonts w:ascii="Times New Roman" w:hAnsi="Times New Roman" w:cs="Times New Roman"/>
          <w:sz w:val="24"/>
          <w:szCs w:val="24"/>
        </w:rPr>
        <w:t>of the content</w:t>
      </w:r>
      <w:r>
        <w:rPr>
          <w:rFonts w:ascii="Times New Roman" w:hAnsi="Times New Roman" w:cs="Times New Roman"/>
          <w:sz w:val="24"/>
          <w:szCs w:val="24"/>
        </w:rPr>
        <w:t xml:space="preserve"> of C7</w:t>
      </w:r>
      <w:r w:rsidR="00207C67">
        <w:rPr>
          <w:rFonts w:ascii="Times New Roman" w:hAnsi="Times New Roman" w:cs="Times New Roman"/>
          <w:sz w:val="24"/>
          <w:szCs w:val="24"/>
        </w:rPr>
        <w:t>,</w:t>
      </w:r>
      <w:r w:rsidR="009E7E12">
        <w:rPr>
          <w:rFonts w:ascii="Times New Roman" w:hAnsi="Times New Roman" w:cs="Times New Roman"/>
          <w:sz w:val="24"/>
          <w:szCs w:val="24"/>
        </w:rPr>
        <w:t xml:space="preserve"> with some </w:t>
      </w:r>
      <w:r w:rsidR="00207C67">
        <w:rPr>
          <w:rFonts w:ascii="Times New Roman" w:hAnsi="Times New Roman" w:cs="Times New Roman"/>
          <w:sz w:val="24"/>
          <w:szCs w:val="24"/>
        </w:rPr>
        <w:t>initial</w:t>
      </w:r>
      <w:r w:rsidR="009E7E12">
        <w:rPr>
          <w:rFonts w:ascii="Times New Roman" w:hAnsi="Times New Roman" w:cs="Times New Roman"/>
          <w:sz w:val="24"/>
          <w:szCs w:val="24"/>
        </w:rPr>
        <w:t xml:space="preserve"> comments</w:t>
      </w:r>
      <w:r>
        <w:rPr>
          <w:rFonts w:ascii="Times New Roman" w:hAnsi="Times New Roman" w:cs="Times New Roman"/>
          <w:sz w:val="24"/>
          <w:szCs w:val="24"/>
        </w:rPr>
        <w:t>.</w:t>
      </w:r>
    </w:p>
    <w:p w14:paraId="31E3FA33" w14:textId="0F578EC6" w:rsidR="009E7E12" w:rsidRDefault="00870D80" w:rsidP="00207C6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sidR="00207C67">
        <w:rPr>
          <w:rFonts w:ascii="Times New Roman" w:hAnsi="Times New Roman" w:cs="Times New Roman"/>
          <w:sz w:val="24"/>
          <w:szCs w:val="24"/>
        </w:rPr>
        <w:t>general</w:t>
      </w:r>
      <w:r w:rsidR="005F110C" w:rsidRPr="00870D80">
        <w:rPr>
          <w:rFonts w:ascii="Times New Roman" w:hAnsi="Times New Roman" w:cs="Times New Roman"/>
          <w:sz w:val="24"/>
          <w:szCs w:val="24"/>
        </w:rPr>
        <w:t xml:space="preserve"> assessment of the structure </w:t>
      </w:r>
      <w:r w:rsidR="00495239">
        <w:rPr>
          <w:rFonts w:ascii="Times New Roman" w:hAnsi="Times New Roman" w:cs="Times New Roman"/>
          <w:sz w:val="24"/>
          <w:szCs w:val="24"/>
        </w:rPr>
        <w:t>and style of</w:t>
      </w:r>
      <w:r w:rsidR="00207C67">
        <w:rPr>
          <w:rFonts w:ascii="Times New Roman" w:hAnsi="Times New Roman" w:cs="Times New Roman"/>
          <w:sz w:val="24"/>
          <w:szCs w:val="24"/>
        </w:rPr>
        <w:t xml:space="preserve"> the economic </w:t>
      </w:r>
      <w:r w:rsidR="005F110C" w:rsidRPr="00870D80">
        <w:rPr>
          <w:rFonts w:ascii="Times New Roman" w:hAnsi="Times New Roman" w:cs="Times New Roman"/>
          <w:sz w:val="24"/>
          <w:szCs w:val="24"/>
        </w:rPr>
        <w:t>reasoning</w:t>
      </w:r>
      <w:r w:rsidR="00207C67">
        <w:rPr>
          <w:rFonts w:ascii="Times New Roman" w:hAnsi="Times New Roman" w:cs="Times New Roman"/>
          <w:sz w:val="24"/>
          <w:szCs w:val="24"/>
        </w:rPr>
        <w:t xml:space="preserve"> in C7. </w:t>
      </w:r>
    </w:p>
    <w:p w14:paraId="7D925442" w14:textId="1FB04732" w:rsidR="00870D80" w:rsidRDefault="00495239" w:rsidP="00207C6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The suggestion of excessive fragmentation</w:t>
      </w:r>
      <w:r w:rsidR="00736695">
        <w:rPr>
          <w:rFonts w:ascii="Times New Roman" w:hAnsi="Times New Roman" w:cs="Times New Roman"/>
          <w:sz w:val="24"/>
          <w:szCs w:val="24"/>
        </w:rPr>
        <w:t xml:space="preserve"> of EDBs in New Zealand</w:t>
      </w:r>
      <w:r>
        <w:rPr>
          <w:rFonts w:ascii="Times New Roman" w:hAnsi="Times New Roman" w:cs="Times New Roman"/>
          <w:sz w:val="24"/>
          <w:szCs w:val="24"/>
        </w:rPr>
        <w:t xml:space="preserve">. </w:t>
      </w:r>
    </w:p>
    <w:p w14:paraId="1398825D" w14:textId="66639E91" w:rsidR="000E5B40" w:rsidRDefault="00736695" w:rsidP="00207C6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Economies of scale in electricity distribution</w:t>
      </w:r>
      <w:r w:rsidR="000E5B40">
        <w:rPr>
          <w:rFonts w:ascii="Times New Roman" w:hAnsi="Times New Roman" w:cs="Times New Roman"/>
          <w:sz w:val="24"/>
          <w:szCs w:val="24"/>
        </w:rPr>
        <w:t xml:space="preserve">. </w:t>
      </w:r>
    </w:p>
    <w:p w14:paraId="5D603011" w14:textId="508DC846" w:rsidR="009E7E12" w:rsidRDefault="00736695" w:rsidP="00207C6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EDB ownership and governance. </w:t>
      </w:r>
    </w:p>
    <w:p w14:paraId="36188095" w14:textId="7E435417" w:rsidR="009E7E12" w:rsidRDefault="00736695" w:rsidP="00207C6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Looking to the past vs looking to the future</w:t>
      </w:r>
      <w:r w:rsidR="00BF5560">
        <w:rPr>
          <w:rFonts w:ascii="Times New Roman" w:hAnsi="Times New Roman" w:cs="Times New Roman"/>
          <w:sz w:val="24"/>
          <w:szCs w:val="24"/>
        </w:rPr>
        <w:t>: the German example</w:t>
      </w:r>
      <w:r>
        <w:rPr>
          <w:rFonts w:ascii="Times New Roman" w:hAnsi="Times New Roman" w:cs="Times New Roman"/>
          <w:sz w:val="24"/>
          <w:szCs w:val="24"/>
        </w:rPr>
        <w:t xml:space="preserve">.  </w:t>
      </w:r>
    </w:p>
    <w:p w14:paraId="730F7F31" w14:textId="4315C7B5" w:rsidR="009E7E12" w:rsidRDefault="00736695" w:rsidP="00207C67">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C</w:t>
      </w:r>
      <w:r w:rsidR="009E7E12">
        <w:rPr>
          <w:rFonts w:ascii="Times New Roman" w:hAnsi="Times New Roman" w:cs="Times New Roman"/>
          <w:sz w:val="24"/>
          <w:szCs w:val="24"/>
        </w:rPr>
        <w:t xml:space="preserve">oncluding </w:t>
      </w:r>
      <w:r w:rsidR="00BF5560">
        <w:rPr>
          <w:rFonts w:ascii="Times New Roman" w:hAnsi="Times New Roman" w:cs="Times New Roman"/>
          <w:sz w:val="24"/>
          <w:szCs w:val="24"/>
        </w:rPr>
        <w:t>thoughts</w:t>
      </w:r>
      <w:r w:rsidR="009E7E12">
        <w:rPr>
          <w:rFonts w:ascii="Times New Roman" w:hAnsi="Times New Roman" w:cs="Times New Roman"/>
          <w:sz w:val="24"/>
          <w:szCs w:val="24"/>
        </w:rPr>
        <w:t>.</w:t>
      </w:r>
    </w:p>
    <w:p w14:paraId="0B8D24C0" w14:textId="77777777" w:rsidR="009C285F" w:rsidRDefault="009C285F" w:rsidP="00495239">
      <w:pPr>
        <w:pStyle w:val="ListParagraph"/>
        <w:spacing w:line="276" w:lineRule="auto"/>
        <w:ind w:left="360"/>
        <w:rPr>
          <w:rFonts w:ascii="Times New Roman" w:hAnsi="Times New Roman" w:cs="Times New Roman"/>
          <w:sz w:val="24"/>
          <w:szCs w:val="24"/>
        </w:rPr>
      </w:pPr>
    </w:p>
    <w:p w14:paraId="2882633F" w14:textId="225202E8" w:rsidR="005F110C" w:rsidRPr="009C285F" w:rsidRDefault="0010525E" w:rsidP="009C285F">
      <w:pPr>
        <w:pStyle w:val="ListParagraph"/>
        <w:numPr>
          <w:ilvl w:val="0"/>
          <w:numId w:val="9"/>
        </w:numPr>
        <w:spacing w:line="276" w:lineRule="auto"/>
        <w:rPr>
          <w:rFonts w:ascii="Times New Roman" w:hAnsi="Times New Roman" w:cs="Times New Roman"/>
          <w:b/>
          <w:sz w:val="24"/>
          <w:szCs w:val="24"/>
        </w:rPr>
      </w:pPr>
      <w:r w:rsidRPr="009C285F">
        <w:rPr>
          <w:rFonts w:ascii="Times New Roman" w:hAnsi="Times New Roman" w:cs="Times New Roman"/>
          <w:b/>
          <w:sz w:val="24"/>
          <w:szCs w:val="24"/>
        </w:rPr>
        <w:t>A brief summary of</w:t>
      </w:r>
      <w:r w:rsidR="00BF5560">
        <w:rPr>
          <w:rFonts w:ascii="Times New Roman" w:hAnsi="Times New Roman" w:cs="Times New Roman"/>
          <w:b/>
          <w:sz w:val="24"/>
          <w:szCs w:val="24"/>
        </w:rPr>
        <w:t>, and initial comments on,</w:t>
      </w:r>
      <w:r w:rsidRPr="009C285F">
        <w:rPr>
          <w:rFonts w:ascii="Times New Roman" w:hAnsi="Times New Roman" w:cs="Times New Roman"/>
          <w:b/>
          <w:sz w:val="24"/>
          <w:szCs w:val="24"/>
        </w:rPr>
        <w:t xml:space="preserve"> the content</w:t>
      </w:r>
      <w:r w:rsidR="009C285F">
        <w:rPr>
          <w:rFonts w:ascii="Times New Roman" w:hAnsi="Times New Roman" w:cs="Times New Roman"/>
          <w:b/>
          <w:sz w:val="24"/>
          <w:szCs w:val="24"/>
        </w:rPr>
        <w:t xml:space="preserve"> of C</w:t>
      </w:r>
      <w:r w:rsidR="00495239">
        <w:rPr>
          <w:rFonts w:ascii="Times New Roman" w:hAnsi="Times New Roman" w:cs="Times New Roman"/>
          <w:b/>
          <w:sz w:val="24"/>
          <w:szCs w:val="24"/>
        </w:rPr>
        <w:t>hapter 7</w:t>
      </w:r>
      <w:r w:rsidR="005F110C" w:rsidRPr="009C285F">
        <w:rPr>
          <w:rFonts w:ascii="Times New Roman" w:hAnsi="Times New Roman" w:cs="Times New Roman"/>
          <w:b/>
          <w:sz w:val="24"/>
          <w:szCs w:val="24"/>
        </w:rPr>
        <w:t xml:space="preserve">  </w:t>
      </w:r>
    </w:p>
    <w:p w14:paraId="205FD0E0" w14:textId="2CD1C5DD" w:rsidR="0010525E" w:rsidRDefault="00495239" w:rsidP="00207C67">
      <w:pPr>
        <w:spacing w:line="276" w:lineRule="auto"/>
        <w:rPr>
          <w:rFonts w:ascii="Times New Roman" w:hAnsi="Times New Roman" w:cs="Times New Roman"/>
          <w:sz w:val="24"/>
          <w:szCs w:val="24"/>
        </w:rPr>
      </w:pPr>
      <w:r>
        <w:rPr>
          <w:rFonts w:ascii="Times New Roman" w:hAnsi="Times New Roman" w:cs="Times New Roman"/>
          <w:sz w:val="24"/>
          <w:szCs w:val="24"/>
        </w:rPr>
        <w:t>C</w:t>
      </w:r>
      <w:r w:rsidR="00207C67">
        <w:rPr>
          <w:rFonts w:ascii="Times New Roman" w:hAnsi="Times New Roman" w:cs="Times New Roman"/>
          <w:sz w:val="24"/>
          <w:szCs w:val="24"/>
        </w:rPr>
        <w:t xml:space="preserve">7 of the IEA Review explains at the outset that </w:t>
      </w:r>
      <w:r w:rsidR="00C2085C">
        <w:rPr>
          <w:rFonts w:ascii="Times New Roman" w:hAnsi="Times New Roman" w:cs="Times New Roman"/>
          <w:sz w:val="24"/>
          <w:szCs w:val="24"/>
        </w:rPr>
        <w:t>the New Zealand Government asked that IEA include</w:t>
      </w:r>
      <w:r w:rsidR="00207C67">
        <w:rPr>
          <w:rFonts w:ascii="Times New Roman" w:hAnsi="Times New Roman" w:cs="Times New Roman"/>
          <w:sz w:val="24"/>
          <w:szCs w:val="24"/>
        </w:rPr>
        <w:t>,</w:t>
      </w:r>
      <w:r w:rsidR="00C2085C">
        <w:rPr>
          <w:rFonts w:ascii="Times New Roman" w:hAnsi="Times New Roman" w:cs="Times New Roman"/>
          <w:sz w:val="24"/>
          <w:szCs w:val="24"/>
        </w:rPr>
        <w:t xml:space="preserve"> in its </w:t>
      </w:r>
      <w:r w:rsidR="00207C67">
        <w:rPr>
          <w:rFonts w:ascii="Times New Roman" w:hAnsi="Times New Roman" w:cs="Times New Roman"/>
          <w:sz w:val="24"/>
          <w:szCs w:val="24"/>
        </w:rPr>
        <w:t xml:space="preserve">2017 </w:t>
      </w:r>
      <w:r w:rsidR="00C2085C">
        <w:rPr>
          <w:rFonts w:ascii="Times New Roman" w:hAnsi="Times New Roman" w:cs="Times New Roman"/>
          <w:sz w:val="24"/>
          <w:szCs w:val="24"/>
        </w:rPr>
        <w:t xml:space="preserve">Review </w:t>
      </w:r>
      <w:r w:rsidR="00207C67">
        <w:rPr>
          <w:rFonts w:ascii="Times New Roman" w:hAnsi="Times New Roman" w:cs="Times New Roman"/>
          <w:sz w:val="24"/>
          <w:szCs w:val="24"/>
        </w:rPr>
        <w:t xml:space="preserve">of New Zealand, </w:t>
      </w:r>
      <w:r w:rsidR="00C2085C">
        <w:rPr>
          <w:rFonts w:ascii="Times New Roman" w:hAnsi="Times New Roman" w:cs="Times New Roman"/>
          <w:sz w:val="24"/>
          <w:szCs w:val="24"/>
        </w:rPr>
        <w:t>a special examination of the electricity distribution sector</w:t>
      </w:r>
      <w:r w:rsidR="00750E49">
        <w:rPr>
          <w:rFonts w:ascii="Times New Roman" w:hAnsi="Times New Roman" w:cs="Times New Roman"/>
          <w:sz w:val="24"/>
          <w:szCs w:val="24"/>
        </w:rPr>
        <w:t>,</w:t>
      </w:r>
      <w:r w:rsidR="00C2085C">
        <w:rPr>
          <w:rFonts w:ascii="Times New Roman" w:hAnsi="Times New Roman" w:cs="Times New Roman"/>
          <w:sz w:val="24"/>
          <w:szCs w:val="24"/>
        </w:rPr>
        <w:t xml:space="preserve"> with a focus on the sector’s ability to respond in a timely, efficient and cost-effective manner to emerging challenges associated with market liberalisation, decarbonisation policies and accelerated technological change. </w:t>
      </w:r>
      <w:r w:rsidR="00207C67">
        <w:rPr>
          <w:rFonts w:ascii="Times New Roman" w:hAnsi="Times New Roman" w:cs="Times New Roman"/>
          <w:sz w:val="24"/>
          <w:szCs w:val="24"/>
        </w:rPr>
        <w:t xml:space="preserve"> </w:t>
      </w:r>
      <w:r w:rsidR="00C2085C">
        <w:rPr>
          <w:rFonts w:ascii="Times New Roman" w:hAnsi="Times New Roman" w:cs="Times New Roman"/>
          <w:sz w:val="24"/>
          <w:szCs w:val="24"/>
        </w:rPr>
        <w:t xml:space="preserve">Such challenges confront policymakers around the world and the </w:t>
      </w:r>
      <w:r w:rsidR="00207C67">
        <w:rPr>
          <w:rFonts w:ascii="Times New Roman" w:hAnsi="Times New Roman" w:cs="Times New Roman"/>
          <w:sz w:val="24"/>
          <w:szCs w:val="24"/>
        </w:rPr>
        <w:t xml:space="preserve">request </w:t>
      </w:r>
      <w:r w:rsidR="00750E49">
        <w:rPr>
          <w:rFonts w:ascii="Times New Roman" w:hAnsi="Times New Roman" w:cs="Times New Roman"/>
          <w:sz w:val="24"/>
          <w:szCs w:val="24"/>
        </w:rPr>
        <w:t>wa</w:t>
      </w:r>
      <w:r w:rsidR="00C2085C">
        <w:rPr>
          <w:rFonts w:ascii="Times New Roman" w:hAnsi="Times New Roman" w:cs="Times New Roman"/>
          <w:sz w:val="24"/>
          <w:szCs w:val="24"/>
        </w:rPr>
        <w:t xml:space="preserve">s a natural one:  </w:t>
      </w:r>
      <w:r w:rsidR="009E7E12">
        <w:rPr>
          <w:rFonts w:ascii="Times New Roman" w:hAnsi="Times New Roman" w:cs="Times New Roman"/>
          <w:sz w:val="24"/>
          <w:szCs w:val="24"/>
        </w:rPr>
        <w:t xml:space="preserve">in principle, </w:t>
      </w:r>
      <w:r w:rsidR="00C2085C">
        <w:rPr>
          <w:rFonts w:ascii="Times New Roman" w:hAnsi="Times New Roman" w:cs="Times New Roman"/>
          <w:sz w:val="24"/>
          <w:szCs w:val="24"/>
        </w:rPr>
        <w:t>as an international body the IEA should be well placed to offer constructive thinking to New Zealand based on its studies of other IEA countries.</w:t>
      </w:r>
    </w:p>
    <w:p w14:paraId="654E726F" w14:textId="08593331" w:rsidR="00492788" w:rsidRDefault="00C2085C"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follow some basic facts about the NZ distribution sector, including an extended table providing details of some of the main characteristics </w:t>
      </w:r>
      <w:r w:rsidR="00D81E81">
        <w:rPr>
          <w:rFonts w:ascii="Times New Roman" w:hAnsi="Times New Roman" w:cs="Times New Roman"/>
          <w:sz w:val="24"/>
          <w:szCs w:val="24"/>
        </w:rPr>
        <w:t>of each of the distribution companies.</w:t>
      </w:r>
      <w:r w:rsidR="00305D8A">
        <w:rPr>
          <w:rFonts w:ascii="Times New Roman" w:hAnsi="Times New Roman" w:cs="Times New Roman"/>
          <w:sz w:val="24"/>
          <w:szCs w:val="24"/>
        </w:rPr>
        <w:t xml:space="preserve"> </w:t>
      </w:r>
      <w:r w:rsidR="00D81E81">
        <w:rPr>
          <w:rFonts w:ascii="Times New Roman" w:hAnsi="Times New Roman" w:cs="Times New Roman"/>
          <w:sz w:val="24"/>
          <w:szCs w:val="24"/>
        </w:rPr>
        <w:t xml:space="preserve"> </w:t>
      </w:r>
      <w:r w:rsidR="00305D8A">
        <w:rPr>
          <w:rFonts w:ascii="Times New Roman" w:hAnsi="Times New Roman" w:cs="Times New Roman"/>
          <w:sz w:val="24"/>
          <w:szCs w:val="24"/>
        </w:rPr>
        <w:t>T</w:t>
      </w:r>
      <w:r w:rsidR="00D81E81">
        <w:rPr>
          <w:rFonts w:ascii="Times New Roman" w:hAnsi="Times New Roman" w:cs="Times New Roman"/>
          <w:sz w:val="24"/>
          <w:szCs w:val="24"/>
        </w:rPr>
        <w:t>h</w:t>
      </w:r>
      <w:r w:rsidR="00750E49">
        <w:rPr>
          <w:rFonts w:ascii="Times New Roman" w:hAnsi="Times New Roman" w:cs="Times New Roman"/>
          <w:sz w:val="24"/>
          <w:szCs w:val="24"/>
        </w:rPr>
        <w:t>e detail</w:t>
      </w:r>
      <w:r w:rsidR="00D81E81">
        <w:rPr>
          <w:rFonts w:ascii="Times New Roman" w:hAnsi="Times New Roman" w:cs="Times New Roman"/>
          <w:sz w:val="24"/>
          <w:szCs w:val="24"/>
        </w:rPr>
        <w:t xml:space="preserve"> is </w:t>
      </w:r>
      <w:r w:rsidR="00C25CE3">
        <w:rPr>
          <w:rFonts w:ascii="Times New Roman" w:hAnsi="Times New Roman" w:cs="Times New Roman"/>
          <w:sz w:val="24"/>
          <w:szCs w:val="24"/>
        </w:rPr>
        <w:t>presumably</w:t>
      </w:r>
      <w:r w:rsidR="00D81E81">
        <w:rPr>
          <w:rFonts w:ascii="Times New Roman" w:hAnsi="Times New Roman" w:cs="Times New Roman"/>
          <w:sz w:val="24"/>
          <w:szCs w:val="24"/>
        </w:rPr>
        <w:t xml:space="preserve"> directed at non-NZ </w:t>
      </w:r>
      <w:r w:rsidR="00F81F5D">
        <w:rPr>
          <w:rFonts w:ascii="Times New Roman" w:hAnsi="Times New Roman" w:cs="Times New Roman"/>
          <w:sz w:val="24"/>
          <w:szCs w:val="24"/>
        </w:rPr>
        <w:t xml:space="preserve">and/or non-specialist </w:t>
      </w:r>
      <w:r w:rsidR="00D81E81">
        <w:rPr>
          <w:rFonts w:ascii="Times New Roman" w:hAnsi="Times New Roman" w:cs="Times New Roman"/>
          <w:sz w:val="24"/>
          <w:szCs w:val="24"/>
        </w:rPr>
        <w:t>reader</w:t>
      </w:r>
      <w:r w:rsidR="00F81F5D">
        <w:rPr>
          <w:rFonts w:ascii="Times New Roman" w:hAnsi="Times New Roman" w:cs="Times New Roman"/>
          <w:sz w:val="24"/>
          <w:szCs w:val="24"/>
        </w:rPr>
        <w:t>s</w:t>
      </w:r>
      <w:r w:rsidR="00D81E81">
        <w:rPr>
          <w:rFonts w:ascii="Times New Roman" w:hAnsi="Times New Roman" w:cs="Times New Roman"/>
          <w:sz w:val="24"/>
          <w:szCs w:val="24"/>
        </w:rPr>
        <w:t xml:space="preserve"> of the </w:t>
      </w:r>
      <w:r w:rsidR="00750E49">
        <w:rPr>
          <w:rFonts w:ascii="Times New Roman" w:hAnsi="Times New Roman" w:cs="Times New Roman"/>
          <w:sz w:val="24"/>
          <w:szCs w:val="24"/>
        </w:rPr>
        <w:t>R</w:t>
      </w:r>
      <w:r w:rsidR="00D81E81">
        <w:rPr>
          <w:rFonts w:ascii="Times New Roman" w:hAnsi="Times New Roman" w:cs="Times New Roman"/>
          <w:sz w:val="24"/>
          <w:szCs w:val="24"/>
        </w:rPr>
        <w:t>eport, since it is not information that will be new to those involved with the sector</w:t>
      </w:r>
      <w:r w:rsidR="00FF4A6D">
        <w:rPr>
          <w:rFonts w:ascii="Times New Roman" w:hAnsi="Times New Roman" w:cs="Times New Roman"/>
          <w:sz w:val="24"/>
          <w:szCs w:val="24"/>
        </w:rPr>
        <w:t>.</w:t>
      </w:r>
      <w:r w:rsidR="00D81E81">
        <w:rPr>
          <w:rFonts w:ascii="Times New Roman" w:hAnsi="Times New Roman" w:cs="Times New Roman"/>
          <w:sz w:val="24"/>
          <w:szCs w:val="24"/>
        </w:rPr>
        <w:t xml:space="preserve"> </w:t>
      </w:r>
      <w:r w:rsidR="00C25CE3">
        <w:rPr>
          <w:rFonts w:ascii="Times New Roman" w:hAnsi="Times New Roman" w:cs="Times New Roman"/>
          <w:sz w:val="24"/>
          <w:szCs w:val="24"/>
        </w:rPr>
        <w:t xml:space="preserve"> Unfortunately for such readers, the table </w:t>
      </w:r>
      <w:r w:rsidR="009E7E12">
        <w:rPr>
          <w:rFonts w:ascii="Times New Roman" w:hAnsi="Times New Roman" w:cs="Times New Roman"/>
          <w:sz w:val="24"/>
          <w:szCs w:val="24"/>
        </w:rPr>
        <w:t>contain</w:t>
      </w:r>
      <w:r w:rsidR="00750E49">
        <w:rPr>
          <w:rFonts w:ascii="Times New Roman" w:hAnsi="Times New Roman" w:cs="Times New Roman"/>
          <w:sz w:val="24"/>
          <w:szCs w:val="24"/>
        </w:rPr>
        <w:t>s</w:t>
      </w:r>
      <w:r w:rsidR="009E7E12">
        <w:rPr>
          <w:rFonts w:ascii="Times New Roman" w:hAnsi="Times New Roman" w:cs="Times New Roman"/>
          <w:sz w:val="24"/>
          <w:szCs w:val="24"/>
        </w:rPr>
        <w:t xml:space="preserve"> mistakes</w:t>
      </w:r>
      <w:r w:rsidR="000E5B40">
        <w:rPr>
          <w:rFonts w:ascii="Times New Roman" w:hAnsi="Times New Roman" w:cs="Times New Roman"/>
          <w:sz w:val="24"/>
          <w:szCs w:val="24"/>
        </w:rPr>
        <w:t xml:space="preserve"> and these mistakes lead on to incorrect inferences</w:t>
      </w:r>
      <w:r w:rsidR="009E7E12">
        <w:rPr>
          <w:rFonts w:ascii="Times New Roman" w:hAnsi="Times New Roman" w:cs="Times New Roman"/>
          <w:sz w:val="24"/>
          <w:szCs w:val="24"/>
        </w:rPr>
        <w:t>.</w:t>
      </w:r>
      <w:r w:rsidR="000E5B40">
        <w:rPr>
          <w:rFonts w:ascii="Times New Roman" w:hAnsi="Times New Roman" w:cs="Times New Roman"/>
          <w:sz w:val="24"/>
          <w:szCs w:val="24"/>
        </w:rPr>
        <w:t xml:space="preserve">  </w:t>
      </w:r>
      <w:r w:rsidR="000E5B40">
        <w:rPr>
          <w:rFonts w:ascii="Times New Roman" w:hAnsi="Times New Roman" w:cs="Times New Roman"/>
          <w:sz w:val="24"/>
          <w:szCs w:val="24"/>
        </w:rPr>
        <w:lastRenderedPageBreak/>
        <w:t xml:space="preserve">Thus, </w:t>
      </w:r>
      <w:r w:rsidR="00FE64C4">
        <w:rPr>
          <w:rFonts w:ascii="Times New Roman" w:hAnsi="Times New Roman" w:cs="Times New Roman"/>
          <w:sz w:val="24"/>
          <w:szCs w:val="24"/>
        </w:rPr>
        <w:t xml:space="preserve">Wellington Electricity is classified as an exempt distributor, while </w:t>
      </w:r>
      <w:proofErr w:type="spellStart"/>
      <w:r w:rsidR="00FE64C4">
        <w:rPr>
          <w:rFonts w:ascii="Times New Roman" w:hAnsi="Times New Roman" w:cs="Times New Roman"/>
          <w:sz w:val="24"/>
          <w:szCs w:val="24"/>
        </w:rPr>
        <w:t>Northpower</w:t>
      </w:r>
      <w:proofErr w:type="spellEnd"/>
      <w:r w:rsidR="00FE64C4">
        <w:rPr>
          <w:rFonts w:ascii="Times New Roman" w:hAnsi="Times New Roman" w:cs="Times New Roman"/>
          <w:sz w:val="24"/>
          <w:szCs w:val="24"/>
        </w:rPr>
        <w:t xml:space="preserve"> and </w:t>
      </w:r>
      <w:proofErr w:type="spellStart"/>
      <w:r w:rsidR="00FE64C4">
        <w:rPr>
          <w:rFonts w:ascii="Times New Roman" w:hAnsi="Times New Roman" w:cs="Times New Roman"/>
          <w:sz w:val="24"/>
          <w:szCs w:val="24"/>
        </w:rPr>
        <w:t>Waipa</w:t>
      </w:r>
      <w:proofErr w:type="spellEnd"/>
      <w:r w:rsidR="00FE64C4">
        <w:rPr>
          <w:rFonts w:ascii="Times New Roman" w:hAnsi="Times New Roman" w:cs="Times New Roman"/>
          <w:sz w:val="24"/>
          <w:szCs w:val="24"/>
        </w:rPr>
        <w:t xml:space="preserve"> Network are classified as non-exempt</w:t>
      </w:r>
      <w:r w:rsidR="00FF4A6D">
        <w:rPr>
          <w:rFonts w:ascii="Times New Roman" w:hAnsi="Times New Roman" w:cs="Times New Roman"/>
          <w:sz w:val="24"/>
          <w:szCs w:val="24"/>
        </w:rPr>
        <w:t>.  The</w:t>
      </w:r>
      <w:r w:rsidR="00FE64C4">
        <w:rPr>
          <w:rFonts w:ascii="Times New Roman" w:hAnsi="Times New Roman" w:cs="Times New Roman"/>
          <w:sz w:val="24"/>
          <w:szCs w:val="24"/>
        </w:rPr>
        <w:t xml:space="preserve"> classifications are instrumental in</w:t>
      </w:r>
      <w:r w:rsidR="00750E49">
        <w:rPr>
          <w:rFonts w:ascii="Times New Roman" w:hAnsi="Times New Roman" w:cs="Times New Roman"/>
          <w:sz w:val="24"/>
          <w:szCs w:val="24"/>
        </w:rPr>
        <w:t xml:space="preserve"> arriving at a later proposition, on page 135, </w:t>
      </w:r>
      <w:r w:rsidR="00FE64C4">
        <w:rPr>
          <w:rFonts w:ascii="Times New Roman" w:hAnsi="Times New Roman" w:cs="Times New Roman"/>
          <w:sz w:val="24"/>
          <w:szCs w:val="24"/>
        </w:rPr>
        <w:t>that</w:t>
      </w:r>
      <w:r w:rsidR="000B7953">
        <w:rPr>
          <w:rFonts w:ascii="Times New Roman" w:hAnsi="Times New Roman" w:cs="Times New Roman"/>
          <w:sz w:val="24"/>
          <w:szCs w:val="24"/>
        </w:rPr>
        <w:t xml:space="preserve"> </w:t>
      </w:r>
      <w:r w:rsidR="00FE64C4" w:rsidRPr="00E246CB">
        <w:rPr>
          <w:rFonts w:ascii="Times New Roman" w:hAnsi="Times New Roman" w:cs="Times New Roman"/>
          <w:i/>
          <w:sz w:val="24"/>
          <w:szCs w:val="24"/>
        </w:rPr>
        <w:t xml:space="preserve">“exempt </w:t>
      </w:r>
      <w:r w:rsidR="001C54DC">
        <w:rPr>
          <w:rFonts w:ascii="Times New Roman" w:hAnsi="Times New Roman" w:cs="Times New Roman"/>
          <w:i/>
          <w:sz w:val="24"/>
          <w:szCs w:val="24"/>
        </w:rPr>
        <w:t>distributors</w:t>
      </w:r>
      <w:r w:rsidR="00FE64C4" w:rsidRPr="00E246CB">
        <w:rPr>
          <w:rFonts w:ascii="Times New Roman" w:hAnsi="Times New Roman" w:cs="Times New Roman"/>
          <w:i/>
          <w:sz w:val="24"/>
          <w:szCs w:val="24"/>
        </w:rPr>
        <w:t xml:space="preserve"> may have achieved higher growth in revenues than regulated distributors”</w:t>
      </w:r>
      <w:r w:rsidR="00FE64C4">
        <w:rPr>
          <w:rFonts w:ascii="Times New Roman" w:hAnsi="Times New Roman" w:cs="Times New Roman"/>
          <w:sz w:val="24"/>
          <w:szCs w:val="24"/>
        </w:rPr>
        <w:t xml:space="preserve">.  However, </w:t>
      </w:r>
      <w:r w:rsidR="00E00DDE">
        <w:rPr>
          <w:rFonts w:ascii="Times New Roman" w:hAnsi="Times New Roman" w:cs="Times New Roman"/>
          <w:sz w:val="24"/>
          <w:szCs w:val="24"/>
        </w:rPr>
        <w:t>in the period covered</w:t>
      </w:r>
      <w:r w:rsidR="00E52397">
        <w:rPr>
          <w:rFonts w:ascii="Times New Roman" w:hAnsi="Times New Roman" w:cs="Times New Roman"/>
          <w:sz w:val="24"/>
          <w:szCs w:val="24"/>
        </w:rPr>
        <w:t>,</w:t>
      </w:r>
      <w:r w:rsidR="00E00DDE">
        <w:rPr>
          <w:rFonts w:ascii="Times New Roman" w:hAnsi="Times New Roman" w:cs="Times New Roman"/>
          <w:sz w:val="24"/>
          <w:szCs w:val="24"/>
        </w:rPr>
        <w:t xml:space="preserve"> Wellington Electricity has faster than median revenue growth and </w:t>
      </w:r>
      <w:proofErr w:type="spellStart"/>
      <w:r w:rsidR="00E00DDE">
        <w:rPr>
          <w:rFonts w:ascii="Times New Roman" w:hAnsi="Times New Roman" w:cs="Times New Roman"/>
          <w:sz w:val="24"/>
          <w:szCs w:val="24"/>
        </w:rPr>
        <w:t>Northpower</w:t>
      </w:r>
      <w:proofErr w:type="spellEnd"/>
      <w:r w:rsidR="00E00DDE">
        <w:rPr>
          <w:rFonts w:ascii="Times New Roman" w:hAnsi="Times New Roman" w:cs="Times New Roman"/>
          <w:sz w:val="24"/>
          <w:szCs w:val="24"/>
        </w:rPr>
        <w:t xml:space="preserve"> and </w:t>
      </w:r>
      <w:proofErr w:type="spellStart"/>
      <w:r w:rsidR="00E00DDE">
        <w:rPr>
          <w:rFonts w:ascii="Times New Roman" w:hAnsi="Times New Roman" w:cs="Times New Roman"/>
          <w:sz w:val="24"/>
          <w:szCs w:val="24"/>
        </w:rPr>
        <w:t>Waika</w:t>
      </w:r>
      <w:proofErr w:type="spellEnd"/>
      <w:r w:rsidR="00E00DDE">
        <w:rPr>
          <w:rFonts w:ascii="Times New Roman" w:hAnsi="Times New Roman" w:cs="Times New Roman"/>
          <w:sz w:val="24"/>
          <w:szCs w:val="24"/>
        </w:rPr>
        <w:t xml:space="preserve"> Network had slower than median growth.  After correcting the misclassification</w:t>
      </w:r>
      <w:r w:rsidR="00E52397">
        <w:rPr>
          <w:rFonts w:ascii="Times New Roman" w:hAnsi="Times New Roman" w:cs="Times New Roman"/>
          <w:sz w:val="24"/>
          <w:szCs w:val="24"/>
        </w:rPr>
        <w:t xml:space="preserve">, </w:t>
      </w:r>
      <w:r w:rsidR="00FF4A6D">
        <w:rPr>
          <w:rFonts w:ascii="Times New Roman" w:hAnsi="Times New Roman" w:cs="Times New Roman"/>
          <w:sz w:val="24"/>
          <w:szCs w:val="24"/>
        </w:rPr>
        <w:t>there</w:t>
      </w:r>
      <w:r w:rsidR="00E00DDE">
        <w:rPr>
          <w:rFonts w:ascii="Times New Roman" w:hAnsi="Times New Roman" w:cs="Times New Roman"/>
          <w:sz w:val="24"/>
          <w:szCs w:val="24"/>
        </w:rPr>
        <w:t xml:space="preserve"> is no basis for the conclusion reached.  </w:t>
      </w:r>
    </w:p>
    <w:p w14:paraId="2A480CD9" w14:textId="7D42E5B4" w:rsidR="00E246CB" w:rsidRDefault="00E52397" w:rsidP="00207C67">
      <w:pPr>
        <w:spacing w:line="276" w:lineRule="auto"/>
        <w:rPr>
          <w:rFonts w:ascii="Times New Roman" w:hAnsi="Times New Roman" w:cs="Times New Roman"/>
          <w:sz w:val="24"/>
          <w:szCs w:val="24"/>
        </w:rPr>
      </w:pPr>
      <w:r>
        <w:rPr>
          <w:rFonts w:ascii="Times New Roman" w:hAnsi="Times New Roman" w:cs="Times New Roman"/>
          <w:sz w:val="24"/>
          <w:szCs w:val="24"/>
        </w:rPr>
        <w:t>Following</w:t>
      </w:r>
      <w:r w:rsidR="00E246CB">
        <w:rPr>
          <w:rFonts w:ascii="Times New Roman" w:hAnsi="Times New Roman" w:cs="Times New Roman"/>
          <w:sz w:val="24"/>
          <w:szCs w:val="24"/>
        </w:rPr>
        <w:t xml:space="preserve"> some descriptive sections about regulatory arrangements in NZ</w:t>
      </w:r>
      <w:r w:rsidR="00FF4A6D">
        <w:rPr>
          <w:rFonts w:ascii="Times New Roman" w:hAnsi="Times New Roman" w:cs="Times New Roman"/>
          <w:sz w:val="24"/>
          <w:szCs w:val="24"/>
        </w:rPr>
        <w:t xml:space="preserve">, C7 has a </w:t>
      </w:r>
      <w:r w:rsidR="00E246CB">
        <w:rPr>
          <w:rFonts w:ascii="Times New Roman" w:hAnsi="Times New Roman" w:cs="Times New Roman"/>
          <w:sz w:val="24"/>
          <w:szCs w:val="24"/>
        </w:rPr>
        <w:t xml:space="preserve">section headed ‘recent </w:t>
      </w:r>
      <w:r w:rsidR="00492788">
        <w:rPr>
          <w:rFonts w:ascii="Times New Roman" w:hAnsi="Times New Roman" w:cs="Times New Roman"/>
          <w:sz w:val="24"/>
          <w:szCs w:val="24"/>
        </w:rPr>
        <w:t>performance trends</w:t>
      </w:r>
      <w:r w:rsidR="00E246CB">
        <w:rPr>
          <w:rFonts w:ascii="Times New Roman" w:hAnsi="Times New Roman" w:cs="Times New Roman"/>
          <w:sz w:val="24"/>
          <w:szCs w:val="24"/>
        </w:rPr>
        <w:t xml:space="preserve">’, although the first chart (7.1) shows cross-sectional internal rates of return (IRRs) and is therefore not concerned with trends at all.  </w:t>
      </w:r>
      <w:r w:rsidR="00FF4A6D">
        <w:rPr>
          <w:rFonts w:ascii="Times New Roman" w:hAnsi="Times New Roman" w:cs="Times New Roman"/>
          <w:sz w:val="24"/>
          <w:szCs w:val="24"/>
        </w:rPr>
        <w:t xml:space="preserve">It is another early sign of a relatively casual approach to the matters at hand.  The </w:t>
      </w:r>
      <w:r w:rsidR="00750E49">
        <w:rPr>
          <w:rFonts w:ascii="Times New Roman" w:hAnsi="Times New Roman" w:cs="Times New Roman"/>
          <w:sz w:val="24"/>
          <w:szCs w:val="24"/>
        </w:rPr>
        <w:t>c</w:t>
      </w:r>
      <w:r w:rsidR="00FF4A6D">
        <w:rPr>
          <w:rFonts w:ascii="Times New Roman" w:hAnsi="Times New Roman" w:cs="Times New Roman"/>
          <w:sz w:val="24"/>
          <w:szCs w:val="24"/>
        </w:rPr>
        <w:t>hart is of</w:t>
      </w:r>
      <w:r w:rsidR="00E246CB">
        <w:rPr>
          <w:rFonts w:ascii="Times New Roman" w:hAnsi="Times New Roman" w:cs="Times New Roman"/>
          <w:sz w:val="24"/>
          <w:szCs w:val="24"/>
        </w:rPr>
        <w:t xml:space="preserve"> some </w:t>
      </w:r>
      <w:r w:rsidR="00FF4A6D">
        <w:rPr>
          <w:rFonts w:ascii="Times New Roman" w:hAnsi="Times New Roman" w:cs="Times New Roman"/>
          <w:sz w:val="24"/>
          <w:szCs w:val="24"/>
        </w:rPr>
        <w:t xml:space="preserve">limited </w:t>
      </w:r>
      <w:r w:rsidR="00E246CB">
        <w:rPr>
          <w:rFonts w:ascii="Times New Roman" w:hAnsi="Times New Roman" w:cs="Times New Roman"/>
          <w:sz w:val="24"/>
          <w:szCs w:val="24"/>
        </w:rPr>
        <w:t xml:space="preserve">interest in showing greater dispersion </w:t>
      </w:r>
      <w:r w:rsidR="00FF4A6D">
        <w:rPr>
          <w:rFonts w:ascii="Times New Roman" w:hAnsi="Times New Roman" w:cs="Times New Roman"/>
          <w:sz w:val="24"/>
          <w:szCs w:val="24"/>
        </w:rPr>
        <w:t xml:space="preserve">(around similar means) </w:t>
      </w:r>
      <w:r w:rsidR="00E246CB">
        <w:rPr>
          <w:rFonts w:ascii="Times New Roman" w:hAnsi="Times New Roman" w:cs="Times New Roman"/>
          <w:sz w:val="24"/>
          <w:szCs w:val="24"/>
        </w:rPr>
        <w:t xml:space="preserve">in </w:t>
      </w:r>
      <w:r w:rsidR="00FF4A6D">
        <w:rPr>
          <w:rFonts w:ascii="Times New Roman" w:hAnsi="Times New Roman" w:cs="Times New Roman"/>
          <w:sz w:val="24"/>
          <w:szCs w:val="24"/>
        </w:rPr>
        <w:t xml:space="preserve">rates of return </w:t>
      </w:r>
      <w:r w:rsidR="00D01C86">
        <w:rPr>
          <w:rFonts w:ascii="Times New Roman" w:hAnsi="Times New Roman" w:cs="Times New Roman"/>
          <w:sz w:val="24"/>
          <w:szCs w:val="24"/>
        </w:rPr>
        <w:t xml:space="preserve">for exempt distributors, although this is hardly a particularly surprising result:  it is generally to be expected that price regulation will have a homogenising effect on rates of return. </w:t>
      </w:r>
      <w:r w:rsidR="00E246CB">
        <w:rPr>
          <w:rFonts w:ascii="Times New Roman" w:hAnsi="Times New Roman" w:cs="Times New Roman"/>
          <w:sz w:val="24"/>
          <w:szCs w:val="24"/>
        </w:rPr>
        <w:t xml:space="preserve"> </w:t>
      </w:r>
    </w:p>
    <w:p w14:paraId="4F77044E" w14:textId="047824D6" w:rsidR="00FE64C4" w:rsidRDefault="00E246CB"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second chart (7.2) </w:t>
      </w:r>
      <w:r w:rsidR="00D01C86">
        <w:rPr>
          <w:rFonts w:ascii="Times New Roman" w:hAnsi="Times New Roman" w:cs="Times New Roman"/>
          <w:sz w:val="24"/>
          <w:szCs w:val="24"/>
        </w:rPr>
        <w:t>shows</w:t>
      </w:r>
      <w:r>
        <w:rPr>
          <w:rFonts w:ascii="Times New Roman" w:hAnsi="Times New Roman" w:cs="Times New Roman"/>
          <w:sz w:val="24"/>
          <w:szCs w:val="24"/>
        </w:rPr>
        <w:t xml:space="preserve"> cross-</w:t>
      </w:r>
      <w:r w:rsidR="00E52397">
        <w:rPr>
          <w:rFonts w:ascii="Times New Roman" w:hAnsi="Times New Roman" w:cs="Times New Roman"/>
          <w:sz w:val="24"/>
          <w:szCs w:val="24"/>
        </w:rPr>
        <w:t>EDB</w:t>
      </w:r>
      <w:r>
        <w:rPr>
          <w:rFonts w:ascii="Times New Roman" w:hAnsi="Times New Roman" w:cs="Times New Roman"/>
          <w:sz w:val="24"/>
          <w:szCs w:val="24"/>
        </w:rPr>
        <w:t xml:space="preserve"> rates of revenue growth (2013-15), but, in addition to the aforementioned classification errors, it is difficult to see how </w:t>
      </w:r>
      <w:r w:rsidR="00D01C86">
        <w:rPr>
          <w:rFonts w:ascii="Times New Roman" w:hAnsi="Times New Roman" w:cs="Times New Roman"/>
          <w:sz w:val="24"/>
          <w:szCs w:val="24"/>
        </w:rPr>
        <w:t xml:space="preserve">differences in </w:t>
      </w:r>
      <w:r>
        <w:rPr>
          <w:rFonts w:ascii="Times New Roman" w:hAnsi="Times New Roman" w:cs="Times New Roman"/>
          <w:sz w:val="24"/>
          <w:szCs w:val="24"/>
        </w:rPr>
        <w:t xml:space="preserve">growth rates over such a short time period </w:t>
      </w:r>
      <w:r w:rsidR="00750E49">
        <w:rPr>
          <w:rFonts w:ascii="Times New Roman" w:hAnsi="Times New Roman" w:cs="Times New Roman"/>
          <w:sz w:val="24"/>
          <w:szCs w:val="24"/>
        </w:rPr>
        <w:t>could</w:t>
      </w:r>
      <w:r w:rsidR="00D01C86">
        <w:rPr>
          <w:rFonts w:ascii="Times New Roman" w:hAnsi="Times New Roman" w:cs="Times New Roman"/>
          <w:sz w:val="24"/>
          <w:szCs w:val="24"/>
        </w:rPr>
        <w:t xml:space="preserve"> tell us very much.  Th</w:t>
      </w:r>
      <w:r w:rsidR="00E52397">
        <w:rPr>
          <w:rFonts w:ascii="Times New Roman" w:hAnsi="Times New Roman" w:cs="Times New Roman"/>
          <w:sz w:val="24"/>
          <w:szCs w:val="24"/>
        </w:rPr>
        <w:t>e</w:t>
      </w:r>
      <w:r w:rsidR="00D01C86">
        <w:rPr>
          <w:rFonts w:ascii="Times New Roman" w:hAnsi="Times New Roman" w:cs="Times New Roman"/>
          <w:sz w:val="24"/>
          <w:szCs w:val="24"/>
        </w:rPr>
        <w:t xml:space="preserve"> focus on revenue growth is </w:t>
      </w:r>
      <w:r w:rsidR="00750E49">
        <w:rPr>
          <w:rFonts w:ascii="Times New Roman" w:hAnsi="Times New Roman" w:cs="Times New Roman"/>
          <w:sz w:val="24"/>
          <w:szCs w:val="24"/>
        </w:rPr>
        <w:t xml:space="preserve">also </w:t>
      </w:r>
      <w:r w:rsidR="00D01C86">
        <w:rPr>
          <w:rFonts w:ascii="Times New Roman" w:hAnsi="Times New Roman" w:cs="Times New Roman"/>
          <w:sz w:val="24"/>
          <w:szCs w:val="24"/>
        </w:rPr>
        <w:t xml:space="preserve">a little odd in that revenue conflates output and price effects: a given change in revenue </w:t>
      </w:r>
      <w:r w:rsidR="00FF4A6D">
        <w:rPr>
          <w:rFonts w:ascii="Times New Roman" w:hAnsi="Times New Roman" w:cs="Times New Roman"/>
          <w:sz w:val="24"/>
          <w:szCs w:val="24"/>
        </w:rPr>
        <w:t>could</w:t>
      </w:r>
      <w:r w:rsidR="00D01C86">
        <w:rPr>
          <w:rFonts w:ascii="Times New Roman" w:hAnsi="Times New Roman" w:cs="Times New Roman"/>
          <w:sz w:val="24"/>
          <w:szCs w:val="24"/>
        </w:rPr>
        <w:t xml:space="preserve"> potentially be attributable to price increases only or to output increases only, and these are two, very different outcomes, at least from the viewpoint of consumers. </w:t>
      </w:r>
      <w:r w:rsidR="00FF4A6D">
        <w:rPr>
          <w:rFonts w:ascii="Times New Roman" w:hAnsi="Times New Roman" w:cs="Times New Roman"/>
          <w:sz w:val="24"/>
          <w:szCs w:val="24"/>
        </w:rPr>
        <w:t xml:space="preserve"> The statistic would not, therefore, generally </w:t>
      </w:r>
      <w:r w:rsidR="00750E49">
        <w:rPr>
          <w:rFonts w:ascii="Times New Roman" w:hAnsi="Times New Roman" w:cs="Times New Roman"/>
          <w:sz w:val="24"/>
          <w:szCs w:val="24"/>
        </w:rPr>
        <w:t xml:space="preserve">be </w:t>
      </w:r>
      <w:r w:rsidR="00FF4A6D">
        <w:rPr>
          <w:rFonts w:ascii="Times New Roman" w:hAnsi="Times New Roman" w:cs="Times New Roman"/>
          <w:sz w:val="24"/>
          <w:szCs w:val="24"/>
        </w:rPr>
        <w:t>regarded as a ‘performance indicator’</w:t>
      </w:r>
      <w:r w:rsidR="00750E49">
        <w:rPr>
          <w:rFonts w:ascii="Times New Roman" w:hAnsi="Times New Roman" w:cs="Times New Roman"/>
          <w:sz w:val="24"/>
          <w:szCs w:val="24"/>
        </w:rPr>
        <w:t xml:space="preserve"> in this type of exercise</w:t>
      </w:r>
      <w:r w:rsidR="00FF4A6D">
        <w:rPr>
          <w:rFonts w:ascii="Times New Roman" w:hAnsi="Times New Roman" w:cs="Times New Roman"/>
          <w:sz w:val="24"/>
          <w:szCs w:val="24"/>
        </w:rPr>
        <w:t xml:space="preserve">, at least </w:t>
      </w:r>
      <w:r w:rsidR="00750E49">
        <w:rPr>
          <w:rFonts w:ascii="Times New Roman" w:hAnsi="Times New Roman" w:cs="Times New Roman"/>
          <w:sz w:val="24"/>
          <w:szCs w:val="24"/>
        </w:rPr>
        <w:t xml:space="preserve">when dealing with </w:t>
      </w:r>
      <w:r w:rsidR="00E52397">
        <w:rPr>
          <w:rFonts w:ascii="Times New Roman" w:hAnsi="Times New Roman" w:cs="Times New Roman"/>
          <w:sz w:val="24"/>
          <w:szCs w:val="24"/>
        </w:rPr>
        <w:t>issues in a policy context</w:t>
      </w:r>
      <w:r w:rsidR="00FF4A6D">
        <w:rPr>
          <w:rFonts w:ascii="Times New Roman" w:hAnsi="Times New Roman" w:cs="Times New Roman"/>
          <w:sz w:val="24"/>
          <w:szCs w:val="24"/>
        </w:rPr>
        <w:t>.</w:t>
      </w:r>
      <w:r w:rsidR="00492788">
        <w:rPr>
          <w:rFonts w:ascii="Times New Roman" w:hAnsi="Times New Roman" w:cs="Times New Roman"/>
          <w:sz w:val="24"/>
          <w:szCs w:val="24"/>
        </w:rPr>
        <w:t xml:space="preserve"> </w:t>
      </w:r>
    </w:p>
    <w:p w14:paraId="4D00B3D4" w14:textId="788E3E67" w:rsidR="00EA34E4" w:rsidRDefault="008632AC" w:rsidP="00207C67">
      <w:pPr>
        <w:spacing w:line="276" w:lineRule="auto"/>
        <w:rPr>
          <w:rFonts w:ascii="Times New Roman" w:hAnsi="Times New Roman" w:cs="Times New Roman"/>
          <w:sz w:val="24"/>
          <w:szCs w:val="24"/>
        </w:rPr>
      </w:pPr>
      <w:r>
        <w:rPr>
          <w:rFonts w:ascii="Times New Roman" w:hAnsi="Times New Roman" w:cs="Times New Roman"/>
          <w:sz w:val="24"/>
          <w:szCs w:val="24"/>
        </w:rPr>
        <w:t>F</w:t>
      </w:r>
      <w:r w:rsidR="00E67DD2">
        <w:rPr>
          <w:rFonts w:ascii="Times New Roman" w:hAnsi="Times New Roman" w:cs="Times New Roman"/>
          <w:sz w:val="24"/>
          <w:szCs w:val="24"/>
        </w:rPr>
        <w:t>igure 7.3</w:t>
      </w:r>
      <w:r w:rsidR="00EA34E4">
        <w:rPr>
          <w:rFonts w:ascii="Times New Roman" w:hAnsi="Times New Roman" w:cs="Times New Roman"/>
          <w:sz w:val="24"/>
          <w:szCs w:val="24"/>
        </w:rPr>
        <w:t xml:space="preserve">, exhibiting changes in </w:t>
      </w:r>
      <w:proofErr w:type="spellStart"/>
      <w:r w:rsidR="00EA34E4">
        <w:rPr>
          <w:rFonts w:ascii="Times New Roman" w:hAnsi="Times New Roman" w:cs="Times New Roman"/>
          <w:sz w:val="24"/>
          <w:szCs w:val="24"/>
        </w:rPr>
        <w:t>opex</w:t>
      </w:r>
      <w:proofErr w:type="spellEnd"/>
      <w:r w:rsidR="00EA34E4">
        <w:rPr>
          <w:rFonts w:ascii="Times New Roman" w:hAnsi="Times New Roman" w:cs="Times New Roman"/>
          <w:sz w:val="24"/>
          <w:szCs w:val="24"/>
        </w:rPr>
        <w:t xml:space="preserve"> and capex</w:t>
      </w:r>
      <w:r w:rsidR="00750E49">
        <w:rPr>
          <w:rFonts w:ascii="Times New Roman" w:hAnsi="Times New Roman" w:cs="Times New Roman"/>
          <w:sz w:val="24"/>
          <w:szCs w:val="24"/>
        </w:rPr>
        <w:t>,</w:t>
      </w:r>
      <w:r w:rsidR="00EA34E4">
        <w:rPr>
          <w:rFonts w:ascii="Times New Roman" w:hAnsi="Times New Roman" w:cs="Times New Roman"/>
          <w:sz w:val="24"/>
          <w:szCs w:val="24"/>
        </w:rPr>
        <w:t xml:space="preserve"> is confusing.  The chart indicates that the growth rates are calculated from data for 2008-12 and 2013-2015, whereas the textual discussion of the charts at page 136 refers to changes in expenditure between 2013 and 2015 only, a much shorter period.  This appears to be another error, possibly a </w:t>
      </w:r>
      <w:r w:rsidR="00FF4A6D">
        <w:rPr>
          <w:rFonts w:ascii="Times New Roman" w:hAnsi="Times New Roman" w:cs="Times New Roman"/>
          <w:sz w:val="24"/>
          <w:szCs w:val="24"/>
        </w:rPr>
        <w:t>typo</w:t>
      </w:r>
      <w:r w:rsidR="00EA34E4">
        <w:rPr>
          <w:rFonts w:ascii="Times New Roman" w:hAnsi="Times New Roman" w:cs="Times New Roman"/>
          <w:sz w:val="24"/>
          <w:szCs w:val="24"/>
        </w:rPr>
        <w:t xml:space="preserve">, but, since no </w:t>
      </w:r>
      <w:r w:rsidR="00655A1D">
        <w:rPr>
          <w:rFonts w:ascii="Times New Roman" w:hAnsi="Times New Roman" w:cs="Times New Roman"/>
          <w:sz w:val="24"/>
          <w:szCs w:val="24"/>
        </w:rPr>
        <w:t>significant inferences are made from the charts, it is of no great consequence.</w:t>
      </w:r>
    </w:p>
    <w:p w14:paraId="0D122A68" w14:textId="21AF7422" w:rsidR="00E67DD2" w:rsidRDefault="009F53B5" w:rsidP="00207C67">
      <w:pPr>
        <w:spacing w:line="276" w:lineRule="auto"/>
        <w:rPr>
          <w:rFonts w:ascii="Times New Roman" w:hAnsi="Times New Roman" w:cs="Times New Roman"/>
          <w:sz w:val="24"/>
          <w:szCs w:val="24"/>
        </w:rPr>
      </w:pPr>
      <w:r>
        <w:rPr>
          <w:rFonts w:ascii="Times New Roman" w:hAnsi="Times New Roman" w:cs="Times New Roman"/>
          <w:sz w:val="24"/>
          <w:szCs w:val="24"/>
        </w:rPr>
        <w:t>When it comes to trends in the frequency of interruptions</w:t>
      </w:r>
      <w:r w:rsidR="00F16FC1">
        <w:rPr>
          <w:rFonts w:ascii="Times New Roman" w:hAnsi="Times New Roman" w:cs="Times New Roman"/>
          <w:sz w:val="24"/>
          <w:szCs w:val="24"/>
        </w:rPr>
        <w:t xml:space="preserve"> (Figure 7.4)</w:t>
      </w:r>
      <w:r>
        <w:rPr>
          <w:rFonts w:ascii="Times New Roman" w:hAnsi="Times New Roman" w:cs="Times New Roman"/>
          <w:sz w:val="24"/>
          <w:szCs w:val="24"/>
        </w:rPr>
        <w:t xml:space="preserve"> – which is a more salient performance metric – the comparison periods change again</w:t>
      </w:r>
      <w:r w:rsidR="00655A1D">
        <w:rPr>
          <w:rFonts w:ascii="Times New Roman" w:hAnsi="Times New Roman" w:cs="Times New Roman"/>
          <w:sz w:val="24"/>
          <w:szCs w:val="24"/>
        </w:rPr>
        <w:t xml:space="preserve">:  the growth rates are </w:t>
      </w:r>
      <w:r>
        <w:rPr>
          <w:rFonts w:ascii="Times New Roman" w:hAnsi="Times New Roman" w:cs="Times New Roman"/>
          <w:sz w:val="24"/>
          <w:szCs w:val="24"/>
        </w:rPr>
        <w:t>from 2003-10 to 2011-15.  Th</w:t>
      </w:r>
      <w:r w:rsidR="00655A1D">
        <w:rPr>
          <w:rFonts w:ascii="Times New Roman" w:hAnsi="Times New Roman" w:cs="Times New Roman"/>
          <w:sz w:val="24"/>
          <w:szCs w:val="24"/>
        </w:rPr>
        <w:t xml:space="preserve">e choices of time periods in the different exercises (revenues, </w:t>
      </w:r>
      <w:proofErr w:type="spellStart"/>
      <w:r w:rsidR="00655A1D">
        <w:rPr>
          <w:rFonts w:ascii="Times New Roman" w:hAnsi="Times New Roman" w:cs="Times New Roman"/>
          <w:sz w:val="24"/>
          <w:szCs w:val="24"/>
        </w:rPr>
        <w:t>opex</w:t>
      </w:r>
      <w:proofErr w:type="spellEnd"/>
      <w:r w:rsidR="00655A1D">
        <w:rPr>
          <w:rFonts w:ascii="Times New Roman" w:hAnsi="Times New Roman" w:cs="Times New Roman"/>
          <w:sz w:val="24"/>
          <w:szCs w:val="24"/>
        </w:rPr>
        <w:t>/capex, interruptions)</w:t>
      </w:r>
      <w:r>
        <w:rPr>
          <w:rFonts w:ascii="Times New Roman" w:hAnsi="Times New Roman" w:cs="Times New Roman"/>
          <w:sz w:val="24"/>
          <w:szCs w:val="24"/>
        </w:rPr>
        <w:t xml:space="preserve"> may have been due to </w:t>
      </w:r>
      <w:r w:rsidR="00655A1D">
        <w:rPr>
          <w:rFonts w:ascii="Times New Roman" w:hAnsi="Times New Roman" w:cs="Times New Roman"/>
          <w:sz w:val="24"/>
          <w:szCs w:val="24"/>
        </w:rPr>
        <w:t xml:space="preserve">ease of </w:t>
      </w:r>
      <w:r>
        <w:rPr>
          <w:rFonts w:ascii="Times New Roman" w:hAnsi="Times New Roman" w:cs="Times New Roman"/>
          <w:sz w:val="24"/>
          <w:szCs w:val="24"/>
        </w:rPr>
        <w:t>data availability, but no explanation is offered and the</w:t>
      </w:r>
      <w:r w:rsidR="00FF4A6D">
        <w:rPr>
          <w:rFonts w:ascii="Times New Roman" w:hAnsi="Times New Roman" w:cs="Times New Roman"/>
          <w:sz w:val="24"/>
          <w:szCs w:val="24"/>
        </w:rPr>
        <w:t xml:space="preserve"> </w:t>
      </w:r>
      <w:r>
        <w:rPr>
          <w:rFonts w:ascii="Times New Roman" w:hAnsi="Times New Roman" w:cs="Times New Roman"/>
          <w:sz w:val="24"/>
          <w:szCs w:val="24"/>
        </w:rPr>
        <w:t xml:space="preserve">impression </w:t>
      </w:r>
      <w:r w:rsidR="00FF4A6D">
        <w:rPr>
          <w:rFonts w:ascii="Times New Roman" w:hAnsi="Times New Roman" w:cs="Times New Roman"/>
          <w:sz w:val="24"/>
          <w:szCs w:val="24"/>
        </w:rPr>
        <w:t xml:space="preserve">given </w:t>
      </w:r>
      <w:r>
        <w:rPr>
          <w:rFonts w:ascii="Times New Roman" w:hAnsi="Times New Roman" w:cs="Times New Roman"/>
          <w:sz w:val="24"/>
          <w:szCs w:val="24"/>
        </w:rPr>
        <w:t xml:space="preserve">is that it is all very slapdash.    </w:t>
      </w:r>
      <w:r w:rsidR="00E67DD2">
        <w:rPr>
          <w:rFonts w:ascii="Times New Roman" w:hAnsi="Times New Roman" w:cs="Times New Roman"/>
          <w:sz w:val="24"/>
          <w:szCs w:val="24"/>
        </w:rPr>
        <w:t xml:space="preserve">  </w:t>
      </w:r>
    </w:p>
    <w:p w14:paraId="2EE17327" w14:textId="39101CC5" w:rsidR="00F16FC1" w:rsidRDefault="00F16FC1"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general finding </w:t>
      </w:r>
      <w:r w:rsidR="00655A1D">
        <w:rPr>
          <w:rFonts w:ascii="Times New Roman" w:hAnsi="Times New Roman" w:cs="Times New Roman"/>
          <w:sz w:val="24"/>
          <w:szCs w:val="24"/>
        </w:rPr>
        <w:t xml:space="preserve">of this section of C7 </w:t>
      </w:r>
      <w:r>
        <w:rPr>
          <w:rFonts w:ascii="Times New Roman" w:hAnsi="Times New Roman" w:cs="Times New Roman"/>
          <w:sz w:val="24"/>
          <w:szCs w:val="24"/>
        </w:rPr>
        <w:t>is that there are no discernible differences in the metrics between regulated and exempt distributors, save that the rate of return shows greater variability for exempt distributors</w:t>
      </w:r>
      <w:r w:rsidR="00FC7D82">
        <w:rPr>
          <w:rFonts w:ascii="Times New Roman" w:hAnsi="Times New Roman" w:cs="Times New Roman"/>
          <w:sz w:val="24"/>
          <w:szCs w:val="24"/>
        </w:rPr>
        <w:t xml:space="preserve">, although there is no test of that difference for statistical significance (which would have been the simplest of exercises to perform). </w:t>
      </w:r>
      <w:r>
        <w:rPr>
          <w:rFonts w:ascii="Times New Roman" w:hAnsi="Times New Roman" w:cs="Times New Roman"/>
          <w:sz w:val="24"/>
          <w:szCs w:val="24"/>
        </w:rPr>
        <w:t xml:space="preserve"> </w:t>
      </w:r>
    </w:p>
    <w:p w14:paraId="356A4037" w14:textId="6218D6F1" w:rsidR="004F066F" w:rsidRDefault="00F16FC1" w:rsidP="00207C67">
      <w:pPr>
        <w:spacing w:line="276" w:lineRule="auto"/>
        <w:rPr>
          <w:rFonts w:ascii="Times New Roman" w:hAnsi="Times New Roman" w:cs="Times New Roman"/>
          <w:sz w:val="24"/>
          <w:szCs w:val="24"/>
        </w:rPr>
      </w:pPr>
      <w:r>
        <w:rPr>
          <w:rFonts w:ascii="Times New Roman" w:hAnsi="Times New Roman" w:cs="Times New Roman"/>
          <w:sz w:val="24"/>
          <w:szCs w:val="24"/>
        </w:rPr>
        <w:t>The</w:t>
      </w:r>
      <w:r w:rsidR="00655A1D">
        <w:rPr>
          <w:rFonts w:ascii="Times New Roman" w:hAnsi="Times New Roman" w:cs="Times New Roman"/>
          <w:sz w:val="24"/>
          <w:szCs w:val="24"/>
        </w:rPr>
        <w:t xml:space="preserve"> remaining </w:t>
      </w:r>
      <w:r>
        <w:rPr>
          <w:rFonts w:ascii="Times New Roman" w:hAnsi="Times New Roman" w:cs="Times New Roman"/>
          <w:sz w:val="24"/>
          <w:szCs w:val="24"/>
        </w:rPr>
        <w:t>sections of C</w:t>
      </w:r>
      <w:r w:rsidR="00655A1D">
        <w:rPr>
          <w:rFonts w:ascii="Times New Roman" w:hAnsi="Times New Roman" w:cs="Times New Roman"/>
          <w:sz w:val="24"/>
          <w:szCs w:val="24"/>
        </w:rPr>
        <w:t>7</w:t>
      </w:r>
      <w:r>
        <w:rPr>
          <w:rFonts w:ascii="Times New Roman" w:hAnsi="Times New Roman" w:cs="Times New Roman"/>
          <w:sz w:val="24"/>
          <w:szCs w:val="24"/>
        </w:rPr>
        <w:t xml:space="preserve"> </w:t>
      </w:r>
      <w:r w:rsidR="00655A1D">
        <w:rPr>
          <w:rFonts w:ascii="Times New Roman" w:hAnsi="Times New Roman" w:cs="Times New Roman"/>
          <w:sz w:val="24"/>
          <w:szCs w:val="24"/>
        </w:rPr>
        <w:t xml:space="preserve">have the </w:t>
      </w:r>
      <w:r>
        <w:rPr>
          <w:rFonts w:ascii="Times New Roman" w:hAnsi="Times New Roman" w:cs="Times New Roman"/>
          <w:sz w:val="24"/>
          <w:szCs w:val="24"/>
        </w:rPr>
        <w:t xml:space="preserve">headings: </w:t>
      </w:r>
      <w:r w:rsidR="00750E49">
        <w:rPr>
          <w:rFonts w:ascii="Times New Roman" w:hAnsi="Times New Roman" w:cs="Times New Roman"/>
          <w:sz w:val="24"/>
          <w:szCs w:val="24"/>
        </w:rPr>
        <w:t xml:space="preserve"> </w:t>
      </w:r>
      <w:r>
        <w:rPr>
          <w:rFonts w:ascii="Times New Roman" w:hAnsi="Times New Roman" w:cs="Times New Roman"/>
          <w:sz w:val="24"/>
          <w:szCs w:val="24"/>
        </w:rPr>
        <w:t xml:space="preserve">Emerging policy issues; </w:t>
      </w:r>
      <w:r w:rsidR="00750E49">
        <w:rPr>
          <w:rFonts w:ascii="Times New Roman" w:hAnsi="Times New Roman" w:cs="Times New Roman"/>
          <w:sz w:val="24"/>
          <w:szCs w:val="24"/>
        </w:rPr>
        <w:t xml:space="preserve"> </w:t>
      </w:r>
      <w:r>
        <w:rPr>
          <w:rFonts w:ascii="Times New Roman" w:hAnsi="Times New Roman" w:cs="Times New Roman"/>
          <w:sz w:val="24"/>
          <w:szCs w:val="24"/>
        </w:rPr>
        <w:t xml:space="preserve">Strengthening the governance framework; </w:t>
      </w:r>
      <w:r w:rsidR="00750E49">
        <w:rPr>
          <w:rFonts w:ascii="Times New Roman" w:hAnsi="Times New Roman" w:cs="Times New Roman"/>
          <w:sz w:val="24"/>
          <w:szCs w:val="24"/>
        </w:rPr>
        <w:t xml:space="preserve"> </w:t>
      </w:r>
      <w:r>
        <w:rPr>
          <w:rFonts w:ascii="Times New Roman" w:hAnsi="Times New Roman" w:cs="Times New Roman"/>
          <w:sz w:val="24"/>
          <w:szCs w:val="24"/>
        </w:rPr>
        <w:t>Assessment;</w:t>
      </w:r>
      <w:r w:rsidR="00750E49">
        <w:rPr>
          <w:rFonts w:ascii="Times New Roman" w:hAnsi="Times New Roman" w:cs="Times New Roman"/>
          <w:sz w:val="24"/>
          <w:szCs w:val="24"/>
        </w:rPr>
        <w:t xml:space="preserve"> </w:t>
      </w:r>
      <w:r>
        <w:rPr>
          <w:rFonts w:ascii="Times New Roman" w:hAnsi="Times New Roman" w:cs="Times New Roman"/>
          <w:sz w:val="24"/>
          <w:szCs w:val="24"/>
        </w:rPr>
        <w:t xml:space="preserve"> and Recommendations.  Nothing material in them </w:t>
      </w:r>
      <w:r w:rsidR="004F066F">
        <w:rPr>
          <w:rFonts w:ascii="Times New Roman" w:hAnsi="Times New Roman" w:cs="Times New Roman"/>
          <w:sz w:val="24"/>
          <w:szCs w:val="24"/>
        </w:rPr>
        <w:t xml:space="preserve">appears to depend on the data </w:t>
      </w:r>
      <w:r w:rsidR="004047B4">
        <w:rPr>
          <w:rFonts w:ascii="Times New Roman" w:hAnsi="Times New Roman" w:cs="Times New Roman"/>
          <w:sz w:val="24"/>
          <w:szCs w:val="24"/>
        </w:rPr>
        <w:t xml:space="preserve">in the </w:t>
      </w:r>
      <w:r w:rsidR="004F066F">
        <w:rPr>
          <w:rFonts w:ascii="Times New Roman" w:hAnsi="Times New Roman" w:cs="Times New Roman"/>
          <w:sz w:val="24"/>
          <w:szCs w:val="24"/>
        </w:rPr>
        <w:t>performance trends</w:t>
      </w:r>
      <w:r w:rsidR="004047B4">
        <w:rPr>
          <w:rFonts w:ascii="Times New Roman" w:hAnsi="Times New Roman" w:cs="Times New Roman"/>
          <w:sz w:val="24"/>
          <w:szCs w:val="24"/>
        </w:rPr>
        <w:t xml:space="preserve"> section</w:t>
      </w:r>
      <w:r w:rsidR="004F066F">
        <w:rPr>
          <w:rFonts w:ascii="Times New Roman" w:hAnsi="Times New Roman" w:cs="Times New Roman"/>
          <w:sz w:val="24"/>
          <w:szCs w:val="24"/>
        </w:rPr>
        <w:t>, which therefore appears to have been something of a space filler</w:t>
      </w:r>
      <w:r w:rsidR="004047B4">
        <w:rPr>
          <w:rFonts w:ascii="Times New Roman" w:hAnsi="Times New Roman" w:cs="Times New Roman"/>
          <w:sz w:val="24"/>
          <w:szCs w:val="24"/>
        </w:rPr>
        <w:t xml:space="preserve"> (although it needn’t have been such if different metrics had been chosen and more care </w:t>
      </w:r>
      <w:r w:rsidR="00750E49">
        <w:rPr>
          <w:rFonts w:ascii="Times New Roman" w:hAnsi="Times New Roman" w:cs="Times New Roman"/>
          <w:sz w:val="24"/>
          <w:szCs w:val="24"/>
        </w:rPr>
        <w:t xml:space="preserve">had been </w:t>
      </w:r>
      <w:r w:rsidR="004047B4">
        <w:rPr>
          <w:rFonts w:ascii="Times New Roman" w:hAnsi="Times New Roman" w:cs="Times New Roman"/>
          <w:sz w:val="24"/>
          <w:szCs w:val="24"/>
        </w:rPr>
        <w:t>expended on the</w:t>
      </w:r>
      <w:r w:rsidR="00FC7D82">
        <w:rPr>
          <w:rFonts w:ascii="Times New Roman" w:hAnsi="Times New Roman" w:cs="Times New Roman"/>
          <w:sz w:val="24"/>
          <w:szCs w:val="24"/>
        </w:rPr>
        <w:t xml:space="preserve"> </w:t>
      </w:r>
      <w:r w:rsidR="004047B4">
        <w:rPr>
          <w:rFonts w:ascii="Times New Roman" w:hAnsi="Times New Roman" w:cs="Times New Roman"/>
          <w:sz w:val="24"/>
          <w:szCs w:val="24"/>
        </w:rPr>
        <w:t>exercise)</w:t>
      </w:r>
      <w:r w:rsidR="004F066F">
        <w:rPr>
          <w:rFonts w:ascii="Times New Roman" w:hAnsi="Times New Roman" w:cs="Times New Roman"/>
          <w:sz w:val="24"/>
          <w:szCs w:val="24"/>
        </w:rPr>
        <w:t xml:space="preserve">.  These later sections </w:t>
      </w:r>
      <w:r w:rsidR="004F066F">
        <w:rPr>
          <w:rFonts w:ascii="Times New Roman" w:hAnsi="Times New Roman" w:cs="Times New Roman"/>
          <w:sz w:val="24"/>
          <w:szCs w:val="24"/>
        </w:rPr>
        <w:lastRenderedPageBreak/>
        <w:t>include the more substantive content of C</w:t>
      </w:r>
      <w:r w:rsidR="00655A1D">
        <w:rPr>
          <w:rFonts w:ascii="Times New Roman" w:hAnsi="Times New Roman" w:cs="Times New Roman"/>
          <w:sz w:val="24"/>
          <w:szCs w:val="24"/>
        </w:rPr>
        <w:t>7</w:t>
      </w:r>
      <w:r w:rsidR="00750E49">
        <w:rPr>
          <w:rFonts w:ascii="Times New Roman" w:hAnsi="Times New Roman" w:cs="Times New Roman"/>
          <w:sz w:val="24"/>
          <w:szCs w:val="24"/>
        </w:rPr>
        <w:t xml:space="preserve">, which </w:t>
      </w:r>
      <w:r w:rsidR="004F066F">
        <w:rPr>
          <w:rFonts w:ascii="Times New Roman" w:hAnsi="Times New Roman" w:cs="Times New Roman"/>
          <w:sz w:val="24"/>
          <w:szCs w:val="24"/>
        </w:rPr>
        <w:t xml:space="preserve">will now </w:t>
      </w:r>
      <w:r w:rsidR="00750E49">
        <w:rPr>
          <w:rFonts w:ascii="Times New Roman" w:hAnsi="Times New Roman" w:cs="Times New Roman"/>
          <w:sz w:val="24"/>
          <w:szCs w:val="24"/>
        </w:rPr>
        <w:t xml:space="preserve">be </w:t>
      </w:r>
      <w:r w:rsidR="004F066F">
        <w:rPr>
          <w:rFonts w:ascii="Times New Roman" w:hAnsi="Times New Roman" w:cs="Times New Roman"/>
          <w:sz w:val="24"/>
          <w:szCs w:val="24"/>
        </w:rPr>
        <w:t>address</w:t>
      </w:r>
      <w:r w:rsidR="00750E49">
        <w:rPr>
          <w:rFonts w:ascii="Times New Roman" w:hAnsi="Times New Roman" w:cs="Times New Roman"/>
          <w:sz w:val="24"/>
          <w:szCs w:val="24"/>
        </w:rPr>
        <w:t>ed i</w:t>
      </w:r>
      <w:r w:rsidR="004F066F">
        <w:rPr>
          <w:rFonts w:ascii="Times New Roman" w:hAnsi="Times New Roman" w:cs="Times New Roman"/>
          <w:sz w:val="24"/>
          <w:szCs w:val="24"/>
        </w:rPr>
        <w:t>n a more systematic way.</w:t>
      </w:r>
    </w:p>
    <w:p w14:paraId="5D903C82" w14:textId="5A833F64" w:rsidR="00BC7B77" w:rsidRPr="00495239" w:rsidRDefault="00655A1D" w:rsidP="00495239">
      <w:pPr>
        <w:pStyle w:val="ListParagraph"/>
        <w:numPr>
          <w:ilvl w:val="0"/>
          <w:numId w:val="9"/>
        </w:numPr>
        <w:spacing w:line="276" w:lineRule="auto"/>
        <w:rPr>
          <w:rFonts w:ascii="Times New Roman" w:hAnsi="Times New Roman" w:cs="Times New Roman"/>
          <w:b/>
          <w:sz w:val="24"/>
          <w:szCs w:val="24"/>
        </w:rPr>
      </w:pPr>
      <w:r w:rsidRPr="00495239">
        <w:rPr>
          <w:rFonts w:ascii="Times New Roman" w:hAnsi="Times New Roman" w:cs="Times New Roman"/>
          <w:b/>
          <w:sz w:val="24"/>
          <w:szCs w:val="24"/>
        </w:rPr>
        <w:t xml:space="preserve">The structure </w:t>
      </w:r>
      <w:r w:rsidR="00495239" w:rsidRPr="00495239">
        <w:rPr>
          <w:rFonts w:ascii="Times New Roman" w:hAnsi="Times New Roman" w:cs="Times New Roman"/>
          <w:b/>
          <w:sz w:val="24"/>
          <w:szCs w:val="24"/>
        </w:rPr>
        <w:t>and style of the</w:t>
      </w:r>
      <w:r w:rsidRPr="00495239">
        <w:rPr>
          <w:rFonts w:ascii="Times New Roman" w:hAnsi="Times New Roman" w:cs="Times New Roman"/>
          <w:b/>
          <w:sz w:val="24"/>
          <w:szCs w:val="24"/>
        </w:rPr>
        <w:t xml:space="preserve"> </w:t>
      </w:r>
      <w:r w:rsidR="00495239" w:rsidRPr="00495239">
        <w:rPr>
          <w:rFonts w:ascii="Times New Roman" w:hAnsi="Times New Roman" w:cs="Times New Roman"/>
          <w:b/>
          <w:sz w:val="24"/>
          <w:szCs w:val="24"/>
        </w:rPr>
        <w:t xml:space="preserve">economic </w:t>
      </w:r>
      <w:r w:rsidR="00BC7B77" w:rsidRPr="00495239">
        <w:rPr>
          <w:rFonts w:ascii="Times New Roman" w:hAnsi="Times New Roman" w:cs="Times New Roman"/>
          <w:b/>
          <w:sz w:val="24"/>
          <w:szCs w:val="24"/>
        </w:rPr>
        <w:t>reasoning</w:t>
      </w:r>
      <w:r w:rsidRPr="00495239">
        <w:rPr>
          <w:rFonts w:ascii="Times New Roman" w:hAnsi="Times New Roman" w:cs="Times New Roman"/>
          <w:b/>
          <w:sz w:val="24"/>
          <w:szCs w:val="24"/>
        </w:rPr>
        <w:t xml:space="preserve"> </w:t>
      </w:r>
      <w:r w:rsidR="00495239" w:rsidRPr="00495239">
        <w:rPr>
          <w:rFonts w:ascii="Times New Roman" w:hAnsi="Times New Roman" w:cs="Times New Roman"/>
          <w:b/>
          <w:sz w:val="24"/>
          <w:szCs w:val="24"/>
        </w:rPr>
        <w:t>in</w:t>
      </w:r>
      <w:r w:rsidRPr="00495239">
        <w:rPr>
          <w:rFonts w:ascii="Times New Roman" w:hAnsi="Times New Roman" w:cs="Times New Roman"/>
          <w:b/>
          <w:sz w:val="24"/>
          <w:szCs w:val="24"/>
        </w:rPr>
        <w:t xml:space="preserve"> C7</w:t>
      </w:r>
    </w:p>
    <w:p w14:paraId="3ECED89D" w14:textId="51D66991" w:rsidR="00674088" w:rsidRPr="003F4C60" w:rsidRDefault="00674088" w:rsidP="00207C67">
      <w:pPr>
        <w:spacing w:line="276" w:lineRule="auto"/>
        <w:rPr>
          <w:rFonts w:ascii="Times New Roman" w:hAnsi="Times New Roman" w:cs="Times New Roman"/>
          <w:b/>
          <w:i/>
          <w:sz w:val="24"/>
          <w:szCs w:val="24"/>
        </w:rPr>
      </w:pPr>
      <w:r w:rsidRPr="003F4C60">
        <w:rPr>
          <w:rFonts w:ascii="Times New Roman" w:hAnsi="Times New Roman" w:cs="Times New Roman"/>
          <w:b/>
          <w:i/>
          <w:sz w:val="24"/>
          <w:szCs w:val="24"/>
        </w:rPr>
        <w:t>Argument by insinuation</w:t>
      </w:r>
    </w:p>
    <w:p w14:paraId="6E2896D9" w14:textId="23B262F0" w:rsidR="00642CB4" w:rsidRDefault="00BC7B77"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I would characterise the style of reasoning in the </w:t>
      </w:r>
      <w:r w:rsidR="0047649B">
        <w:rPr>
          <w:rFonts w:ascii="Times New Roman" w:hAnsi="Times New Roman" w:cs="Times New Roman"/>
          <w:sz w:val="24"/>
          <w:szCs w:val="24"/>
        </w:rPr>
        <w:t>C7</w:t>
      </w:r>
      <w:r>
        <w:rPr>
          <w:rFonts w:ascii="Times New Roman" w:hAnsi="Times New Roman" w:cs="Times New Roman"/>
          <w:sz w:val="24"/>
          <w:szCs w:val="24"/>
        </w:rPr>
        <w:t xml:space="preserve"> as </w:t>
      </w:r>
      <w:r>
        <w:rPr>
          <w:rFonts w:ascii="Times New Roman" w:hAnsi="Times New Roman" w:cs="Times New Roman"/>
          <w:i/>
          <w:sz w:val="24"/>
          <w:szCs w:val="24"/>
        </w:rPr>
        <w:t xml:space="preserve">argument by insinuation. </w:t>
      </w:r>
      <w:r w:rsidR="00642CB4">
        <w:rPr>
          <w:rFonts w:ascii="Times New Roman" w:hAnsi="Times New Roman" w:cs="Times New Roman"/>
          <w:sz w:val="24"/>
          <w:szCs w:val="24"/>
        </w:rPr>
        <w:t>Little</w:t>
      </w:r>
      <w:r>
        <w:rPr>
          <w:rFonts w:ascii="Times New Roman" w:hAnsi="Times New Roman" w:cs="Times New Roman"/>
          <w:sz w:val="24"/>
          <w:szCs w:val="24"/>
        </w:rPr>
        <w:t xml:space="preserve"> is substantiated </w:t>
      </w:r>
      <w:r w:rsidR="0047649B">
        <w:rPr>
          <w:rFonts w:ascii="Times New Roman" w:hAnsi="Times New Roman" w:cs="Times New Roman"/>
          <w:sz w:val="24"/>
          <w:szCs w:val="24"/>
        </w:rPr>
        <w:t xml:space="preserve">as the discussion moves on </w:t>
      </w:r>
      <w:r>
        <w:rPr>
          <w:rFonts w:ascii="Times New Roman" w:hAnsi="Times New Roman" w:cs="Times New Roman"/>
          <w:sz w:val="24"/>
          <w:szCs w:val="24"/>
        </w:rPr>
        <w:t xml:space="preserve">and </w:t>
      </w:r>
      <w:r w:rsidR="00642CB4">
        <w:rPr>
          <w:rFonts w:ascii="Times New Roman" w:hAnsi="Times New Roman" w:cs="Times New Roman"/>
          <w:sz w:val="24"/>
          <w:szCs w:val="24"/>
        </w:rPr>
        <w:t xml:space="preserve">there is a dearth of </w:t>
      </w:r>
      <w:r w:rsidR="004047B4">
        <w:rPr>
          <w:rFonts w:ascii="Times New Roman" w:hAnsi="Times New Roman" w:cs="Times New Roman"/>
          <w:sz w:val="24"/>
          <w:szCs w:val="24"/>
        </w:rPr>
        <w:t>safe</w:t>
      </w:r>
      <w:r w:rsidR="00642CB4">
        <w:rPr>
          <w:rFonts w:ascii="Times New Roman" w:hAnsi="Times New Roman" w:cs="Times New Roman"/>
          <w:sz w:val="24"/>
          <w:szCs w:val="24"/>
        </w:rPr>
        <w:t xml:space="preserve"> </w:t>
      </w:r>
      <w:r>
        <w:rPr>
          <w:rFonts w:ascii="Times New Roman" w:hAnsi="Times New Roman" w:cs="Times New Roman"/>
          <w:sz w:val="24"/>
          <w:szCs w:val="24"/>
        </w:rPr>
        <w:t xml:space="preserve">inferences.  Instead, </w:t>
      </w:r>
      <w:r w:rsidR="004047B4">
        <w:rPr>
          <w:rFonts w:ascii="Times New Roman" w:hAnsi="Times New Roman" w:cs="Times New Roman"/>
          <w:sz w:val="24"/>
          <w:szCs w:val="24"/>
        </w:rPr>
        <w:t xml:space="preserve">the text is littered by many instances of </w:t>
      </w:r>
      <w:r>
        <w:rPr>
          <w:rFonts w:ascii="Times New Roman" w:hAnsi="Times New Roman" w:cs="Times New Roman"/>
          <w:sz w:val="24"/>
          <w:szCs w:val="24"/>
        </w:rPr>
        <w:t>‘mays’, ‘</w:t>
      </w:r>
      <w:proofErr w:type="spellStart"/>
      <w:r>
        <w:rPr>
          <w:rFonts w:ascii="Times New Roman" w:hAnsi="Times New Roman" w:cs="Times New Roman"/>
          <w:sz w:val="24"/>
          <w:szCs w:val="24"/>
        </w:rPr>
        <w:t>mights</w:t>
      </w:r>
      <w:proofErr w:type="spellEnd"/>
      <w:r>
        <w:rPr>
          <w:rFonts w:ascii="Times New Roman" w:hAnsi="Times New Roman" w:cs="Times New Roman"/>
          <w:sz w:val="24"/>
          <w:szCs w:val="24"/>
        </w:rPr>
        <w:t>’ and ‘</w:t>
      </w:r>
      <w:proofErr w:type="spellStart"/>
      <w:r>
        <w:rPr>
          <w:rFonts w:ascii="Times New Roman" w:hAnsi="Times New Roman" w:cs="Times New Roman"/>
          <w:sz w:val="24"/>
          <w:szCs w:val="24"/>
        </w:rPr>
        <w:t>coulds</w:t>
      </w:r>
      <w:proofErr w:type="spellEnd"/>
      <w:r>
        <w:rPr>
          <w:rFonts w:ascii="Times New Roman" w:hAnsi="Times New Roman" w:cs="Times New Roman"/>
          <w:sz w:val="24"/>
          <w:szCs w:val="24"/>
        </w:rPr>
        <w:t>’.</w:t>
      </w:r>
      <w:r w:rsidR="004047B4">
        <w:rPr>
          <w:rFonts w:ascii="Times New Roman" w:hAnsi="Times New Roman" w:cs="Times New Roman"/>
          <w:sz w:val="24"/>
          <w:szCs w:val="24"/>
        </w:rPr>
        <w:t xml:space="preserve">  Also indicative </w:t>
      </w:r>
      <w:r w:rsidR="003F4C60">
        <w:rPr>
          <w:rFonts w:ascii="Times New Roman" w:hAnsi="Times New Roman" w:cs="Times New Roman"/>
          <w:sz w:val="24"/>
          <w:szCs w:val="24"/>
        </w:rPr>
        <w:t xml:space="preserve">of the style </w:t>
      </w:r>
      <w:r w:rsidR="004047B4">
        <w:rPr>
          <w:rFonts w:ascii="Times New Roman" w:hAnsi="Times New Roman" w:cs="Times New Roman"/>
          <w:sz w:val="24"/>
          <w:szCs w:val="24"/>
        </w:rPr>
        <w:t xml:space="preserve">is the very frequent referencing of ‘concerns’:  there are ‘concerns’ about this or that, but the references </w:t>
      </w:r>
      <w:r w:rsidR="003F4C60">
        <w:rPr>
          <w:rFonts w:ascii="Times New Roman" w:hAnsi="Times New Roman" w:cs="Times New Roman"/>
          <w:sz w:val="24"/>
          <w:szCs w:val="24"/>
        </w:rPr>
        <w:t xml:space="preserve">are </w:t>
      </w:r>
      <w:r w:rsidR="004047B4">
        <w:rPr>
          <w:rFonts w:ascii="Times New Roman" w:hAnsi="Times New Roman" w:cs="Times New Roman"/>
          <w:sz w:val="24"/>
          <w:szCs w:val="24"/>
        </w:rPr>
        <w:t xml:space="preserve">almost invariably unspecific about detail and there is no identification of their sources.  Are these </w:t>
      </w:r>
      <w:r w:rsidR="003F4C60">
        <w:rPr>
          <w:rFonts w:ascii="Times New Roman" w:hAnsi="Times New Roman" w:cs="Times New Roman"/>
          <w:sz w:val="24"/>
          <w:szCs w:val="24"/>
        </w:rPr>
        <w:t xml:space="preserve">the </w:t>
      </w:r>
      <w:r w:rsidR="004047B4">
        <w:rPr>
          <w:rFonts w:ascii="Times New Roman" w:hAnsi="Times New Roman" w:cs="Times New Roman"/>
          <w:sz w:val="24"/>
          <w:szCs w:val="24"/>
        </w:rPr>
        <w:t>concerns of the authors, of NZ consumers, of NZ businesses?  The reader is not told.</w:t>
      </w:r>
      <w:r>
        <w:rPr>
          <w:rFonts w:ascii="Times New Roman" w:hAnsi="Times New Roman" w:cs="Times New Roman"/>
          <w:sz w:val="24"/>
          <w:szCs w:val="24"/>
        </w:rPr>
        <w:t xml:space="preserve">  </w:t>
      </w:r>
    </w:p>
    <w:p w14:paraId="135723E0" w14:textId="53434256" w:rsidR="003F4C60" w:rsidRDefault="0047649B"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words ‘may’, ‘might’ and ‘could’ signify possibilities, and no more than that. </w:t>
      </w:r>
      <w:r w:rsidR="004047B4">
        <w:rPr>
          <w:rFonts w:ascii="Times New Roman" w:hAnsi="Times New Roman" w:cs="Times New Roman"/>
          <w:sz w:val="24"/>
          <w:szCs w:val="24"/>
        </w:rPr>
        <w:t xml:space="preserve">They carry with them the notion that things are uncertain. </w:t>
      </w:r>
      <w:r>
        <w:rPr>
          <w:rFonts w:ascii="Times New Roman" w:hAnsi="Times New Roman" w:cs="Times New Roman"/>
          <w:sz w:val="24"/>
          <w:szCs w:val="24"/>
        </w:rPr>
        <w:t xml:space="preserve"> </w:t>
      </w:r>
      <w:r w:rsidR="003F4C60">
        <w:rPr>
          <w:rFonts w:ascii="Times New Roman" w:hAnsi="Times New Roman" w:cs="Times New Roman"/>
          <w:sz w:val="24"/>
          <w:szCs w:val="24"/>
        </w:rPr>
        <w:t>When</w:t>
      </w:r>
      <w:r>
        <w:rPr>
          <w:rFonts w:ascii="Times New Roman" w:hAnsi="Times New Roman" w:cs="Times New Roman"/>
          <w:sz w:val="24"/>
          <w:szCs w:val="24"/>
        </w:rPr>
        <w:t xml:space="preserve"> looking at an economic policy issue, there are always </w:t>
      </w:r>
      <w:r w:rsidR="00825CC4">
        <w:rPr>
          <w:rFonts w:ascii="Times New Roman" w:hAnsi="Times New Roman" w:cs="Times New Roman"/>
          <w:sz w:val="24"/>
          <w:szCs w:val="24"/>
        </w:rPr>
        <w:t xml:space="preserve">uncertainties and </w:t>
      </w:r>
      <w:r w:rsidR="003F4C60">
        <w:rPr>
          <w:rFonts w:ascii="Times New Roman" w:hAnsi="Times New Roman" w:cs="Times New Roman"/>
          <w:sz w:val="24"/>
          <w:szCs w:val="24"/>
        </w:rPr>
        <w:t xml:space="preserve">always </w:t>
      </w:r>
      <w:r>
        <w:rPr>
          <w:rFonts w:ascii="Times New Roman" w:hAnsi="Times New Roman" w:cs="Times New Roman"/>
          <w:sz w:val="24"/>
          <w:szCs w:val="24"/>
        </w:rPr>
        <w:t xml:space="preserve">many possibilities </w:t>
      </w:r>
      <w:r w:rsidR="00825CC4">
        <w:rPr>
          <w:rFonts w:ascii="Times New Roman" w:hAnsi="Times New Roman" w:cs="Times New Roman"/>
          <w:sz w:val="24"/>
          <w:szCs w:val="24"/>
        </w:rPr>
        <w:t>in play.  The</w:t>
      </w:r>
      <w:r>
        <w:rPr>
          <w:rFonts w:ascii="Times New Roman" w:hAnsi="Times New Roman" w:cs="Times New Roman"/>
          <w:sz w:val="24"/>
          <w:szCs w:val="24"/>
        </w:rPr>
        <w:t xml:space="preserve"> point of assessment</w:t>
      </w:r>
      <w:r w:rsidR="00825CC4">
        <w:rPr>
          <w:rFonts w:ascii="Times New Roman" w:hAnsi="Times New Roman" w:cs="Times New Roman"/>
          <w:sz w:val="24"/>
          <w:szCs w:val="24"/>
        </w:rPr>
        <w:t xml:space="preserve"> is to identify the main possibilities and then to arrive at judgments about </w:t>
      </w:r>
      <w:r>
        <w:rPr>
          <w:rFonts w:ascii="Times New Roman" w:hAnsi="Times New Roman" w:cs="Times New Roman"/>
          <w:sz w:val="24"/>
          <w:szCs w:val="24"/>
        </w:rPr>
        <w:t xml:space="preserve">the relative likelihoods </w:t>
      </w:r>
      <w:r w:rsidR="00825CC4">
        <w:rPr>
          <w:rFonts w:ascii="Times New Roman" w:hAnsi="Times New Roman" w:cs="Times New Roman"/>
          <w:sz w:val="24"/>
          <w:szCs w:val="24"/>
        </w:rPr>
        <w:t xml:space="preserve">and the consequences </w:t>
      </w:r>
      <w:r>
        <w:rPr>
          <w:rFonts w:ascii="Times New Roman" w:hAnsi="Times New Roman" w:cs="Times New Roman"/>
          <w:sz w:val="24"/>
          <w:szCs w:val="24"/>
        </w:rPr>
        <w:t>of each of them</w:t>
      </w:r>
      <w:r w:rsidR="00825CC4">
        <w:rPr>
          <w:rFonts w:ascii="Times New Roman" w:hAnsi="Times New Roman" w:cs="Times New Roman"/>
          <w:sz w:val="24"/>
          <w:szCs w:val="24"/>
        </w:rPr>
        <w:t xml:space="preserve">, </w:t>
      </w:r>
      <w:r>
        <w:rPr>
          <w:rFonts w:ascii="Times New Roman" w:hAnsi="Times New Roman" w:cs="Times New Roman"/>
          <w:sz w:val="24"/>
          <w:szCs w:val="24"/>
        </w:rPr>
        <w:t>so as to be able</w:t>
      </w:r>
      <w:r w:rsidR="003F4C60">
        <w:rPr>
          <w:rFonts w:ascii="Times New Roman" w:hAnsi="Times New Roman" w:cs="Times New Roman"/>
          <w:sz w:val="24"/>
          <w:szCs w:val="24"/>
        </w:rPr>
        <w:t xml:space="preserve"> to </w:t>
      </w:r>
      <w:r>
        <w:rPr>
          <w:rFonts w:ascii="Times New Roman" w:hAnsi="Times New Roman" w:cs="Times New Roman"/>
          <w:sz w:val="24"/>
          <w:szCs w:val="24"/>
        </w:rPr>
        <w:t xml:space="preserve">better inform policy decisions.  C7 does not attempt such </w:t>
      </w:r>
      <w:r w:rsidR="00825CC4">
        <w:rPr>
          <w:rFonts w:ascii="Times New Roman" w:hAnsi="Times New Roman" w:cs="Times New Roman"/>
          <w:sz w:val="24"/>
          <w:szCs w:val="24"/>
        </w:rPr>
        <w:t xml:space="preserve">an </w:t>
      </w:r>
      <w:r>
        <w:rPr>
          <w:rFonts w:ascii="Times New Roman" w:hAnsi="Times New Roman" w:cs="Times New Roman"/>
          <w:sz w:val="24"/>
          <w:szCs w:val="24"/>
        </w:rPr>
        <w:t xml:space="preserve">exercise, leaving an unbridged chasm between the possibilities identified, most frequently introduced as a ‘concern’ </w:t>
      </w:r>
      <w:r w:rsidR="00E02AC2">
        <w:rPr>
          <w:rFonts w:ascii="Times New Roman" w:hAnsi="Times New Roman" w:cs="Times New Roman"/>
          <w:sz w:val="24"/>
          <w:szCs w:val="24"/>
        </w:rPr>
        <w:t xml:space="preserve">of unknown provenance, and the suggestions and recommendations that </w:t>
      </w:r>
      <w:r w:rsidR="00825CC4">
        <w:rPr>
          <w:rFonts w:ascii="Times New Roman" w:hAnsi="Times New Roman" w:cs="Times New Roman"/>
          <w:sz w:val="24"/>
          <w:szCs w:val="24"/>
        </w:rPr>
        <w:t>are eventually made</w:t>
      </w:r>
      <w:r w:rsidR="00E02AC2">
        <w:rPr>
          <w:rFonts w:ascii="Times New Roman" w:hAnsi="Times New Roman" w:cs="Times New Roman"/>
          <w:sz w:val="24"/>
          <w:szCs w:val="24"/>
        </w:rPr>
        <w:t>.</w:t>
      </w:r>
      <w:r w:rsidR="00825CC4">
        <w:rPr>
          <w:rFonts w:ascii="Times New Roman" w:hAnsi="Times New Roman" w:cs="Times New Roman"/>
          <w:sz w:val="24"/>
          <w:szCs w:val="24"/>
        </w:rPr>
        <w:t xml:space="preserve">  Instead, it offers </w:t>
      </w:r>
      <w:r w:rsidR="00825CC4">
        <w:rPr>
          <w:rFonts w:ascii="Times New Roman" w:hAnsi="Times New Roman" w:cs="Times New Roman"/>
          <w:i/>
          <w:sz w:val="24"/>
          <w:szCs w:val="24"/>
        </w:rPr>
        <w:t>argument by insinuation</w:t>
      </w:r>
      <w:r w:rsidR="00825CC4">
        <w:rPr>
          <w:rFonts w:ascii="Times New Roman" w:hAnsi="Times New Roman" w:cs="Times New Roman"/>
          <w:sz w:val="24"/>
          <w:szCs w:val="24"/>
        </w:rPr>
        <w:t>:</w:t>
      </w:r>
      <w:r w:rsidR="00FC7D82">
        <w:rPr>
          <w:rFonts w:ascii="Times New Roman" w:hAnsi="Times New Roman" w:cs="Times New Roman"/>
          <w:sz w:val="24"/>
          <w:szCs w:val="24"/>
        </w:rPr>
        <w:t xml:space="preserve"> </w:t>
      </w:r>
      <w:r w:rsidR="00825CC4">
        <w:rPr>
          <w:rFonts w:ascii="Times New Roman" w:hAnsi="Times New Roman" w:cs="Times New Roman"/>
          <w:sz w:val="24"/>
          <w:szCs w:val="24"/>
        </w:rPr>
        <w:t xml:space="preserve"> a </w:t>
      </w:r>
      <w:r w:rsidR="00825CC4" w:rsidRPr="00825CC4">
        <w:rPr>
          <w:rFonts w:ascii="Times New Roman" w:hAnsi="Times New Roman" w:cs="Times New Roman"/>
          <w:i/>
          <w:sz w:val="24"/>
          <w:szCs w:val="24"/>
        </w:rPr>
        <w:t>possible</w:t>
      </w:r>
      <w:r w:rsidR="00825CC4">
        <w:rPr>
          <w:rFonts w:ascii="Times New Roman" w:hAnsi="Times New Roman" w:cs="Times New Roman"/>
          <w:sz w:val="24"/>
          <w:szCs w:val="24"/>
        </w:rPr>
        <w:t xml:space="preserve"> problem is vaguely suggested and it </w:t>
      </w:r>
      <w:r w:rsidR="00FC7D82">
        <w:rPr>
          <w:rFonts w:ascii="Times New Roman" w:hAnsi="Times New Roman" w:cs="Times New Roman"/>
          <w:sz w:val="24"/>
          <w:szCs w:val="24"/>
        </w:rPr>
        <w:t xml:space="preserve">is </w:t>
      </w:r>
      <w:r w:rsidR="00825CC4">
        <w:rPr>
          <w:rFonts w:ascii="Times New Roman" w:hAnsi="Times New Roman" w:cs="Times New Roman"/>
          <w:sz w:val="24"/>
          <w:szCs w:val="24"/>
        </w:rPr>
        <w:t>insinuated</w:t>
      </w:r>
      <w:r w:rsidR="00FC7D82">
        <w:rPr>
          <w:rFonts w:ascii="Times New Roman" w:hAnsi="Times New Roman" w:cs="Times New Roman"/>
          <w:sz w:val="24"/>
          <w:szCs w:val="24"/>
        </w:rPr>
        <w:t>, without further ado,</w:t>
      </w:r>
      <w:r w:rsidR="00825CC4">
        <w:rPr>
          <w:rFonts w:ascii="Times New Roman" w:hAnsi="Times New Roman" w:cs="Times New Roman"/>
          <w:sz w:val="24"/>
          <w:szCs w:val="24"/>
        </w:rPr>
        <w:t xml:space="preserve"> that it should be addressed.</w:t>
      </w:r>
      <w:r w:rsidR="00E02AC2">
        <w:rPr>
          <w:rFonts w:ascii="Times New Roman" w:hAnsi="Times New Roman" w:cs="Times New Roman"/>
          <w:sz w:val="24"/>
          <w:szCs w:val="24"/>
        </w:rPr>
        <w:t xml:space="preserve"> </w:t>
      </w:r>
    </w:p>
    <w:p w14:paraId="20AC8FB6" w14:textId="39FADA39" w:rsidR="00E02AC2" w:rsidRDefault="00E02AC2" w:rsidP="00207C67">
      <w:pPr>
        <w:spacing w:line="276" w:lineRule="auto"/>
        <w:rPr>
          <w:rFonts w:ascii="Times New Roman" w:hAnsi="Times New Roman" w:cs="Times New Roman"/>
          <w:sz w:val="24"/>
          <w:szCs w:val="24"/>
        </w:rPr>
      </w:pPr>
      <w:r>
        <w:rPr>
          <w:rFonts w:ascii="Times New Roman" w:hAnsi="Times New Roman" w:cs="Times New Roman"/>
          <w:sz w:val="24"/>
          <w:szCs w:val="24"/>
        </w:rPr>
        <w:t>S</w:t>
      </w:r>
      <w:r w:rsidR="00BC7B77">
        <w:rPr>
          <w:rFonts w:ascii="Times New Roman" w:hAnsi="Times New Roman" w:cs="Times New Roman"/>
          <w:sz w:val="24"/>
          <w:szCs w:val="24"/>
        </w:rPr>
        <w:t xml:space="preserve">omething </w:t>
      </w:r>
      <w:r w:rsidR="00825CC4">
        <w:rPr>
          <w:rFonts w:ascii="Times New Roman" w:hAnsi="Times New Roman" w:cs="Times New Roman"/>
          <w:sz w:val="24"/>
          <w:szCs w:val="24"/>
        </w:rPr>
        <w:t xml:space="preserve">much </w:t>
      </w:r>
      <w:r w:rsidR="00BC7B77">
        <w:rPr>
          <w:rFonts w:ascii="Times New Roman" w:hAnsi="Times New Roman" w:cs="Times New Roman"/>
          <w:sz w:val="24"/>
          <w:szCs w:val="24"/>
        </w:rPr>
        <w:t xml:space="preserve">more definite </w:t>
      </w:r>
      <w:r>
        <w:rPr>
          <w:rFonts w:ascii="Times New Roman" w:hAnsi="Times New Roman" w:cs="Times New Roman"/>
          <w:sz w:val="24"/>
          <w:szCs w:val="24"/>
        </w:rPr>
        <w:t xml:space="preserve">than this </w:t>
      </w:r>
      <w:r w:rsidR="003F4C60">
        <w:rPr>
          <w:rFonts w:ascii="Times New Roman" w:hAnsi="Times New Roman" w:cs="Times New Roman"/>
          <w:sz w:val="24"/>
          <w:szCs w:val="24"/>
        </w:rPr>
        <w:t>is</w:t>
      </w:r>
      <w:r w:rsidR="00BC7B77">
        <w:rPr>
          <w:rFonts w:ascii="Times New Roman" w:hAnsi="Times New Roman" w:cs="Times New Roman"/>
          <w:sz w:val="24"/>
          <w:szCs w:val="24"/>
        </w:rPr>
        <w:t xml:space="preserve"> required to arrive at </w:t>
      </w:r>
      <w:r>
        <w:rPr>
          <w:rFonts w:ascii="Times New Roman" w:hAnsi="Times New Roman" w:cs="Times New Roman"/>
          <w:sz w:val="24"/>
          <w:szCs w:val="24"/>
        </w:rPr>
        <w:t xml:space="preserve">useful </w:t>
      </w:r>
      <w:r w:rsidR="00BC7B77">
        <w:rPr>
          <w:rFonts w:ascii="Times New Roman" w:hAnsi="Times New Roman" w:cs="Times New Roman"/>
          <w:sz w:val="24"/>
          <w:szCs w:val="24"/>
        </w:rPr>
        <w:t>conclusions and recommendations</w:t>
      </w:r>
      <w:r w:rsidR="00B566D1">
        <w:rPr>
          <w:rFonts w:ascii="Times New Roman" w:hAnsi="Times New Roman" w:cs="Times New Roman"/>
          <w:sz w:val="24"/>
          <w:szCs w:val="24"/>
        </w:rPr>
        <w:t xml:space="preserve">, </w:t>
      </w:r>
      <w:proofErr w:type="spellStart"/>
      <w:r w:rsidR="00B566D1">
        <w:rPr>
          <w:rFonts w:ascii="Times New Roman" w:hAnsi="Times New Roman" w:cs="Times New Roman"/>
          <w:sz w:val="24"/>
          <w:szCs w:val="24"/>
        </w:rPr>
        <w:t>e.g.s</w:t>
      </w:r>
      <w:proofErr w:type="spellEnd"/>
      <w:r w:rsidR="00B566D1">
        <w:rPr>
          <w:rFonts w:ascii="Times New Roman" w:hAnsi="Times New Roman" w:cs="Times New Roman"/>
          <w:sz w:val="24"/>
          <w:szCs w:val="24"/>
        </w:rPr>
        <w:t xml:space="preserve">. ‘X can be expected to be a problem’ and ‘doing Y in response to X can be expected to have effect Z’, in each case offered with substantiation for the degree of definiteness. </w:t>
      </w:r>
      <w:r w:rsidR="004250F6">
        <w:rPr>
          <w:rFonts w:ascii="Times New Roman" w:hAnsi="Times New Roman" w:cs="Times New Roman"/>
          <w:sz w:val="24"/>
          <w:szCs w:val="24"/>
        </w:rPr>
        <w:t xml:space="preserve"> </w:t>
      </w:r>
    </w:p>
    <w:p w14:paraId="79875CC0" w14:textId="23C87DFE" w:rsidR="00E6408F" w:rsidRDefault="00E6408F"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‘can be expected to’ formulation does appear in C7, five times, but (i) that frequency is far lower than the frequency of the mays, </w:t>
      </w:r>
      <w:proofErr w:type="spellStart"/>
      <w:r>
        <w:rPr>
          <w:rFonts w:ascii="Times New Roman" w:hAnsi="Times New Roman" w:cs="Times New Roman"/>
          <w:sz w:val="24"/>
          <w:szCs w:val="24"/>
        </w:rPr>
        <w:t>mights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coulds</w:t>
      </w:r>
      <w:proofErr w:type="spellEnd"/>
      <w:r>
        <w:rPr>
          <w:rFonts w:ascii="Times New Roman" w:hAnsi="Times New Roman" w:cs="Times New Roman"/>
          <w:sz w:val="24"/>
          <w:szCs w:val="24"/>
        </w:rPr>
        <w:t>, and (ii) in four of the five cases it is unaccompanied by any supporting evidence</w:t>
      </w:r>
      <w:r w:rsidR="00911728">
        <w:rPr>
          <w:rFonts w:ascii="Times New Roman" w:hAnsi="Times New Roman" w:cs="Times New Roman"/>
          <w:sz w:val="24"/>
          <w:szCs w:val="24"/>
        </w:rPr>
        <w:t xml:space="preserve"> or reasoning</w:t>
      </w:r>
      <w:r>
        <w:rPr>
          <w:rFonts w:ascii="Times New Roman" w:hAnsi="Times New Roman" w:cs="Times New Roman"/>
          <w:sz w:val="24"/>
          <w:szCs w:val="24"/>
        </w:rPr>
        <w:t xml:space="preserve">.  </w:t>
      </w:r>
      <w:r w:rsidR="00B566D1">
        <w:rPr>
          <w:rFonts w:ascii="Times New Roman" w:hAnsi="Times New Roman" w:cs="Times New Roman"/>
          <w:sz w:val="24"/>
          <w:szCs w:val="24"/>
        </w:rPr>
        <w:t>T</w:t>
      </w:r>
      <w:r>
        <w:rPr>
          <w:rFonts w:ascii="Times New Roman" w:hAnsi="Times New Roman" w:cs="Times New Roman"/>
          <w:sz w:val="24"/>
          <w:szCs w:val="24"/>
        </w:rPr>
        <w:t>he exception</w:t>
      </w:r>
      <w:r w:rsidR="00911728">
        <w:rPr>
          <w:rFonts w:ascii="Times New Roman" w:hAnsi="Times New Roman" w:cs="Times New Roman"/>
          <w:sz w:val="24"/>
          <w:szCs w:val="24"/>
        </w:rPr>
        <w:t>al reference</w:t>
      </w:r>
      <w:r>
        <w:rPr>
          <w:rFonts w:ascii="Times New Roman" w:hAnsi="Times New Roman" w:cs="Times New Roman"/>
          <w:sz w:val="24"/>
          <w:szCs w:val="24"/>
        </w:rPr>
        <w:t xml:space="preserve"> – the one case in which a reasonably definite</w:t>
      </w:r>
      <w:r w:rsidR="00911728">
        <w:rPr>
          <w:rFonts w:ascii="Times New Roman" w:hAnsi="Times New Roman" w:cs="Times New Roman"/>
          <w:sz w:val="24"/>
          <w:szCs w:val="24"/>
        </w:rPr>
        <w:t>, supported</w:t>
      </w:r>
      <w:r>
        <w:rPr>
          <w:rFonts w:ascii="Times New Roman" w:hAnsi="Times New Roman" w:cs="Times New Roman"/>
          <w:sz w:val="24"/>
          <w:szCs w:val="24"/>
        </w:rPr>
        <w:t xml:space="preserve"> conclusion/judgment is referenced in C7 – is not a judgment/conclusion of the C7 authors themselves:  it is a </w:t>
      </w:r>
      <w:r w:rsidRPr="00911728">
        <w:rPr>
          <w:rFonts w:ascii="Times New Roman" w:hAnsi="Times New Roman" w:cs="Times New Roman"/>
          <w:i/>
          <w:sz w:val="24"/>
          <w:szCs w:val="24"/>
        </w:rPr>
        <w:t>report</w:t>
      </w:r>
      <w:r>
        <w:rPr>
          <w:rFonts w:ascii="Times New Roman" w:hAnsi="Times New Roman" w:cs="Times New Roman"/>
          <w:sz w:val="24"/>
          <w:szCs w:val="24"/>
        </w:rPr>
        <w:t xml:space="preserve"> of a judgment/conclusion of the NZ Commerce Commission.</w:t>
      </w:r>
    </w:p>
    <w:p w14:paraId="4349E8EF" w14:textId="6E7EE32C" w:rsidR="00CD1BFF" w:rsidRDefault="00642CB4"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 existence of </w:t>
      </w:r>
      <w:r>
        <w:rPr>
          <w:rFonts w:ascii="Times New Roman" w:hAnsi="Times New Roman" w:cs="Times New Roman"/>
          <w:i/>
          <w:sz w:val="24"/>
          <w:szCs w:val="24"/>
        </w:rPr>
        <w:t xml:space="preserve">concerns </w:t>
      </w:r>
      <w:r>
        <w:rPr>
          <w:rFonts w:ascii="Times New Roman" w:hAnsi="Times New Roman" w:cs="Times New Roman"/>
          <w:sz w:val="24"/>
          <w:szCs w:val="24"/>
        </w:rPr>
        <w:t>is</w:t>
      </w:r>
      <w:r w:rsidR="00E6408F">
        <w:rPr>
          <w:rFonts w:ascii="Times New Roman" w:hAnsi="Times New Roman" w:cs="Times New Roman"/>
          <w:sz w:val="24"/>
          <w:szCs w:val="24"/>
        </w:rPr>
        <w:t>, of course,</w:t>
      </w:r>
      <w:r>
        <w:rPr>
          <w:rFonts w:ascii="Times New Roman" w:hAnsi="Times New Roman" w:cs="Times New Roman"/>
          <w:sz w:val="24"/>
          <w:szCs w:val="24"/>
        </w:rPr>
        <w:t xml:space="preserve"> a potentially valid reason for paying attention to a particular issue, but it</w:t>
      </w:r>
      <w:r w:rsidR="00B566D1">
        <w:rPr>
          <w:rFonts w:ascii="Times New Roman" w:hAnsi="Times New Roman" w:cs="Times New Roman"/>
          <w:sz w:val="24"/>
          <w:szCs w:val="24"/>
        </w:rPr>
        <w:t xml:space="preserve"> should</w:t>
      </w:r>
      <w:r>
        <w:rPr>
          <w:rFonts w:ascii="Times New Roman" w:hAnsi="Times New Roman" w:cs="Times New Roman"/>
          <w:sz w:val="24"/>
          <w:szCs w:val="24"/>
        </w:rPr>
        <w:t xml:space="preserve"> have been </w:t>
      </w:r>
      <w:r w:rsidR="00B566D1">
        <w:rPr>
          <w:rFonts w:ascii="Times New Roman" w:hAnsi="Times New Roman" w:cs="Times New Roman"/>
          <w:sz w:val="24"/>
          <w:szCs w:val="24"/>
        </w:rPr>
        <w:t>recognised</w:t>
      </w:r>
      <w:r w:rsidR="00CD1BFF">
        <w:rPr>
          <w:rFonts w:ascii="Times New Roman" w:hAnsi="Times New Roman" w:cs="Times New Roman"/>
          <w:sz w:val="24"/>
          <w:szCs w:val="24"/>
        </w:rPr>
        <w:t xml:space="preserve"> in </w:t>
      </w:r>
      <w:r w:rsidR="00E6408F">
        <w:rPr>
          <w:rFonts w:ascii="Times New Roman" w:hAnsi="Times New Roman" w:cs="Times New Roman"/>
          <w:sz w:val="24"/>
          <w:szCs w:val="24"/>
        </w:rPr>
        <w:t>C7</w:t>
      </w:r>
      <w:r w:rsidR="00B566D1">
        <w:rPr>
          <w:rFonts w:ascii="Times New Roman" w:hAnsi="Times New Roman" w:cs="Times New Roman"/>
          <w:sz w:val="24"/>
          <w:szCs w:val="24"/>
        </w:rPr>
        <w:t xml:space="preserve"> </w:t>
      </w:r>
      <w:r w:rsidR="00FC7D82">
        <w:rPr>
          <w:rFonts w:ascii="Times New Roman" w:hAnsi="Times New Roman" w:cs="Times New Roman"/>
          <w:sz w:val="24"/>
          <w:szCs w:val="24"/>
        </w:rPr>
        <w:t>t</w:t>
      </w:r>
      <w:r>
        <w:rPr>
          <w:rFonts w:ascii="Times New Roman" w:hAnsi="Times New Roman" w:cs="Times New Roman"/>
          <w:sz w:val="24"/>
          <w:szCs w:val="24"/>
        </w:rPr>
        <w:t>hat:</w:t>
      </w:r>
    </w:p>
    <w:p w14:paraId="3E8D920B" w14:textId="2D431B54" w:rsidR="00CD1BFF" w:rsidRDefault="00CD1BFF" w:rsidP="00207C6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The existence of an expressed </w:t>
      </w:r>
      <w:r w:rsidRPr="00CD1BFF">
        <w:rPr>
          <w:rFonts w:ascii="Times New Roman" w:hAnsi="Times New Roman" w:cs="Times New Roman"/>
          <w:i/>
          <w:sz w:val="24"/>
          <w:szCs w:val="24"/>
        </w:rPr>
        <w:t>concern</w:t>
      </w:r>
      <w:r>
        <w:rPr>
          <w:rFonts w:ascii="Times New Roman" w:hAnsi="Times New Roman" w:cs="Times New Roman"/>
          <w:sz w:val="24"/>
          <w:szCs w:val="24"/>
        </w:rPr>
        <w:t xml:space="preserve"> does not itself necessarily mean that it is warranted or justified.  I would have expected to see judgment </w:t>
      </w:r>
      <w:r w:rsidR="004A05DC">
        <w:rPr>
          <w:rFonts w:ascii="Times New Roman" w:hAnsi="Times New Roman" w:cs="Times New Roman"/>
          <w:sz w:val="24"/>
          <w:szCs w:val="24"/>
        </w:rPr>
        <w:t xml:space="preserve">being </w:t>
      </w:r>
      <w:r>
        <w:rPr>
          <w:rFonts w:ascii="Times New Roman" w:hAnsi="Times New Roman" w:cs="Times New Roman"/>
          <w:sz w:val="24"/>
          <w:szCs w:val="24"/>
        </w:rPr>
        <w:t>applied</w:t>
      </w:r>
      <w:r w:rsidR="004A05DC">
        <w:rPr>
          <w:rFonts w:ascii="Times New Roman" w:hAnsi="Times New Roman" w:cs="Times New Roman"/>
          <w:sz w:val="24"/>
          <w:szCs w:val="24"/>
        </w:rPr>
        <w:t xml:space="preserve"> on this point</w:t>
      </w:r>
      <w:r>
        <w:rPr>
          <w:rFonts w:ascii="Times New Roman" w:hAnsi="Times New Roman" w:cs="Times New Roman"/>
          <w:sz w:val="24"/>
          <w:szCs w:val="24"/>
        </w:rPr>
        <w:t>.</w:t>
      </w:r>
      <w:r w:rsidR="004A05DC">
        <w:rPr>
          <w:rFonts w:ascii="Times New Roman" w:hAnsi="Times New Roman" w:cs="Times New Roman"/>
          <w:sz w:val="24"/>
          <w:szCs w:val="24"/>
        </w:rPr>
        <w:t xml:space="preserve"> </w:t>
      </w:r>
      <w:r w:rsidR="00674088">
        <w:rPr>
          <w:rFonts w:ascii="Times New Roman" w:hAnsi="Times New Roman" w:cs="Times New Roman"/>
          <w:sz w:val="24"/>
          <w:szCs w:val="24"/>
        </w:rPr>
        <w:t xml:space="preserve"> Regulators and policymakers are not psychological therapists: they could not function effectively if they had to soothe every ‘concern’.</w:t>
      </w:r>
      <w:r w:rsidR="004A05DC">
        <w:rPr>
          <w:rFonts w:ascii="Times New Roman" w:hAnsi="Times New Roman" w:cs="Times New Roman"/>
          <w:sz w:val="24"/>
          <w:szCs w:val="24"/>
        </w:rPr>
        <w:t xml:space="preserve"> </w:t>
      </w:r>
    </w:p>
    <w:p w14:paraId="15E330FE" w14:textId="25F1240F" w:rsidR="00CD1BFF" w:rsidRDefault="00CD1BFF" w:rsidP="00207C6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Similarly, there are questions t</w:t>
      </w:r>
      <w:r w:rsidR="00B566D1">
        <w:rPr>
          <w:rFonts w:ascii="Times New Roman" w:hAnsi="Times New Roman" w:cs="Times New Roman"/>
          <w:sz w:val="24"/>
          <w:szCs w:val="24"/>
        </w:rPr>
        <w:t>o</w:t>
      </w:r>
      <w:r>
        <w:rPr>
          <w:rFonts w:ascii="Times New Roman" w:hAnsi="Times New Roman" w:cs="Times New Roman"/>
          <w:sz w:val="24"/>
          <w:szCs w:val="24"/>
        </w:rPr>
        <w:t xml:space="preserve"> be asked about the salience of the issue: not all </w:t>
      </w:r>
      <w:r w:rsidRPr="00CD1BFF">
        <w:rPr>
          <w:rFonts w:ascii="Times New Roman" w:hAnsi="Times New Roman" w:cs="Times New Roman"/>
          <w:i/>
          <w:sz w:val="24"/>
          <w:szCs w:val="24"/>
        </w:rPr>
        <w:t>concerns</w:t>
      </w:r>
      <w:r>
        <w:rPr>
          <w:rFonts w:ascii="Times New Roman" w:hAnsi="Times New Roman" w:cs="Times New Roman"/>
          <w:sz w:val="24"/>
          <w:szCs w:val="24"/>
        </w:rPr>
        <w:t xml:space="preserve"> are equal.  </w:t>
      </w:r>
    </w:p>
    <w:p w14:paraId="168C89AE" w14:textId="45E3B869" w:rsidR="00642CB4" w:rsidRDefault="00CD1BFF" w:rsidP="00207C67">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People can be concerned about a matter for a variety of different reasons, many of which may be largely irrelevant to the tasks of the policymaker.  Again, I would have expected to see some discrimination applied in a Report by an expert body.</w:t>
      </w:r>
    </w:p>
    <w:p w14:paraId="6E19B35D" w14:textId="3D85E94D" w:rsidR="00B566D1" w:rsidRDefault="008D3300" w:rsidP="00741A2E">
      <w:pPr>
        <w:pStyle w:val="ListParagraph"/>
        <w:numPr>
          <w:ilvl w:val="0"/>
          <w:numId w:val="3"/>
        </w:numPr>
        <w:spacing w:line="276" w:lineRule="auto"/>
        <w:rPr>
          <w:rFonts w:ascii="Times New Roman" w:hAnsi="Times New Roman" w:cs="Times New Roman"/>
          <w:sz w:val="24"/>
          <w:szCs w:val="24"/>
        </w:rPr>
      </w:pPr>
      <w:r w:rsidRPr="00B566D1">
        <w:rPr>
          <w:rFonts w:ascii="Times New Roman" w:hAnsi="Times New Roman" w:cs="Times New Roman"/>
          <w:sz w:val="24"/>
          <w:szCs w:val="24"/>
        </w:rPr>
        <w:t xml:space="preserve">There may be issues to be addressed where no major </w:t>
      </w:r>
      <w:r w:rsidRPr="00B566D1">
        <w:rPr>
          <w:rFonts w:ascii="Times New Roman" w:hAnsi="Times New Roman" w:cs="Times New Roman"/>
          <w:i/>
          <w:sz w:val="24"/>
          <w:szCs w:val="24"/>
        </w:rPr>
        <w:t xml:space="preserve">concerns </w:t>
      </w:r>
      <w:r w:rsidRPr="00B566D1">
        <w:rPr>
          <w:rFonts w:ascii="Times New Roman" w:hAnsi="Times New Roman" w:cs="Times New Roman"/>
          <w:sz w:val="24"/>
          <w:szCs w:val="24"/>
        </w:rPr>
        <w:t>have been expressed.  Good regulation should be alert to issues that may develop ahead of problems eventuating</w:t>
      </w:r>
      <w:r w:rsidR="00A77D75" w:rsidRPr="00B566D1">
        <w:rPr>
          <w:rFonts w:ascii="Times New Roman" w:hAnsi="Times New Roman" w:cs="Times New Roman"/>
          <w:sz w:val="24"/>
          <w:szCs w:val="24"/>
        </w:rPr>
        <w:t xml:space="preserve"> and ahead of them being generally </w:t>
      </w:r>
      <w:r w:rsidR="00FD30B0">
        <w:rPr>
          <w:rFonts w:ascii="Times New Roman" w:hAnsi="Times New Roman" w:cs="Times New Roman"/>
          <w:sz w:val="24"/>
          <w:szCs w:val="24"/>
        </w:rPr>
        <w:t>perceived to be in prospect</w:t>
      </w:r>
      <w:r w:rsidRPr="00B566D1">
        <w:rPr>
          <w:rFonts w:ascii="Times New Roman" w:hAnsi="Times New Roman" w:cs="Times New Roman"/>
          <w:sz w:val="24"/>
          <w:szCs w:val="24"/>
        </w:rPr>
        <w:t xml:space="preserve">.  One of the roles of an external review is </w:t>
      </w:r>
      <w:r w:rsidR="00FD30B0">
        <w:rPr>
          <w:rFonts w:ascii="Times New Roman" w:hAnsi="Times New Roman" w:cs="Times New Roman"/>
          <w:sz w:val="24"/>
          <w:szCs w:val="24"/>
        </w:rPr>
        <w:t xml:space="preserve">to bring fresh pairs of eyes to issues, helping to </w:t>
      </w:r>
      <w:r w:rsidRPr="00B566D1">
        <w:rPr>
          <w:rFonts w:ascii="Times New Roman" w:hAnsi="Times New Roman" w:cs="Times New Roman"/>
          <w:sz w:val="24"/>
          <w:szCs w:val="24"/>
        </w:rPr>
        <w:t xml:space="preserve">spot </w:t>
      </w:r>
      <w:r w:rsidR="00FD30B0">
        <w:rPr>
          <w:rFonts w:ascii="Times New Roman" w:hAnsi="Times New Roman" w:cs="Times New Roman"/>
          <w:sz w:val="24"/>
          <w:szCs w:val="24"/>
        </w:rPr>
        <w:t>aspects t</w:t>
      </w:r>
      <w:r w:rsidRPr="00B566D1">
        <w:rPr>
          <w:rFonts w:ascii="Times New Roman" w:hAnsi="Times New Roman" w:cs="Times New Roman"/>
          <w:sz w:val="24"/>
          <w:szCs w:val="24"/>
        </w:rPr>
        <w:t>hat may be missed by insiders</w:t>
      </w:r>
      <w:r w:rsidR="00CA1D8E" w:rsidRPr="00B566D1">
        <w:rPr>
          <w:rFonts w:ascii="Times New Roman" w:hAnsi="Times New Roman" w:cs="Times New Roman"/>
          <w:sz w:val="24"/>
          <w:szCs w:val="24"/>
        </w:rPr>
        <w:t xml:space="preserve"> wh</w:t>
      </w:r>
      <w:r w:rsidR="00FD30B0">
        <w:rPr>
          <w:rFonts w:ascii="Times New Roman" w:hAnsi="Times New Roman" w:cs="Times New Roman"/>
          <w:sz w:val="24"/>
          <w:szCs w:val="24"/>
        </w:rPr>
        <w:t>ose views of matters may have become aligned in the natural course of their regular interactions</w:t>
      </w:r>
      <w:r w:rsidR="00CA1D8E" w:rsidRPr="00B566D1">
        <w:rPr>
          <w:rFonts w:ascii="Times New Roman" w:hAnsi="Times New Roman" w:cs="Times New Roman"/>
          <w:sz w:val="24"/>
          <w:szCs w:val="24"/>
        </w:rPr>
        <w:t xml:space="preserve">.  </w:t>
      </w:r>
    </w:p>
    <w:p w14:paraId="6486E00B" w14:textId="7ED95AD6" w:rsidR="00E67DD2" w:rsidRPr="00D37A13" w:rsidRDefault="00CA1D8E" w:rsidP="00D37A13">
      <w:pPr>
        <w:spacing w:line="276" w:lineRule="auto"/>
        <w:ind w:left="414"/>
        <w:rPr>
          <w:rFonts w:ascii="Times New Roman" w:hAnsi="Times New Roman" w:cs="Times New Roman"/>
          <w:sz w:val="24"/>
          <w:szCs w:val="24"/>
        </w:rPr>
      </w:pPr>
      <w:r w:rsidRPr="00D37A13">
        <w:rPr>
          <w:rFonts w:ascii="Times New Roman" w:hAnsi="Times New Roman" w:cs="Times New Roman"/>
          <w:sz w:val="24"/>
          <w:szCs w:val="24"/>
        </w:rPr>
        <w:t xml:space="preserve">The general problem </w:t>
      </w:r>
      <w:r w:rsidR="00674088" w:rsidRPr="00D37A13">
        <w:rPr>
          <w:rFonts w:ascii="Times New Roman" w:hAnsi="Times New Roman" w:cs="Times New Roman"/>
          <w:sz w:val="24"/>
          <w:szCs w:val="24"/>
        </w:rPr>
        <w:t xml:space="preserve">with the reasoning </w:t>
      </w:r>
      <w:r w:rsidRPr="00D37A13">
        <w:rPr>
          <w:rFonts w:ascii="Times New Roman" w:hAnsi="Times New Roman" w:cs="Times New Roman"/>
          <w:sz w:val="24"/>
          <w:szCs w:val="24"/>
        </w:rPr>
        <w:t xml:space="preserve">can be illustrated by noting that </w:t>
      </w:r>
      <w:r w:rsidR="00BC7B77" w:rsidRPr="00D37A13">
        <w:rPr>
          <w:rFonts w:ascii="Times New Roman" w:hAnsi="Times New Roman" w:cs="Times New Roman"/>
          <w:sz w:val="24"/>
          <w:szCs w:val="24"/>
        </w:rPr>
        <w:t>where</w:t>
      </w:r>
      <w:r w:rsidR="00A77D75" w:rsidRPr="00D37A13">
        <w:rPr>
          <w:rFonts w:ascii="Times New Roman" w:hAnsi="Times New Roman" w:cs="Times New Roman"/>
          <w:sz w:val="24"/>
          <w:szCs w:val="24"/>
        </w:rPr>
        <w:t>ver</w:t>
      </w:r>
      <w:r w:rsidR="00BC7B77" w:rsidRPr="00D37A13">
        <w:rPr>
          <w:rFonts w:ascii="Times New Roman" w:hAnsi="Times New Roman" w:cs="Times New Roman"/>
          <w:sz w:val="24"/>
          <w:szCs w:val="24"/>
        </w:rPr>
        <w:t xml:space="preserve"> a ‘might’</w:t>
      </w:r>
      <w:r w:rsidRPr="00D37A13">
        <w:rPr>
          <w:rFonts w:ascii="Times New Roman" w:hAnsi="Times New Roman" w:cs="Times New Roman"/>
          <w:sz w:val="24"/>
          <w:szCs w:val="24"/>
        </w:rPr>
        <w:t xml:space="preserve">, ‘may’ or ‘could’ appears in the text, </w:t>
      </w:r>
      <w:r w:rsidR="00BC7B77" w:rsidRPr="00D37A13">
        <w:rPr>
          <w:rFonts w:ascii="Times New Roman" w:hAnsi="Times New Roman" w:cs="Times New Roman"/>
          <w:sz w:val="24"/>
          <w:szCs w:val="24"/>
        </w:rPr>
        <w:t xml:space="preserve">it would </w:t>
      </w:r>
      <w:r w:rsidRPr="00D37A13">
        <w:rPr>
          <w:rFonts w:ascii="Times New Roman" w:hAnsi="Times New Roman" w:cs="Times New Roman"/>
          <w:sz w:val="24"/>
          <w:szCs w:val="24"/>
        </w:rPr>
        <w:t xml:space="preserve">in most cases be legitimate to add </w:t>
      </w:r>
      <w:r w:rsidR="00BC7B77" w:rsidRPr="00D37A13">
        <w:rPr>
          <w:rFonts w:ascii="Times New Roman" w:hAnsi="Times New Roman" w:cs="Times New Roman"/>
          <w:sz w:val="24"/>
          <w:szCs w:val="24"/>
        </w:rPr>
        <w:t>‘or might not</w:t>
      </w:r>
      <w:r w:rsidR="00B566D1" w:rsidRPr="00D37A13">
        <w:rPr>
          <w:rFonts w:ascii="Times New Roman" w:hAnsi="Times New Roman" w:cs="Times New Roman"/>
          <w:sz w:val="24"/>
          <w:szCs w:val="24"/>
        </w:rPr>
        <w:t>’</w:t>
      </w:r>
      <w:r w:rsidR="00674088" w:rsidRPr="00D37A13">
        <w:rPr>
          <w:rFonts w:ascii="Times New Roman" w:hAnsi="Times New Roman" w:cs="Times New Roman"/>
          <w:sz w:val="24"/>
          <w:szCs w:val="24"/>
        </w:rPr>
        <w:t xml:space="preserve">, </w:t>
      </w:r>
      <w:r w:rsidRPr="00D37A13">
        <w:rPr>
          <w:rFonts w:ascii="Times New Roman" w:hAnsi="Times New Roman" w:cs="Times New Roman"/>
          <w:sz w:val="24"/>
          <w:szCs w:val="24"/>
        </w:rPr>
        <w:t>‘or may not’</w:t>
      </w:r>
      <w:r w:rsidR="00674088" w:rsidRPr="00D37A13">
        <w:rPr>
          <w:rFonts w:ascii="Times New Roman" w:hAnsi="Times New Roman" w:cs="Times New Roman"/>
          <w:sz w:val="24"/>
          <w:szCs w:val="24"/>
        </w:rPr>
        <w:t xml:space="preserve"> or ‘or could not’</w:t>
      </w:r>
      <w:r w:rsidRPr="00D37A13">
        <w:rPr>
          <w:rFonts w:ascii="Times New Roman" w:hAnsi="Times New Roman" w:cs="Times New Roman"/>
          <w:sz w:val="24"/>
          <w:szCs w:val="24"/>
        </w:rPr>
        <w:t xml:space="preserve">, these being </w:t>
      </w:r>
      <w:r w:rsidR="00674088" w:rsidRPr="00D37A13">
        <w:rPr>
          <w:rFonts w:ascii="Times New Roman" w:hAnsi="Times New Roman" w:cs="Times New Roman"/>
          <w:sz w:val="24"/>
          <w:szCs w:val="24"/>
        </w:rPr>
        <w:t xml:space="preserve">equally valid </w:t>
      </w:r>
      <w:r w:rsidRPr="00D37A13">
        <w:rPr>
          <w:rFonts w:ascii="Times New Roman" w:hAnsi="Times New Roman" w:cs="Times New Roman"/>
          <w:sz w:val="24"/>
          <w:szCs w:val="24"/>
        </w:rPr>
        <w:t>statements about possibilities. If the statement and subsequent sentences are then re</w:t>
      </w:r>
      <w:r w:rsidR="00674088" w:rsidRPr="00D37A13">
        <w:rPr>
          <w:rFonts w:ascii="Times New Roman" w:hAnsi="Times New Roman" w:cs="Times New Roman"/>
          <w:sz w:val="24"/>
          <w:szCs w:val="24"/>
        </w:rPr>
        <w:t>-read</w:t>
      </w:r>
      <w:r w:rsidR="00A77D75" w:rsidRPr="00D37A13">
        <w:rPr>
          <w:rFonts w:ascii="Times New Roman" w:hAnsi="Times New Roman" w:cs="Times New Roman"/>
          <w:sz w:val="24"/>
          <w:szCs w:val="24"/>
        </w:rPr>
        <w:t>, with that inclusion, i</w:t>
      </w:r>
      <w:r w:rsidRPr="00D37A13">
        <w:rPr>
          <w:rFonts w:ascii="Times New Roman" w:hAnsi="Times New Roman" w:cs="Times New Roman"/>
          <w:sz w:val="24"/>
          <w:szCs w:val="24"/>
        </w:rPr>
        <w:t>t should be</w:t>
      </w:r>
      <w:r w:rsidR="00674088" w:rsidRPr="00D37A13">
        <w:rPr>
          <w:rFonts w:ascii="Times New Roman" w:hAnsi="Times New Roman" w:cs="Times New Roman"/>
          <w:sz w:val="24"/>
          <w:szCs w:val="24"/>
        </w:rPr>
        <w:t xml:space="preserve"> apparent what </w:t>
      </w:r>
      <w:r w:rsidR="00A77D75" w:rsidRPr="00D37A13">
        <w:rPr>
          <w:rFonts w:ascii="Times New Roman" w:hAnsi="Times New Roman" w:cs="Times New Roman"/>
          <w:sz w:val="24"/>
          <w:szCs w:val="24"/>
        </w:rPr>
        <w:t>is meant</w:t>
      </w:r>
      <w:r w:rsidRPr="00D37A13">
        <w:rPr>
          <w:rFonts w:ascii="Times New Roman" w:hAnsi="Times New Roman" w:cs="Times New Roman"/>
          <w:sz w:val="24"/>
          <w:szCs w:val="24"/>
        </w:rPr>
        <w:t xml:space="preserve"> by </w:t>
      </w:r>
      <w:r w:rsidR="004425C3" w:rsidRPr="00D37A13">
        <w:rPr>
          <w:rFonts w:ascii="Times New Roman" w:hAnsi="Times New Roman" w:cs="Times New Roman"/>
          <w:i/>
          <w:sz w:val="24"/>
          <w:szCs w:val="24"/>
        </w:rPr>
        <w:t>argument by insinuation</w:t>
      </w:r>
      <w:r w:rsidR="004425C3" w:rsidRPr="00D37A13">
        <w:rPr>
          <w:rFonts w:ascii="Times New Roman" w:hAnsi="Times New Roman" w:cs="Times New Roman"/>
          <w:sz w:val="24"/>
          <w:szCs w:val="24"/>
        </w:rPr>
        <w:t xml:space="preserve">.  </w:t>
      </w:r>
      <w:r w:rsidR="00674088" w:rsidRPr="00D37A13">
        <w:rPr>
          <w:rFonts w:ascii="Times New Roman" w:hAnsi="Times New Roman" w:cs="Times New Roman"/>
          <w:sz w:val="24"/>
          <w:szCs w:val="24"/>
        </w:rPr>
        <w:t xml:space="preserve">I will add these qualifiers at </w:t>
      </w:r>
      <w:r w:rsidR="00A77D75" w:rsidRPr="00D37A13">
        <w:rPr>
          <w:rFonts w:ascii="Times New Roman" w:hAnsi="Times New Roman" w:cs="Times New Roman"/>
          <w:sz w:val="24"/>
          <w:szCs w:val="24"/>
        </w:rPr>
        <w:t xml:space="preserve">one or two </w:t>
      </w:r>
      <w:r w:rsidR="00674088" w:rsidRPr="00D37A13">
        <w:rPr>
          <w:rFonts w:ascii="Times New Roman" w:hAnsi="Times New Roman" w:cs="Times New Roman"/>
          <w:sz w:val="24"/>
          <w:szCs w:val="24"/>
        </w:rPr>
        <w:t>points in what follow</w:t>
      </w:r>
      <w:r w:rsidR="00A77D75" w:rsidRPr="00D37A13">
        <w:rPr>
          <w:rFonts w:ascii="Times New Roman" w:hAnsi="Times New Roman" w:cs="Times New Roman"/>
          <w:sz w:val="24"/>
          <w:szCs w:val="24"/>
        </w:rPr>
        <w:t>s</w:t>
      </w:r>
      <w:r w:rsidR="00674088" w:rsidRPr="00D37A13">
        <w:rPr>
          <w:rFonts w:ascii="Times New Roman" w:hAnsi="Times New Roman" w:cs="Times New Roman"/>
          <w:sz w:val="24"/>
          <w:szCs w:val="24"/>
        </w:rPr>
        <w:t>,</w:t>
      </w:r>
      <w:r w:rsidR="00A77D75" w:rsidRPr="00D37A13">
        <w:rPr>
          <w:rFonts w:ascii="Times New Roman" w:hAnsi="Times New Roman" w:cs="Times New Roman"/>
          <w:sz w:val="24"/>
          <w:szCs w:val="24"/>
        </w:rPr>
        <w:t xml:space="preserve"> marked by</w:t>
      </w:r>
      <w:r w:rsidR="00B566D1" w:rsidRPr="00D37A13">
        <w:rPr>
          <w:rFonts w:ascii="Times New Roman" w:hAnsi="Times New Roman" w:cs="Times New Roman"/>
          <w:sz w:val="24"/>
          <w:szCs w:val="24"/>
        </w:rPr>
        <w:t xml:space="preserve"> square brackets</w:t>
      </w:r>
      <w:r w:rsidR="00A77D75" w:rsidRPr="00D37A13">
        <w:rPr>
          <w:rFonts w:ascii="Times New Roman" w:hAnsi="Times New Roman" w:cs="Times New Roman"/>
          <w:sz w:val="24"/>
          <w:szCs w:val="24"/>
        </w:rPr>
        <w:t xml:space="preserve"> [</w:t>
      </w:r>
      <w:r w:rsidR="00B566D1" w:rsidRPr="00D37A13">
        <w:rPr>
          <w:rFonts w:ascii="Times New Roman" w:hAnsi="Times New Roman" w:cs="Times New Roman"/>
          <w:sz w:val="24"/>
          <w:szCs w:val="24"/>
        </w:rPr>
        <w:t>…</w:t>
      </w:r>
      <w:r w:rsidR="00A77D75" w:rsidRPr="00D37A13">
        <w:rPr>
          <w:rFonts w:ascii="Times New Roman" w:hAnsi="Times New Roman" w:cs="Times New Roman"/>
          <w:sz w:val="24"/>
          <w:szCs w:val="24"/>
        </w:rPr>
        <w:t xml:space="preserve">], </w:t>
      </w:r>
      <w:r w:rsidR="00674088" w:rsidRPr="00D37A13">
        <w:rPr>
          <w:rFonts w:ascii="Times New Roman" w:hAnsi="Times New Roman" w:cs="Times New Roman"/>
          <w:sz w:val="24"/>
          <w:szCs w:val="24"/>
        </w:rPr>
        <w:t>to demonstrate the point that there is no logical structure to much of the discussion in C7.</w:t>
      </w:r>
      <w:r w:rsidR="00BC7B77" w:rsidRPr="00D37A13">
        <w:rPr>
          <w:rFonts w:ascii="Times New Roman" w:hAnsi="Times New Roman" w:cs="Times New Roman"/>
          <w:sz w:val="24"/>
          <w:szCs w:val="24"/>
        </w:rPr>
        <w:t xml:space="preserve">   </w:t>
      </w:r>
    </w:p>
    <w:p w14:paraId="1E855A1E" w14:textId="7B141B65" w:rsidR="00CA1D8E" w:rsidRPr="00B566D1" w:rsidRDefault="006D3838" w:rsidP="00207C67">
      <w:pPr>
        <w:spacing w:line="276" w:lineRule="auto"/>
        <w:rPr>
          <w:rFonts w:ascii="Times New Roman" w:hAnsi="Times New Roman" w:cs="Times New Roman"/>
          <w:b/>
          <w:i/>
          <w:sz w:val="24"/>
          <w:szCs w:val="24"/>
        </w:rPr>
      </w:pPr>
      <w:r w:rsidRPr="00B566D1">
        <w:rPr>
          <w:rFonts w:ascii="Times New Roman" w:hAnsi="Times New Roman" w:cs="Times New Roman"/>
          <w:b/>
          <w:i/>
          <w:sz w:val="24"/>
          <w:szCs w:val="24"/>
        </w:rPr>
        <w:t xml:space="preserve">Unexamined </w:t>
      </w:r>
      <w:r w:rsidR="00FC373E" w:rsidRPr="00B566D1">
        <w:rPr>
          <w:rFonts w:ascii="Times New Roman" w:hAnsi="Times New Roman" w:cs="Times New Roman"/>
          <w:b/>
          <w:i/>
          <w:sz w:val="24"/>
          <w:szCs w:val="24"/>
        </w:rPr>
        <w:t>counterfactuals</w:t>
      </w:r>
    </w:p>
    <w:p w14:paraId="05398185" w14:textId="7FB02293" w:rsidR="00FC373E" w:rsidRDefault="00FC373E"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a strong sense throughout the Review Chapter that actual NZ practice is being compared with and evaluated against some theoretical model, rather than against operational </w:t>
      </w:r>
      <w:r w:rsidR="00B566D1">
        <w:rPr>
          <w:rFonts w:ascii="Times New Roman" w:hAnsi="Times New Roman" w:cs="Times New Roman"/>
          <w:sz w:val="24"/>
          <w:szCs w:val="24"/>
        </w:rPr>
        <w:t>(</w:t>
      </w:r>
      <w:r>
        <w:rPr>
          <w:rFonts w:ascii="Times New Roman" w:hAnsi="Times New Roman" w:cs="Times New Roman"/>
          <w:sz w:val="24"/>
          <w:szCs w:val="24"/>
        </w:rPr>
        <w:t>or potentially operational</w:t>
      </w:r>
      <w:r w:rsidR="00B566D1">
        <w:rPr>
          <w:rFonts w:ascii="Times New Roman" w:hAnsi="Times New Roman" w:cs="Times New Roman"/>
          <w:sz w:val="24"/>
          <w:szCs w:val="24"/>
        </w:rPr>
        <w:t>)</w:t>
      </w:r>
      <w:r>
        <w:rPr>
          <w:rFonts w:ascii="Times New Roman" w:hAnsi="Times New Roman" w:cs="Times New Roman"/>
          <w:sz w:val="24"/>
          <w:szCs w:val="24"/>
        </w:rPr>
        <w:t xml:space="preserve"> alternative</w:t>
      </w:r>
      <w:r w:rsidR="00A77D75">
        <w:rPr>
          <w:rFonts w:ascii="Times New Roman" w:hAnsi="Times New Roman" w:cs="Times New Roman"/>
          <w:sz w:val="24"/>
          <w:szCs w:val="24"/>
        </w:rPr>
        <w:t>s</w:t>
      </w:r>
      <w:r>
        <w:rPr>
          <w:rFonts w:ascii="Times New Roman" w:hAnsi="Times New Roman" w:cs="Times New Roman"/>
          <w:sz w:val="24"/>
          <w:szCs w:val="24"/>
        </w:rPr>
        <w:t xml:space="preserve">.  That is, the counterfactuals in play </w:t>
      </w:r>
      <w:r w:rsidR="00A77D75">
        <w:rPr>
          <w:rFonts w:ascii="Times New Roman" w:hAnsi="Times New Roman" w:cs="Times New Roman"/>
          <w:sz w:val="24"/>
          <w:szCs w:val="24"/>
        </w:rPr>
        <w:t>appear to be</w:t>
      </w:r>
      <w:r>
        <w:rPr>
          <w:rFonts w:ascii="Times New Roman" w:hAnsi="Times New Roman" w:cs="Times New Roman"/>
          <w:sz w:val="24"/>
          <w:szCs w:val="24"/>
        </w:rPr>
        <w:t xml:space="preserve"> theoretical ideals</w:t>
      </w:r>
      <w:r w:rsidR="00A77D75">
        <w:rPr>
          <w:rFonts w:ascii="Times New Roman" w:hAnsi="Times New Roman" w:cs="Times New Roman"/>
          <w:sz w:val="24"/>
          <w:szCs w:val="24"/>
        </w:rPr>
        <w:t>, but since they are never developed and examined, it is not possible to be certain as to their nature.</w:t>
      </w:r>
    </w:p>
    <w:p w14:paraId="237BCCCD" w14:textId="0EBC6CDB" w:rsidR="00FC373E" w:rsidRDefault="00FC373E"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two aspects of this </w:t>
      </w:r>
      <w:r w:rsidR="00A77D75">
        <w:rPr>
          <w:rFonts w:ascii="Times New Roman" w:hAnsi="Times New Roman" w:cs="Times New Roman"/>
          <w:sz w:val="24"/>
          <w:szCs w:val="24"/>
        </w:rPr>
        <w:t>deficiency that</w:t>
      </w:r>
      <w:r>
        <w:rPr>
          <w:rFonts w:ascii="Times New Roman" w:hAnsi="Times New Roman" w:cs="Times New Roman"/>
          <w:sz w:val="24"/>
          <w:szCs w:val="24"/>
        </w:rPr>
        <w:t xml:space="preserve"> merit specific</w:t>
      </w:r>
      <w:r w:rsidR="00A77D75">
        <w:rPr>
          <w:rFonts w:ascii="Times New Roman" w:hAnsi="Times New Roman" w:cs="Times New Roman"/>
          <w:sz w:val="24"/>
          <w:szCs w:val="24"/>
        </w:rPr>
        <w:t xml:space="preserve"> comment</w:t>
      </w:r>
      <w:r>
        <w:rPr>
          <w:rFonts w:ascii="Times New Roman" w:hAnsi="Times New Roman" w:cs="Times New Roman"/>
          <w:sz w:val="24"/>
          <w:szCs w:val="24"/>
        </w:rPr>
        <w:t xml:space="preserve">: the regulatory counterfactual(s) and the governance counterfactual(s). </w:t>
      </w:r>
      <w:r w:rsidR="00674088">
        <w:rPr>
          <w:rFonts w:ascii="Times New Roman" w:hAnsi="Times New Roman" w:cs="Times New Roman"/>
          <w:sz w:val="24"/>
          <w:szCs w:val="24"/>
        </w:rPr>
        <w:t xml:space="preserve"> I will address the governance issues later but will consider the </w:t>
      </w:r>
      <w:r w:rsidR="009730C0">
        <w:rPr>
          <w:rFonts w:ascii="Times New Roman" w:hAnsi="Times New Roman" w:cs="Times New Roman"/>
          <w:sz w:val="24"/>
          <w:szCs w:val="24"/>
        </w:rPr>
        <w:t>general regulatory problem here.</w:t>
      </w:r>
      <w:r>
        <w:rPr>
          <w:rFonts w:ascii="Times New Roman" w:hAnsi="Times New Roman" w:cs="Times New Roman"/>
          <w:sz w:val="24"/>
          <w:szCs w:val="24"/>
        </w:rPr>
        <w:t xml:space="preserve"> </w:t>
      </w:r>
    </w:p>
    <w:p w14:paraId="6B95953D" w14:textId="5B8AD504" w:rsidR="009730C0" w:rsidRDefault="009730C0" w:rsidP="00207C67">
      <w:pPr>
        <w:spacing w:line="276" w:lineRule="auto"/>
        <w:rPr>
          <w:rFonts w:ascii="Times New Roman" w:hAnsi="Times New Roman" w:cs="Times New Roman"/>
          <w:sz w:val="24"/>
          <w:szCs w:val="24"/>
        </w:rPr>
      </w:pPr>
      <w:r>
        <w:rPr>
          <w:rFonts w:ascii="Times New Roman" w:hAnsi="Times New Roman" w:cs="Times New Roman"/>
          <w:sz w:val="24"/>
          <w:szCs w:val="24"/>
        </w:rPr>
        <w:t>To introduce the problem, it can be noted that C7 says</w:t>
      </w:r>
      <w:r w:rsidR="002928BE">
        <w:rPr>
          <w:rFonts w:ascii="Times New Roman" w:hAnsi="Times New Roman" w:cs="Times New Roman"/>
          <w:sz w:val="24"/>
          <w:szCs w:val="24"/>
        </w:rPr>
        <w:t xml:space="preserve"> at page 153 that </w:t>
      </w:r>
      <w:r w:rsidR="002928BE" w:rsidRPr="002928BE">
        <w:rPr>
          <w:rFonts w:ascii="Times New Roman" w:hAnsi="Times New Roman" w:cs="Times New Roman"/>
          <w:i/>
          <w:sz w:val="24"/>
          <w:szCs w:val="24"/>
        </w:rPr>
        <w:t xml:space="preserve">“Extending regulation to cover all distributors </w:t>
      </w:r>
      <w:r w:rsidR="002928BE">
        <w:rPr>
          <w:rFonts w:ascii="Times New Roman" w:hAnsi="Times New Roman" w:cs="Times New Roman"/>
          <w:i/>
          <w:sz w:val="24"/>
          <w:szCs w:val="24"/>
        </w:rPr>
        <w:t>including currently exempt</w:t>
      </w:r>
      <w:r w:rsidR="00A85A88">
        <w:rPr>
          <w:rFonts w:ascii="Times New Roman" w:hAnsi="Times New Roman" w:cs="Times New Roman"/>
          <w:i/>
          <w:sz w:val="24"/>
          <w:szCs w:val="24"/>
        </w:rPr>
        <w:t xml:space="preserve"> community-owned trusts, could </w:t>
      </w:r>
      <w:r>
        <w:rPr>
          <w:rFonts w:ascii="Times New Roman" w:hAnsi="Times New Roman" w:cs="Times New Roman"/>
          <w:sz w:val="24"/>
          <w:szCs w:val="24"/>
        </w:rPr>
        <w:t xml:space="preserve">[or could not] </w:t>
      </w:r>
      <w:r w:rsidR="00A85A88">
        <w:rPr>
          <w:rFonts w:ascii="Times New Roman" w:hAnsi="Times New Roman" w:cs="Times New Roman"/>
          <w:i/>
          <w:sz w:val="24"/>
          <w:szCs w:val="24"/>
        </w:rPr>
        <w:t xml:space="preserve">be considered to ensure more effective development of the regulatory framework to help complement and reinforce incentives for timely and efficient responses given these potentially rapidly changing circumstances.”  </w:t>
      </w:r>
      <w:r w:rsidR="00A85A88">
        <w:rPr>
          <w:rFonts w:ascii="Times New Roman" w:hAnsi="Times New Roman" w:cs="Times New Roman"/>
          <w:sz w:val="24"/>
          <w:szCs w:val="24"/>
        </w:rPr>
        <w:t xml:space="preserve">This thought and the immediately following sentences lead quickly to the </w:t>
      </w:r>
      <w:r w:rsidR="00535ACB">
        <w:rPr>
          <w:rFonts w:ascii="Times New Roman" w:hAnsi="Times New Roman" w:cs="Times New Roman"/>
          <w:sz w:val="24"/>
          <w:szCs w:val="24"/>
        </w:rPr>
        <w:t xml:space="preserve">recommendation </w:t>
      </w:r>
      <w:r w:rsidR="00A85A88">
        <w:rPr>
          <w:rFonts w:ascii="Times New Roman" w:hAnsi="Times New Roman" w:cs="Times New Roman"/>
          <w:sz w:val="24"/>
          <w:szCs w:val="24"/>
        </w:rPr>
        <w:t>in the next paragraph</w:t>
      </w:r>
      <w:r w:rsidR="00535ACB">
        <w:rPr>
          <w:rFonts w:ascii="Times New Roman" w:hAnsi="Times New Roman" w:cs="Times New Roman"/>
          <w:sz w:val="24"/>
          <w:szCs w:val="24"/>
        </w:rPr>
        <w:t xml:space="preserve"> </w:t>
      </w:r>
      <w:r w:rsidR="00A85A88">
        <w:rPr>
          <w:rFonts w:ascii="Times New Roman" w:hAnsi="Times New Roman" w:cs="Times New Roman"/>
          <w:sz w:val="24"/>
          <w:szCs w:val="24"/>
        </w:rPr>
        <w:t xml:space="preserve">that: </w:t>
      </w:r>
      <w:r w:rsidR="00A85A88">
        <w:rPr>
          <w:rFonts w:ascii="Times New Roman" w:hAnsi="Times New Roman" w:cs="Times New Roman"/>
          <w:i/>
          <w:sz w:val="24"/>
          <w:szCs w:val="24"/>
        </w:rPr>
        <w:t>“Policy makers are encouraged to prepare for the possible extension of economic and reliability regulation to all distributors to facilitate a more consistent, reliable, timely</w:t>
      </w:r>
      <w:r w:rsidR="0060122E">
        <w:rPr>
          <w:rFonts w:ascii="Times New Roman" w:hAnsi="Times New Roman" w:cs="Times New Roman"/>
          <w:i/>
          <w:sz w:val="24"/>
          <w:szCs w:val="24"/>
        </w:rPr>
        <w:t>,</w:t>
      </w:r>
      <w:r w:rsidR="00A85A88">
        <w:rPr>
          <w:rFonts w:ascii="Times New Roman" w:hAnsi="Times New Roman" w:cs="Times New Roman"/>
          <w:i/>
          <w:sz w:val="24"/>
          <w:szCs w:val="24"/>
        </w:rPr>
        <w:t xml:space="preserve"> efficient, innovative and cost-effective response to the potential challenges facing the distribution sector.”</w:t>
      </w:r>
      <w:r w:rsidR="0060122E">
        <w:rPr>
          <w:rFonts w:ascii="Times New Roman" w:hAnsi="Times New Roman" w:cs="Times New Roman"/>
          <w:i/>
          <w:sz w:val="24"/>
          <w:szCs w:val="24"/>
        </w:rPr>
        <w:t xml:space="preserve"> </w:t>
      </w:r>
      <w:r w:rsidR="0060122E">
        <w:rPr>
          <w:rFonts w:ascii="Times New Roman" w:hAnsi="Times New Roman" w:cs="Times New Roman"/>
          <w:sz w:val="24"/>
          <w:szCs w:val="24"/>
        </w:rPr>
        <w:t xml:space="preserve"> </w:t>
      </w:r>
    </w:p>
    <w:p w14:paraId="61D5F6C4" w14:textId="0E4D4FAB" w:rsidR="0060122E" w:rsidRDefault="009730C0" w:rsidP="00207C67">
      <w:pPr>
        <w:spacing w:line="276" w:lineRule="auto"/>
        <w:rPr>
          <w:rFonts w:ascii="Times New Roman" w:hAnsi="Times New Roman" w:cs="Times New Roman"/>
          <w:sz w:val="24"/>
          <w:szCs w:val="24"/>
        </w:rPr>
      </w:pPr>
      <w:r>
        <w:rPr>
          <w:rFonts w:ascii="Times New Roman" w:hAnsi="Times New Roman" w:cs="Times New Roman"/>
          <w:sz w:val="24"/>
          <w:szCs w:val="24"/>
        </w:rPr>
        <w:t>The inserted bracket make</w:t>
      </w:r>
      <w:r w:rsidR="00535ACB">
        <w:rPr>
          <w:rFonts w:ascii="Times New Roman" w:hAnsi="Times New Roman" w:cs="Times New Roman"/>
          <w:sz w:val="24"/>
          <w:szCs w:val="24"/>
        </w:rPr>
        <w:t>s</w:t>
      </w:r>
      <w:r>
        <w:rPr>
          <w:rFonts w:ascii="Times New Roman" w:hAnsi="Times New Roman" w:cs="Times New Roman"/>
          <w:sz w:val="24"/>
          <w:szCs w:val="24"/>
        </w:rPr>
        <w:t xml:space="preserve"> it clear that nothing at all follows from the consideration of a possibility</w:t>
      </w:r>
      <w:r w:rsidR="00535ACB">
        <w:rPr>
          <w:rFonts w:ascii="Times New Roman" w:hAnsi="Times New Roman" w:cs="Times New Roman"/>
          <w:sz w:val="24"/>
          <w:szCs w:val="24"/>
        </w:rPr>
        <w:t>.  T</w:t>
      </w:r>
      <w:r w:rsidR="00F83882">
        <w:rPr>
          <w:rFonts w:ascii="Times New Roman" w:hAnsi="Times New Roman" w:cs="Times New Roman"/>
          <w:sz w:val="24"/>
          <w:szCs w:val="24"/>
        </w:rPr>
        <w:t>he point to add is that it is simply taken as given (i.e.</w:t>
      </w:r>
      <w:r w:rsidR="00823840">
        <w:rPr>
          <w:rFonts w:ascii="Times New Roman" w:hAnsi="Times New Roman" w:cs="Times New Roman"/>
          <w:sz w:val="24"/>
          <w:szCs w:val="24"/>
        </w:rPr>
        <w:t xml:space="preserve"> it is</w:t>
      </w:r>
      <w:r w:rsidR="00F83882">
        <w:rPr>
          <w:rFonts w:ascii="Times New Roman" w:hAnsi="Times New Roman" w:cs="Times New Roman"/>
          <w:sz w:val="24"/>
          <w:szCs w:val="24"/>
        </w:rPr>
        <w:t xml:space="preserve"> </w:t>
      </w:r>
      <w:r w:rsidR="00F83882" w:rsidRPr="00535ACB">
        <w:rPr>
          <w:rFonts w:ascii="Times New Roman" w:hAnsi="Times New Roman" w:cs="Times New Roman"/>
          <w:i/>
          <w:sz w:val="24"/>
          <w:szCs w:val="24"/>
        </w:rPr>
        <w:t>assumed</w:t>
      </w:r>
      <w:r w:rsidR="00535ACB">
        <w:rPr>
          <w:rFonts w:ascii="Times New Roman" w:hAnsi="Times New Roman" w:cs="Times New Roman"/>
          <w:sz w:val="24"/>
          <w:szCs w:val="24"/>
        </w:rPr>
        <w:t>)</w:t>
      </w:r>
      <w:r w:rsidR="00F83882">
        <w:rPr>
          <w:rFonts w:ascii="Times New Roman" w:hAnsi="Times New Roman" w:cs="Times New Roman"/>
          <w:sz w:val="24"/>
          <w:szCs w:val="24"/>
        </w:rPr>
        <w:t xml:space="preserve"> that </w:t>
      </w:r>
      <w:r w:rsidR="0060122E">
        <w:rPr>
          <w:rFonts w:ascii="Times New Roman" w:hAnsi="Times New Roman" w:cs="Times New Roman"/>
          <w:sz w:val="24"/>
          <w:szCs w:val="24"/>
        </w:rPr>
        <w:t xml:space="preserve">regulators can achieve </w:t>
      </w:r>
      <w:r w:rsidR="00F83882">
        <w:rPr>
          <w:rFonts w:ascii="Times New Roman" w:hAnsi="Times New Roman" w:cs="Times New Roman"/>
          <w:sz w:val="24"/>
          <w:szCs w:val="24"/>
        </w:rPr>
        <w:t>all the good things listed at the end simply b</w:t>
      </w:r>
      <w:r w:rsidR="00D37A13">
        <w:rPr>
          <w:rFonts w:ascii="Times New Roman" w:hAnsi="Times New Roman" w:cs="Times New Roman"/>
          <w:sz w:val="24"/>
          <w:szCs w:val="24"/>
        </w:rPr>
        <w:t>y</w:t>
      </w:r>
      <w:r w:rsidR="00F83882">
        <w:rPr>
          <w:rFonts w:ascii="Times New Roman" w:hAnsi="Times New Roman" w:cs="Times New Roman"/>
          <w:sz w:val="24"/>
          <w:szCs w:val="24"/>
        </w:rPr>
        <w:t xml:space="preserve"> extending the scope of some of their existing practices</w:t>
      </w:r>
      <w:r w:rsidR="0060122E">
        <w:rPr>
          <w:rFonts w:ascii="Times New Roman" w:hAnsi="Times New Roman" w:cs="Times New Roman"/>
          <w:sz w:val="24"/>
          <w:szCs w:val="24"/>
        </w:rPr>
        <w:t>.</w:t>
      </w:r>
      <w:r w:rsidR="00F83882">
        <w:rPr>
          <w:rFonts w:ascii="Times New Roman" w:hAnsi="Times New Roman" w:cs="Times New Roman"/>
          <w:sz w:val="24"/>
          <w:szCs w:val="24"/>
        </w:rPr>
        <w:t xml:space="preserve">  There is an unexamined ‘counterfactual’ at play here in which regulators and policymakers have powers somewhat akin to those of the super-heroes of Hollywood movies.  </w:t>
      </w:r>
    </w:p>
    <w:p w14:paraId="79FDC007" w14:textId="6EABDC86" w:rsidR="00F83882" w:rsidRDefault="00F83882"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To point out that </w:t>
      </w:r>
      <w:r w:rsidR="00823840">
        <w:rPr>
          <w:rFonts w:ascii="Times New Roman" w:hAnsi="Times New Roman" w:cs="Times New Roman"/>
          <w:sz w:val="24"/>
          <w:szCs w:val="24"/>
        </w:rPr>
        <w:t>regulators</w:t>
      </w:r>
      <w:r>
        <w:rPr>
          <w:rFonts w:ascii="Times New Roman" w:hAnsi="Times New Roman" w:cs="Times New Roman"/>
          <w:sz w:val="24"/>
          <w:szCs w:val="24"/>
        </w:rPr>
        <w:t xml:space="preserve"> lack such powers is not a criticism</w:t>
      </w:r>
      <w:r w:rsidR="00B86842">
        <w:rPr>
          <w:rFonts w:ascii="Times New Roman" w:hAnsi="Times New Roman" w:cs="Times New Roman"/>
          <w:sz w:val="24"/>
          <w:szCs w:val="24"/>
        </w:rPr>
        <w:t xml:space="preserve"> of them</w:t>
      </w:r>
      <w:r>
        <w:rPr>
          <w:rFonts w:ascii="Times New Roman" w:hAnsi="Times New Roman" w:cs="Times New Roman"/>
          <w:sz w:val="24"/>
          <w:szCs w:val="24"/>
        </w:rPr>
        <w:t xml:space="preserve">.  I have been known in the past </w:t>
      </w:r>
      <w:r w:rsidR="00823840">
        <w:rPr>
          <w:rFonts w:ascii="Times New Roman" w:hAnsi="Times New Roman" w:cs="Times New Roman"/>
          <w:sz w:val="24"/>
          <w:szCs w:val="24"/>
        </w:rPr>
        <w:t xml:space="preserve">to say </w:t>
      </w:r>
      <w:r>
        <w:rPr>
          <w:rFonts w:ascii="Times New Roman" w:hAnsi="Times New Roman" w:cs="Times New Roman"/>
          <w:sz w:val="24"/>
          <w:szCs w:val="24"/>
        </w:rPr>
        <w:t xml:space="preserve">that regulators are doomed to work in the pork-pie factory of economic policy.  They do their best to make the product as palatable as possible, but, </w:t>
      </w:r>
      <w:r w:rsidR="00823840">
        <w:rPr>
          <w:rFonts w:ascii="Times New Roman" w:hAnsi="Times New Roman" w:cs="Times New Roman"/>
          <w:sz w:val="24"/>
          <w:szCs w:val="24"/>
        </w:rPr>
        <w:t xml:space="preserve">given their intimate familiarity with the </w:t>
      </w:r>
      <w:r>
        <w:rPr>
          <w:rFonts w:ascii="Times New Roman" w:hAnsi="Times New Roman" w:cs="Times New Roman"/>
          <w:sz w:val="24"/>
          <w:szCs w:val="24"/>
        </w:rPr>
        <w:t>production process, they tend to know the limitations of the produc</w:t>
      </w:r>
      <w:r w:rsidR="00F30021">
        <w:rPr>
          <w:rFonts w:ascii="Times New Roman" w:hAnsi="Times New Roman" w:cs="Times New Roman"/>
          <w:sz w:val="24"/>
          <w:szCs w:val="24"/>
        </w:rPr>
        <w:t>t</w:t>
      </w:r>
      <w:r>
        <w:rPr>
          <w:rFonts w:ascii="Times New Roman" w:hAnsi="Times New Roman" w:cs="Times New Roman"/>
          <w:sz w:val="24"/>
          <w:szCs w:val="24"/>
        </w:rPr>
        <w:t xml:space="preserve"> better than</w:t>
      </w:r>
      <w:r w:rsidR="00823840">
        <w:rPr>
          <w:rFonts w:ascii="Times New Roman" w:hAnsi="Times New Roman" w:cs="Times New Roman"/>
          <w:sz w:val="24"/>
          <w:szCs w:val="24"/>
        </w:rPr>
        <w:t xml:space="preserve"> almost anyone else</w:t>
      </w:r>
      <w:r>
        <w:rPr>
          <w:rFonts w:ascii="Times New Roman" w:hAnsi="Times New Roman" w:cs="Times New Roman"/>
          <w:sz w:val="24"/>
          <w:szCs w:val="24"/>
        </w:rPr>
        <w:t xml:space="preserve">.  </w:t>
      </w:r>
    </w:p>
    <w:p w14:paraId="2F805F6F" w14:textId="38568311" w:rsidR="00F30021" w:rsidRDefault="0060122E"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Ironically, the next sub-section </w:t>
      </w:r>
      <w:r w:rsidR="00F83882">
        <w:rPr>
          <w:rFonts w:ascii="Times New Roman" w:hAnsi="Times New Roman" w:cs="Times New Roman"/>
          <w:sz w:val="24"/>
          <w:szCs w:val="24"/>
        </w:rPr>
        <w:t xml:space="preserve">of C7 </w:t>
      </w:r>
      <w:r>
        <w:rPr>
          <w:rFonts w:ascii="Times New Roman" w:hAnsi="Times New Roman" w:cs="Times New Roman"/>
          <w:sz w:val="24"/>
          <w:szCs w:val="24"/>
        </w:rPr>
        <w:t xml:space="preserve">– </w:t>
      </w:r>
      <w:r w:rsidR="00823840">
        <w:rPr>
          <w:rFonts w:ascii="Times New Roman" w:hAnsi="Times New Roman" w:cs="Times New Roman"/>
          <w:sz w:val="24"/>
          <w:szCs w:val="24"/>
        </w:rPr>
        <w:t>‘</w:t>
      </w:r>
      <w:r w:rsidRPr="00823840">
        <w:rPr>
          <w:rFonts w:ascii="Times New Roman" w:hAnsi="Times New Roman" w:cs="Times New Roman"/>
          <w:sz w:val="24"/>
          <w:szCs w:val="24"/>
        </w:rPr>
        <w:t>Approaches to include innovation in economic regulation</w:t>
      </w:r>
      <w:r w:rsidR="00823840">
        <w:rPr>
          <w:rFonts w:ascii="Times New Roman" w:hAnsi="Times New Roman" w:cs="Times New Roman"/>
          <w:sz w:val="24"/>
          <w:szCs w:val="24"/>
        </w:rPr>
        <w:t>’</w:t>
      </w:r>
      <w:r>
        <w:rPr>
          <w:rFonts w:ascii="Times New Roman" w:hAnsi="Times New Roman" w:cs="Times New Roman"/>
          <w:sz w:val="24"/>
          <w:szCs w:val="24"/>
        </w:rPr>
        <w:t xml:space="preserve"> – begins to raise questions about the ability of regulation, in its real and practical manifestation </w:t>
      </w:r>
      <w:r w:rsidR="00823840">
        <w:rPr>
          <w:rFonts w:ascii="Times New Roman" w:hAnsi="Times New Roman" w:cs="Times New Roman"/>
          <w:sz w:val="24"/>
          <w:szCs w:val="24"/>
        </w:rPr>
        <w:t>to</w:t>
      </w:r>
      <w:r>
        <w:rPr>
          <w:rFonts w:ascii="Times New Roman" w:hAnsi="Times New Roman" w:cs="Times New Roman"/>
          <w:sz w:val="24"/>
          <w:szCs w:val="24"/>
        </w:rPr>
        <w:t xml:space="preserve"> do th</w:t>
      </w:r>
      <w:r w:rsidR="00B86842">
        <w:rPr>
          <w:rFonts w:ascii="Times New Roman" w:hAnsi="Times New Roman" w:cs="Times New Roman"/>
          <w:sz w:val="24"/>
          <w:szCs w:val="24"/>
        </w:rPr>
        <w:t>ese things</w:t>
      </w:r>
      <w:r w:rsidR="00F83882">
        <w:rPr>
          <w:rFonts w:ascii="Times New Roman" w:hAnsi="Times New Roman" w:cs="Times New Roman"/>
          <w:sz w:val="24"/>
          <w:szCs w:val="24"/>
        </w:rPr>
        <w:t>, having just insinuated that it can</w:t>
      </w:r>
      <w:r>
        <w:rPr>
          <w:rFonts w:ascii="Times New Roman" w:hAnsi="Times New Roman" w:cs="Times New Roman"/>
          <w:sz w:val="24"/>
          <w:szCs w:val="24"/>
        </w:rPr>
        <w:t xml:space="preserve">. (It is to be wondered whether the sub-sections were drafted by different officials who did not fully co-ordinate their thinking).  After </w:t>
      </w:r>
      <w:r w:rsidR="009857FB">
        <w:rPr>
          <w:rFonts w:ascii="Times New Roman" w:hAnsi="Times New Roman" w:cs="Times New Roman"/>
          <w:sz w:val="24"/>
          <w:szCs w:val="24"/>
        </w:rPr>
        <w:t>discussing</w:t>
      </w:r>
      <w:r>
        <w:rPr>
          <w:rFonts w:ascii="Times New Roman" w:hAnsi="Times New Roman" w:cs="Times New Roman"/>
          <w:sz w:val="24"/>
          <w:szCs w:val="24"/>
        </w:rPr>
        <w:t xml:space="preserve"> issues to do with potential distortions to regulatory incentives arising from differential treatment of capex and </w:t>
      </w:r>
      <w:proofErr w:type="spellStart"/>
      <w:r>
        <w:rPr>
          <w:rFonts w:ascii="Times New Roman" w:hAnsi="Times New Roman" w:cs="Times New Roman"/>
          <w:sz w:val="24"/>
          <w:szCs w:val="24"/>
        </w:rPr>
        <w:t>opex</w:t>
      </w:r>
      <w:proofErr w:type="spellEnd"/>
      <w:r>
        <w:rPr>
          <w:rFonts w:ascii="Times New Roman" w:hAnsi="Times New Roman" w:cs="Times New Roman"/>
          <w:sz w:val="24"/>
          <w:szCs w:val="24"/>
        </w:rPr>
        <w:t xml:space="preserve"> in price setting,</w:t>
      </w:r>
      <w:r w:rsidR="009857FB">
        <w:rPr>
          <w:rFonts w:ascii="Times New Roman" w:hAnsi="Times New Roman" w:cs="Times New Roman"/>
          <w:sz w:val="24"/>
          <w:szCs w:val="24"/>
        </w:rPr>
        <w:t xml:space="preserve"> much more fundamental questions of incentives for innovation and of average cost pricing are</w:t>
      </w:r>
      <w:r w:rsidR="00F30021">
        <w:rPr>
          <w:rFonts w:ascii="Times New Roman" w:hAnsi="Times New Roman" w:cs="Times New Roman"/>
          <w:sz w:val="24"/>
          <w:szCs w:val="24"/>
        </w:rPr>
        <w:t xml:space="preserve"> raised</w:t>
      </w:r>
      <w:r w:rsidR="00B86842">
        <w:rPr>
          <w:rFonts w:ascii="Times New Roman" w:hAnsi="Times New Roman" w:cs="Times New Roman"/>
          <w:sz w:val="24"/>
          <w:szCs w:val="24"/>
        </w:rPr>
        <w:t>.</w:t>
      </w:r>
      <w:r w:rsidR="009857FB">
        <w:rPr>
          <w:rFonts w:ascii="Times New Roman" w:hAnsi="Times New Roman" w:cs="Times New Roman"/>
          <w:sz w:val="24"/>
          <w:szCs w:val="24"/>
        </w:rPr>
        <w:t xml:space="preserve">  </w:t>
      </w:r>
      <w:r w:rsidR="00B86842">
        <w:rPr>
          <w:rFonts w:ascii="Times New Roman" w:hAnsi="Times New Roman" w:cs="Times New Roman"/>
          <w:sz w:val="24"/>
          <w:szCs w:val="24"/>
        </w:rPr>
        <w:t xml:space="preserve">Thus, challenges that should have a major bearing on a conclusion are noted </w:t>
      </w:r>
      <w:r w:rsidR="00823840">
        <w:rPr>
          <w:rFonts w:ascii="Times New Roman" w:hAnsi="Times New Roman" w:cs="Times New Roman"/>
          <w:sz w:val="24"/>
          <w:szCs w:val="24"/>
        </w:rPr>
        <w:t xml:space="preserve">only </w:t>
      </w:r>
      <w:r w:rsidR="00B86842">
        <w:rPr>
          <w:rFonts w:ascii="Times New Roman" w:hAnsi="Times New Roman" w:cs="Times New Roman"/>
          <w:sz w:val="24"/>
          <w:szCs w:val="24"/>
        </w:rPr>
        <w:t xml:space="preserve">after reaching a conclusion that has ignored them. </w:t>
      </w:r>
    </w:p>
    <w:p w14:paraId="7730D108" w14:textId="3204EA0D" w:rsidR="00856FEE" w:rsidRDefault="00F30021" w:rsidP="00207C67">
      <w:pPr>
        <w:spacing w:line="276" w:lineRule="auto"/>
        <w:rPr>
          <w:rFonts w:ascii="Times New Roman" w:hAnsi="Times New Roman" w:cs="Times New Roman"/>
          <w:sz w:val="24"/>
          <w:szCs w:val="24"/>
        </w:rPr>
      </w:pPr>
      <w:r>
        <w:rPr>
          <w:rFonts w:ascii="Times New Roman" w:hAnsi="Times New Roman" w:cs="Times New Roman"/>
          <w:sz w:val="24"/>
          <w:szCs w:val="24"/>
        </w:rPr>
        <w:t>C7</w:t>
      </w:r>
      <w:r w:rsidR="00856FEE">
        <w:rPr>
          <w:rFonts w:ascii="Times New Roman" w:hAnsi="Times New Roman" w:cs="Times New Roman"/>
          <w:sz w:val="24"/>
          <w:szCs w:val="24"/>
        </w:rPr>
        <w:t xml:space="preserve"> correctly notes that the Commerce Commission has considered the question of the efficacy of the current regulatory arrangements, which is a matter that it no doubt keeps under review, and </w:t>
      </w:r>
      <w:r w:rsidR="00B86842">
        <w:rPr>
          <w:rFonts w:ascii="Times New Roman" w:hAnsi="Times New Roman" w:cs="Times New Roman"/>
          <w:sz w:val="24"/>
          <w:szCs w:val="24"/>
        </w:rPr>
        <w:t xml:space="preserve">that it </w:t>
      </w:r>
      <w:r>
        <w:rPr>
          <w:rFonts w:ascii="Times New Roman" w:hAnsi="Times New Roman" w:cs="Times New Roman"/>
          <w:sz w:val="24"/>
          <w:szCs w:val="24"/>
        </w:rPr>
        <w:t xml:space="preserve">has </w:t>
      </w:r>
      <w:r w:rsidR="00856FEE">
        <w:rPr>
          <w:rFonts w:ascii="Times New Roman" w:hAnsi="Times New Roman" w:cs="Times New Roman"/>
          <w:sz w:val="24"/>
          <w:szCs w:val="24"/>
        </w:rPr>
        <w:t xml:space="preserve">judged that major changes would not be appropriate in the current state of knowledge.  </w:t>
      </w:r>
      <w:r w:rsidR="0022774E">
        <w:rPr>
          <w:rFonts w:ascii="Times New Roman" w:hAnsi="Times New Roman" w:cs="Times New Roman"/>
          <w:sz w:val="24"/>
          <w:szCs w:val="24"/>
        </w:rPr>
        <w:t>Nevertheless,</w:t>
      </w:r>
      <w:r w:rsidR="00856FEE">
        <w:rPr>
          <w:rFonts w:ascii="Times New Roman" w:hAnsi="Times New Roman" w:cs="Times New Roman"/>
          <w:sz w:val="24"/>
          <w:szCs w:val="24"/>
        </w:rPr>
        <w:t xml:space="preserve"> </w:t>
      </w:r>
      <w:r>
        <w:rPr>
          <w:rFonts w:ascii="Times New Roman" w:hAnsi="Times New Roman" w:cs="Times New Roman"/>
          <w:sz w:val="24"/>
          <w:szCs w:val="24"/>
        </w:rPr>
        <w:t>C7</w:t>
      </w:r>
      <w:r w:rsidR="00856FEE">
        <w:rPr>
          <w:rFonts w:ascii="Times New Roman" w:hAnsi="Times New Roman" w:cs="Times New Roman"/>
          <w:sz w:val="24"/>
          <w:szCs w:val="24"/>
        </w:rPr>
        <w:t xml:space="preserve"> persists with its call for more regulatory action, </w:t>
      </w:r>
      <w:r w:rsidR="00BE51AA">
        <w:rPr>
          <w:rFonts w:ascii="Times New Roman" w:hAnsi="Times New Roman" w:cs="Times New Roman"/>
          <w:i/>
          <w:sz w:val="24"/>
          <w:szCs w:val="24"/>
        </w:rPr>
        <w:t xml:space="preserve">“… these circumstances </w:t>
      </w:r>
      <w:r w:rsidR="00BE51AA" w:rsidRPr="00BE51AA">
        <w:rPr>
          <w:rFonts w:ascii="Times New Roman" w:hAnsi="Times New Roman" w:cs="Times New Roman"/>
          <w:i/>
          <w:sz w:val="24"/>
          <w:szCs w:val="24"/>
          <w:u w:val="single"/>
        </w:rPr>
        <w:t>could</w:t>
      </w:r>
      <w:r w:rsidR="00BE51AA">
        <w:rPr>
          <w:rFonts w:ascii="Times New Roman" w:hAnsi="Times New Roman" w:cs="Times New Roman"/>
          <w:i/>
          <w:sz w:val="24"/>
          <w:szCs w:val="24"/>
        </w:rPr>
        <w:t xml:space="preserve"> </w:t>
      </w:r>
      <w:r w:rsidR="00BE51AA">
        <w:rPr>
          <w:rFonts w:ascii="Times New Roman" w:hAnsi="Times New Roman" w:cs="Times New Roman"/>
          <w:sz w:val="24"/>
          <w:szCs w:val="24"/>
        </w:rPr>
        <w:t xml:space="preserve">[my emphasis] </w:t>
      </w:r>
      <w:r w:rsidR="00BE51AA">
        <w:rPr>
          <w:rFonts w:ascii="Times New Roman" w:hAnsi="Times New Roman" w:cs="Times New Roman"/>
          <w:i/>
          <w:sz w:val="24"/>
          <w:szCs w:val="24"/>
        </w:rPr>
        <w:t xml:space="preserve">change rapidly and substantially.”  </w:t>
      </w:r>
      <w:r w:rsidR="00BE51AA">
        <w:rPr>
          <w:rFonts w:ascii="Times New Roman" w:hAnsi="Times New Roman" w:cs="Times New Roman"/>
          <w:sz w:val="24"/>
          <w:szCs w:val="24"/>
        </w:rPr>
        <w:t xml:space="preserve">They </w:t>
      </w:r>
      <w:r w:rsidR="00BE51AA">
        <w:rPr>
          <w:rFonts w:ascii="Times New Roman" w:hAnsi="Times New Roman" w:cs="Times New Roman"/>
          <w:i/>
          <w:sz w:val="24"/>
          <w:szCs w:val="24"/>
        </w:rPr>
        <w:t>could</w:t>
      </w:r>
      <w:r w:rsidR="00BE51AA">
        <w:rPr>
          <w:rFonts w:ascii="Times New Roman" w:hAnsi="Times New Roman" w:cs="Times New Roman"/>
          <w:sz w:val="24"/>
          <w:szCs w:val="24"/>
        </w:rPr>
        <w:t>, but then again they might not.</w:t>
      </w:r>
    </w:p>
    <w:p w14:paraId="604D035B" w14:textId="37132DFD" w:rsidR="009420AB" w:rsidRDefault="00F30021" w:rsidP="00207C67">
      <w:pPr>
        <w:spacing w:line="276" w:lineRule="auto"/>
        <w:rPr>
          <w:rFonts w:ascii="Times New Roman" w:hAnsi="Times New Roman" w:cs="Times New Roman"/>
          <w:sz w:val="24"/>
          <w:szCs w:val="24"/>
        </w:rPr>
      </w:pPr>
      <w:r>
        <w:rPr>
          <w:rFonts w:ascii="Times New Roman" w:hAnsi="Times New Roman" w:cs="Times New Roman"/>
          <w:sz w:val="24"/>
          <w:szCs w:val="24"/>
        </w:rPr>
        <w:t>I</w:t>
      </w:r>
      <w:r w:rsidR="00BE51AA">
        <w:rPr>
          <w:rFonts w:ascii="Times New Roman" w:hAnsi="Times New Roman" w:cs="Times New Roman"/>
          <w:sz w:val="24"/>
          <w:szCs w:val="24"/>
        </w:rPr>
        <w:t xml:space="preserve">n considering the possibilities it </w:t>
      </w:r>
      <w:r w:rsidR="00823840">
        <w:rPr>
          <w:rFonts w:ascii="Times New Roman" w:hAnsi="Times New Roman" w:cs="Times New Roman"/>
          <w:sz w:val="24"/>
          <w:szCs w:val="24"/>
        </w:rPr>
        <w:t xml:space="preserve">is </w:t>
      </w:r>
      <w:r>
        <w:rPr>
          <w:rFonts w:ascii="Times New Roman" w:hAnsi="Times New Roman" w:cs="Times New Roman"/>
          <w:sz w:val="24"/>
          <w:szCs w:val="24"/>
        </w:rPr>
        <w:t>also</w:t>
      </w:r>
      <w:r w:rsidR="00BE51AA">
        <w:rPr>
          <w:rFonts w:ascii="Times New Roman" w:hAnsi="Times New Roman" w:cs="Times New Roman"/>
          <w:sz w:val="24"/>
          <w:szCs w:val="24"/>
        </w:rPr>
        <w:t xml:space="preserve"> advisable to bear in mind that there can be a degree of over-excitement when it comes to assessing the future consequences of new technologies.  The breakthroughs themselves are indeed exciting, but it can often take many years for them to have major economic impacts</w:t>
      </w:r>
      <w:r>
        <w:rPr>
          <w:rFonts w:ascii="Times New Roman" w:hAnsi="Times New Roman" w:cs="Times New Roman"/>
          <w:sz w:val="24"/>
          <w:szCs w:val="24"/>
        </w:rPr>
        <w:t xml:space="preserve"> –</w:t>
      </w:r>
      <w:r w:rsidR="009420AB">
        <w:rPr>
          <w:rFonts w:ascii="Times New Roman" w:hAnsi="Times New Roman" w:cs="Times New Roman"/>
          <w:sz w:val="24"/>
          <w:szCs w:val="24"/>
        </w:rPr>
        <w:t xml:space="preserve"> and when those impacts come they may </w:t>
      </w:r>
      <w:r w:rsidR="00B86842">
        <w:rPr>
          <w:rFonts w:ascii="Times New Roman" w:hAnsi="Times New Roman" w:cs="Times New Roman"/>
          <w:sz w:val="24"/>
          <w:szCs w:val="24"/>
        </w:rPr>
        <w:t>appear</w:t>
      </w:r>
      <w:r w:rsidR="009420AB">
        <w:rPr>
          <w:rFonts w:ascii="Times New Roman" w:hAnsi="Times New Roman" w:cs="Times New Roman"/>
          <w:sz w:val="24"/>
          <w:szCs w:val="24"/>
        </w:rPr>
        <w:t xml:space="preserve"> on a different scale in different locations.  For example, a </w:t>
      </w:r>
      <w:r w:rsidR="005423D1">
        <w:rPr>
          <w:rFonts w:ascii="Times New Roman" w:hAnsi="Times New Roman" w:cs="Times New Roman"/>
          <w:sz w:val="24"/>
          <w:szCs w:val="24"/>
        </w:rPr>
        <w:t xml:space="preserve">small </w:t>
      </w:r>
      <w:r w:rsidR="009420AB">
        <w:rPr>
          <w:rFonts w:ascii="Times New Roman" w:hAnsi="Times New Roman" w:cs="Times New Roman"/>
          <w:sz w:val="24"/>
          <w:szCs w:val="24"/>
        </w:rPr>
        <w:t>distribution system reliant chiefly on</w:t>
      </w:r>
      <w:r w:rsidR="005423D1">
        <w:rPr>
          <w:rFonts w:ascii="Times New Roman" w:hAnsi="Times New Roman" w:cs="Times New Roman"/>
          <w:sz w:val="24"/>
          <w:szCs w:val="24"/>
        </w:rPr>
        <w:t xml:space="preserve"> local</w:t>
      </w:r>
      <w:r w:rsidR="009420AB">
        <w:rPr>
          <w:rFonts w:ascii="Times New Roman" w:hAnsi="Times New Roman" w:cs="Times New Roman"/>
          <w:sz w:val="24"/>
          <w:szCs w:val="24"/>
        </w:rPr>
        <w:t xml:space="preserve"> hydro power </w:t>
      </w:r>
      <w:r w:rsidR="005423D1">
        <w:rPr>
          <w:rFonts w:ascii="Times New Roman" w:hAnsi="Times New Roman" w:cs="Times New Roman"/>
          <w:sz w:val="24"/>
          <w:szCs w:val="24"/>
        </w:rPr>
        <w:t xml:space="preserve">may be little affected by </w:t>
      </w:r>
      <w:r w:rsidR="00B86842">
        <w:rPr>
          <w:rFonts w:ascii="Times New Roman" w:hAnsi="Times New Roman" w:cs="Times New Roman"/>
          <w:sz w:val="24"/>
          <w:szCs w:val="24"/>
        </w:rPr>
        <w:t>developing</w:t>
      </w:r>
      <w:r w:rsidR="005423D1">
        <w:rPr>
          <w:rFonts w:ascii="Times New Roman" w:hAnsi="Times New Roman" w:cs="Times New Roman"/>
          <w:sz w:val="24"/>
          <w:szCs w:val="24"/>
        </w:rPr>
        <w:t xml:space="preserve"> wind and solar PV technologies.  </w:t>
      </w:r>
    </w:p>
    <w:p w14:paraId="470E7F58" w14:textId="18256666" w:rsidR="00FC373E" w:rsidRPr="005423D1" w:rsidRDefault="00F30021"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C7 </w:t>
      </w:r>
      <w:r w:rsidR="005423D1">
        <w:rPr>
          <w:rFonts w:ascii="Times New Roman" w:hAnsi="Times New Roman" w:cs="Times New Roman"/>
          <w:sz w:val="24"/>
          <w:szCs w:val="24"/>
        </w:rPr>
        <w:t xml:space="preserve">does not, in fact, provide any substantiation </w:t>
      </w:r>
      <w:r>
        <w:rPr>
          <w:rFonts w:ascii="Times New Roman" w:hAnsi="Times New Roman" w:cs="Times New Roman"/>
          <w:sz w:val="24"/>
          <w:szCs w:val="24"/>
        </w:rPr>
        <w:t xml:space="preserve">at all </w:t>
      </w:r>
      <w:r w:rsidR="005423D1">
        <w:rPr>
          <w:rFonts w:ascii="Times New Roman" w:hAnsi="Times New Roman" w:cs="Times New Roman"/>
          <w:sz w:val="24"/>
          <w:szCs w:val="24"/>
        </w:rPr>
        <w:t xml:space="preserve">for the proposition that there should be an extension of price-quality regulation to all EDBs. </w:t>
      </w:r>
      <w:r>
        <w:rPr>
          <w:rFonts w:ascii="Times New Roman" w:hAnsi="Times New Roman" w:cs="Times New Roman"/>
          <w:sz w:val="24"/>
          <w:szCs w:val="24"/>
        </w:rPr>
        <w:t>Y</w:t>
      </w:r>
      <w:r w:rsidR="005423D1">
        <w:rPr>
          <w:rFonts w:ascii="Times New Roman" w:hAnsi="Times New Roman" w:cs="Times New Roman"/>
          <w:sz w:val="24"/>
          <w:szCs w:val="24"/>
        </w:rPr>
        <w:t xml:space="preserve">et the same sentiment is </w:t>
      </w:r>
      <w:r w:rsidR="0022774E">
        <w:rPr>
          <w:rFonts w:ascii="Times New Roman" w:hAnsi="Times New Roman" w:cs="Times New Roman"/>
          <w:sz w:val="24"/>
          <w:szCs w:val="24"/>
        </w:rPr>
        <w:t>repeated</w:t>
      </w:r>
      <w:r w:rsidR="005423D1">
        <w:rPr>
          <w:rFonts w:ascii="Times New Roman" w:hAnsi="Times New Roman" w:cs="Times New Roman"/>
          <w:sz w:val="24"/>
          <w:szCs w:val="24"/>
        </w:rPr>
        <w:t xml:space="preserve"> later</w:t>
      </w:r>
      <w:r w:rsidR="00FC373E">
        <w:rPr>
          <w:rFonts w:ascii="Times New Roman" w:hAnsi="Times New Roman" w:cs="Times New Roman"/>
          <w:sz w:val="24"/>
          <w:szCs w:val="24"/>
        </w:rPr>
        <w:t xml:space="preserve"> (on page 161)</w:t>
      </w:r>
      <w:r w:rsidR="005423D1">
        <w:rPr>
          <w:rFonts w:ascii="Times New Roman" w:hAnsi="Times New Roman" w:cs="Times New Roman"/>
          <w:sz w:val="24"/>
          <w:szCs w:val="24"/>
        </w:rPr>
        <w:t>:</w:t>
      </w:r>
      <w:r w:rsidR="004D6640">
        <w:rPr>
          <w:rFonts w:ascii="Times New Roman" w:hAnsi="Times New Roman" w:cs="Times New Roman"/>
          <w:sz w:val="24"/>
          <w:szCs w:val="24"/>
        </w:rPr>
        <w:t xml:space="preserve"> </w:t>
      </w:r>
      <w:r w:rsidR="004D6640">
        <w:rPr>
          <w:rFonts w:ascii="Times New Roman" w:hAnsi="Times New Roman" w:cs="Times New Roman"/>
          <w:i/>
          <w:sz w:val="24"/>
          <w:szCs w:val="24"/>
        </w:rPr>
        <w:t xml:space="preserve">“An increase in the effective scale of distribution activities may </w:t>
      </w:r>
      <w:r w:rsidR="004D6640">
        <w:rPr>
          <w:rFonts w:ascii="Times New Roman" w:hAnsi="Times New Roman" w:cs="Times New Roman"/>
          <w:sz w:val="24"/>
          <w:szCs w:val="24"/>
        </w:rPr>
        <w:t xml:space="preserve">[or may not] </w:t>
      </w:r>
      <w:r w:rsidR="004D6640">
        <w:rPr>
          <w:rFonts w:ascii="Times New Roman" w:hAnsi="Times New Roman" w:cs="Times New Roman"/>
          <w:i/>
          <w:sz w:val="24"/>
          <w:szCs w:val="24"/>
        </w:rPr>
        <w:t>also provide an opportunity to extend the price-quality path regulation to all distribution activities: this would provide a way to ensure a more consistent and comprehensive incentive-based regulation of the distribution sector. The development of more effective management across the distribution sector may</w:t>
      </w:r>
      <w:r w:rsidR="004D6640">
        <w:rPr>
          <w:rFonts w:ascii="Times New Roman" w:hAnsi="Times New Roman" w:cs="Times New Roman"/>
          <w:sz w:val="24"/>
          <w:szCs w:val="24"/>
        </w:rPr>
        <w:t xml:space="preserve"> </w:t>
      </w:r>
      <w:r w:rsidR="004D6640">
        <w:rPr>
          <w:rFonts w:ascii="Times New Roman" w:hAnsi="Times New Roman" w:cs="Times New Roman"/>
          <w:i/>
          <w:sz w:val="24"/>
          <w:szCs w:val="24"/>
        </w:rPr>
        <w:t xml:space="preserve">serve to encourage more efficient and timely behavioural responses to the incentives created by price-quality regulation.” </w:t>
      </w:r>
    </w:p>
    <w:p w14:paraId="58D0C8CC" w14:textId="02BDAFBD" w:rsidR="00241F72" w:rsidRDefault="004D6640" w:rsidP="00207C67">
      <w:pPr>
        <w:spacing w:line="276" w:lineRule="auto"/>
        <w:rPr>
          <w:rFonts w:ascii="Times New Roman" w:hAnsi="Times New Roman" w:cs="Times New Roman"/>
          <w:sz w:val="24"/>
          <w:szCs w:val="24"/>
        </w:rPr>
      </w:pPr>
      <w:r>
        <w:rPr>
          <w:rFonts w:ascii="Times New Roman" w:hAnsi="Times New Roman" w:cs="Times New Roman"/>
          <w:sz w:val="24"/>
          <w:szCs w:val="24"/>
        </w:rPr>
        <w:t>This</w:t>
      </w:r>
      <w:r w:rsidR="002928BE">
        <w:rPr>
          <w:rFonts w:ascii="Times New Roman" w:hAnsi="Times New Roman" w:cs="Times New Roman"/>
          <w:sz w:val="24"/>
          <w:szCs w:val="24"/>
        </w:rPr>
        <w:t xml:space="preserve"> </w:t>
      </w:r>
      <w:r w:rsidR="006D3838">
        <w:rPr>
          <w:rFonts w:ascii="Times New Roman" w:hAnsi="Times New Roman" w:cs="Times New Roman"/>
          <w:sz w:val="24"/>
          <w:szCs w:val="24"/>
        </w:rPr>
        <w:t>adds</w:t>
      </w:r>
      <w:r>
        <w:rPr>
          <w:rFonts w:ascii="Times New Roman" w:hAnsi="Times New Roman" w:cs="Times New Roman"/>
          <w:sz w:val="24"/>
          <w:szCs w:val="24"/>
        </w:rPr>
        <w:t xml:space="preserve"> comprehensive</w:t>
      </w:r>
      <w:r w:rsidR="006D3838">
        <w:rPr>
          <w:rFonts w:ascii="Times New Roman" w:hAnsi="Times New Roman" w:cs="Times New Roman"/>
          <w:sz w:val="24"/>
          <w:szCs w:val="24"/>
        </w:rPr>
        <w:t>ness to consistency as a criterion for judgment, but i</w:t>
      </w:r>
      <w:r w:rsidR="00E535C2">
        <w:rPr>
          <w:rFonts w:ascii="Times New Roman" w:hAnsi="Times New Roman" w:cs="Times New Roman"/>
          <w:sz w:val="24"/>
          <w:szCs w:val="24"/>
        </w:rPr>
        <w:t>ncreasing comprehensiveness has costs</w:t>
      </w:r>
      <w:r w:rsidR="006D3838">
        <w:rPr>
          <w:rFonts w:ascii="Times New Roman" w:hAnsi="Times New Roman" w:cs="Times New Roman"/>
          <w:sz w:val="24"/>
          <w:szCs w:val="24"/>
        </w:rPr>
        <w:t>, including the scope for harm caused by less than perfect regulation, remembering that</w:t>
      </w:r>
      <w:r w:rsidR="00E535C2">
        <w:rPr>
          <w:rFonts w:ascii="Times New Roman" w:hAnsi="Times New Roman" w:cs="Times New Roman"/>
          <w:sz w:val="24"/>
          <w:szCs w:val="24"/>
        </w:rPr>
        <w:t xml:space="preserve"> discovering and implementing incentive structures that (in practice) work well for consumers are difficult, skilled and costly tasks</w:t>
      </w:r>
      <w:r w:rsidR="006D3838">
        <w:rPr>
          <w:rFonts w:ascii="Times New Roman" w:hAnsi="Times New Roman" w:cs="Times New Roman"/>
          <w:sz w:val="24"/>
          <w:szCs w:val="24"/>
        </w:rPr>
        <w:t xml:space="preserve"> and that e</w:t>
      </w:r>
      <w:r w:rsidR="00241F72">
        <w:rPr>
          <w:rFonts w:ascii="Times New Roman" w:hAnsi="Times New Roman" w:cs="Times New Roman"/>
          <w:sz w:val="24"/>
          <w:szCs w:val="24"/>
        </w:rPr>
        <w:t>xcessive pursuit of comprehensiveness is just another name for over-regulation.</w:t>
      </w:r>
    </w:p>
    <w:p w14:paraId="4F906A5F" w14:textId="5B01ED2D" w:rsidR="00F67CD2" w:rsidRDefault="00E535C2"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If by consistent regulation is meant application of similar incentive structures to all distribution companies, there is nothing in it that is inherently meritorious.  </w:t>
      </w:r>
      <w:r w:rsidR="0022774E">
        <w:rPr>
          <w:rFonts w:ascii="Times New Roman" w:hAnsi="Times New Roman" w:cs="Times New Roman"/>
          <w:sz w:val="24"/>
          <w:szCs w:val="24"/>
        </w:rPr>
        <w:t>Indeed,</w:t>
      </w:r>
      <w:r>
        <w:rPr>
          <w:rFonts w:ascii="Times New Roman" w:hAnsi="Times New Roman" w:cs="Times New Roman"/>
          <w:sz w:val="24"/>
          <w:szCs w:val="24"/>
        </w:rPr>
        <w:t xml:space="preserve"> NZ regulation is characterised by its tailoring of regulatory approaches to variations in circumstances via its mix of default price-quality paths, customised price</w:t>
      </w:r>
      <w:r w:rsidR="00F30021">
        <w:rPr>
          <w:rFonts w:ascii="Times New Roman" w:hAnsi="Times New Roman" w:cs="Times New Roman"/>
          <w:sz w:val="24"/>
          <w:szCs w:val="24"/>
        </w:rPr>
        <w:t>-quality</w:t>
      </w:r>
      <w:r>
        <w:rPr>
          <w:rFonts w:ascii="Times New Roman" w:hAnsi="Times New Roman" w:cs="Times New Roman"/>
          <w:sz w:val="24"/>
          <w:szCs w:val="24"/>
        </w:rPr>
        <w:t xml:space="preserve"> paths and information disclosure requirements</w:t>
      </w:r>
      <w:r w:rsidR="00F30021">
        <w:rPr>
          <w:rFonts w:ascii="Times New Roman" w:hAnsi="Times New Roman" w:cs="Times New Roman"/>
          <w:sz w:val="24"/>
          <w:szCs w:val="24"/>
        </w:rPr>
        <w:t>. The challenge</w:t>
      </w:r>
      <w:r w:rsidR="00241F72">
        <w:rPr>
          <w:rFonts w:ascii="Times New Roman" w:hAnsi="Times New Roman" w:cs="Times New Roman"/>
          <w:sz w:val="24"/>
          <w:szCs w:val="24"/>
        </w:rPr>
        <w:t xml:space="preserve"> is more a matter of the consistent application of policy principles in different</w:t>
      </w:r>
      <w:r w:rsidR="00823840">
        <w:rPr>
          <w:rFonts w:ascii="Times New Roman" w:hAnsi="Times New Roman" w:cs="Times New Roman"/>
          <w:sz w:val="24"/>
          <w:szCs w:val="24"/>
        </w:rPr>
        <w:t>, given</w:t>
      </w:r>
      <w:r w:rsidR="00241F72">
        <w:rPr>
          <w:rFonts w:ascii="Times New Roman" w:hAnsi="Times New Roman" w:cs="Times New Roman"/>
          <w:sz w:val="24"/>
          <w:szCs w:val="24"/>
        </w:rPr>
        <w:t xml:space="preserve"> contexts (which may lead to differentiation in implementation</w:t>
      </w:r>
      <w:r w:rsidR="005A53BB">
        <w:rPr>
          <w:rFonts w:ascii="Times New Roman" w:hAnsi="Times New Roman" w:cs="Times New Roman"/>
          <w:sz w:val="24"/>
          <w:szCs w:val="24"/>
        </w:rPr>
        <w:t>s</w:t>
      </w:r>
      <w:r w:rsidR="00241F72">
        <w:rPr>
          <w:rFonts w:ascii="Times New Roman" w:hAnsi="Times New Roman" w:cs="Times New Roman"/>
          <w:sz w:val="24"/>
          <w:szCs w:val="24"/>
        </w:rPr>
        <w:t xml:space="preserve">) </w:t>
      </w:r>
      <w:r w:rsidR="00823840">
        <w:rPr>
          <w:rFonts w:ascii="Times New Roman" w:hAnsi="Times New Roman" w:cs="Times New Roman"/>
          <w:sz w:val="24"/>
          <w:szCs w:val="24"/>
        </w:rPr>
        <w:t>than</w:t>
      </w:r>
      <w:r w:rsidR="00241F72">
        <w:rPr>
          <w:rFonts w:ascii="Times New Roman" w:hAnsi="Times New Roman" w:cs="Times New Roman"/>
          <w:sz w:val="24"/>
          <w:szCs w:val="24"/>
        </w:rPr>
        <w:t xml:space="preserve"> of trying to change the context </w:t>
      </w:r>
      <w:r w:rsidR="00823840">
        <w:rPr>
          <w:rFonts w:ascii="Times New Roman" w:hAnsi="Times New Roman" w:cs="Times New Roman"/>
          <w:sz w:val="24"/>
          <w:szCs w:val="24"/>
        </w:rPr>
        <w:t>to fit the policy</w:t>
      </w:r>
      <w:r w:rsidR="002B56F3">
        <w:rPr>
          <w:rFonts w:ascii="Times New Roman" w:hAnsi="Times New Roman" w:cs="Times New Roman"/>
          <w:sz w:val="24"/>
          <w:szCs w:val="24"/>
        </w:rPr>
        <w:t xml:space="preserve">, </w:t>
      </w:r>
      <w:r w:rsidR="00241F72">
        <w:rPr>
          <w:rFonts w:ascii="Times New Roman" w:hAnsi="Times New Roman" w:cs="Times New Roman"/>
          <w:sz w:val="24"/>
          <w:szCs w:val="24"/>
        </w:rPr>
        <w:t xml:space="preserve">e.g. trying to increase the size of </w:t>
      </w:r>
      <w:r w:rsidR="00823840">
        <w:rPr>
          <w:rFonts w:ascii="Times New Roman" w:hAnsi="Times New Roman" w:cs="Times New Roman"/>
          <w:sz w:val="24"/>
          <w:szCs w:val="24"/>
        </w:rPr>
        <w:t>EDBs</w:t>
      </w:r>
      <w:r w:rsidR="00241F72">
        <w:rPr>
          <w:rFonts w:ascii="Times New Roman" w:hAnsi="Times New Roman" w:cs="Times New Roman"/>
          <w:sz w:val="24"/>
          <w:szCs w:val="24"/>
        </w:rPr>
        <w:t xml:space="preserve"> to make them suitable for a one-size-fits-all</w:t>
      </w:r>
      <w:r w:rsidR="005A53BB">
        <w:rPr>
          <w:rFonts w:ascii="Times New Roman" w:hAnsi="Times New Roman" w:cs="Times New Roman"/>
          <w:sz w:val="24"/>
          <w:szCs w:val="24"/>
        </w:rPr>
        <w:t>, homogeneous</w:t>
      </w:r>
      <w:r w:rsidR="00241F72">
        <w:rPr>
          <w:rFonts w:ascii="Times New Roman" w:hAnsi="Times New Roman" w:cs="Times New Roman"/>
          <w:sz w:val="24"/>
          <w:szCs w:val="24"/>
        </w:rPr>
        <w:t xml:space="preserve"> implementation of those principles.  </w:t>
      </w:r>
    </w:p>
    <w:p w14:paraId="7D1C0D56" w14:textId="07117C10" w:rsidR="002B56F3" w:rsidRDefault="002B56F3" w:rsidP="00207C67">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is a strong sense in all of this that the underlying objective in C7 is to render regulation less intellectually challenging than it currently is, by bending commercial realities to an existing way of thinking, rather than developing new ways of thinking that will fit better with commercial realities. </w:t>
      </w:r>
    </w:p>
    <w:p w14:paraId="0B2D91C9" w14:textId="70E626F0" w:rsidR="005A53BB" w:rsidRPr="00823840" w:rsidRDefault="005A53BB" w:rsidP="00207C67">
      <w:pPr>
        <w:spacing w:line="276" w:lineRule="auto"/>
        <w:rPr>
          <w:rFonts w:ascii="Times New Roman" w:hAnsi="Times New Roman" w:cs="Times New Roman"/>
          <w:b/>
          <w:i/>
          <w:sz w:val="24"/>
          <w:szCs w:val="24"/>
        </w:rPr>
      </w:pPr>
      <w:r w:rsidRPr="00823840">
        <w:rPr>
          <w:rFonts w:ascii="Times New Roman" w:hAnsi="Times New Roman" w:cs="Times New Roman"/>
          <w:b/>
          <w:i/>
          <w:sz w:val="24"/>
          <w:szCs w:val="24"/>
        </w:rPr>
        <w:t xml:space="preserve">A static analytical framework for tackling </w:t>
      </w:r>
      <w:r w:rsidR="000E4DBE" w:rsidRPr="00823840">
        <w:rPr>
          <w:rFonts w:ascii="Times New Roman" w:hAnsi="Times New Roman" w:cs="Times New Roman"/>
          <w:b/>
          <w:i/>
          <w:sz w:val="24"/>
          <w:szCs w:val="24"/>
        </w:rPr>
        <w:t xml:space="preserve">a </w:t>
      </w:r>
      <w:r w:rsidRPr="00823840">
        <w:rPr>
          <w:rFonts w:ascii="Times New Roman" w:hAnsi="Times New Roman" w:cs="Times New Roman"/>
          <w:b/>
          <w:i/>
          <w:sz w:val="24"/>
          <w:szCs w:val="24"/>
        </w:rPr>
        <w:t>set of dynamic economic issues</w:t>
      </w:r>
    </w:p>
    <w:p w14:paraId="6E3E83FD" w14:textId="06D59E8D" w:rsidR="005A53BB" w:rsidRDefault="00323C3E"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C7</w:t>
      </w:r>
      <w:r w:rsidR="005A53BB">
        <w:rPr>
          <w:rFonts w:ascii="Times New Roman" w:hAnsi="Times New Roman" w:cs="Times New Roman"/>
          <w:sz w:val="24"/>
          <w:szCs w:val="24"/>
        </w:rPr>
        <w:t xml:space="preserve"> rightly recognises that a combination of market liberalisation, decarbonisation policies and rapid technological change (itself stimulated by liberalisation and environmental policies) poses major challenges that may fundamentally affect (a) the way distribution systems are used, operated and developed and (b) the business models and regulatory approaches that are adopted. These developments almost necessarily give rise to greater uncertainty about the evolutionary paths of business organisation and regulatory </w:t>
      </w:r>
      <w:r w:rsidR="00823840">
        <w:rPr>
          <w:rFonts w:ascii="Times New Roman" w:hAnsi="Times New Roman" w:cs="Times New Roman"/>
          <w:sz w:val="24"/>
          <w:szCs w:val="24"/>
        </w:rPr>
        <w:t>systems</w:t>
      </w:r>
      <w:r w:rsidR="005A53BB">
        <w:rPr>
          <w:rFonts w:ascii="Times New Roman" w:hAnsi="Times New Roman" w:cs="Times New Roman"/>
          <w:sz w:val="24"/>
          <w:szCs w:val="24"/>
        </w:rPr>
        <w:t>.</w:t>
      </w:r>
      <w:r w:rsidR="005A53BB" w:rsidRPr="00320407">
        <w:rPr>
          <w:rFonts w:ascii="ArialMT" w:hAnsi="ArialMT" w:cs="ArialMT"/>
          <w:sz w:val="21"/>
          <w:szCs w:val="21"/>
        </w:rPr>
        <w:t xml:space="preserve"> </w:t>
      </w:r>
      <w:r w:rsidR="005A53BB" w:rsidRPr="00320407">
        <w:rPr>
          <w:rFonts w:ascii="Times New Roman" w:hAnsi="Times New Roman" w:cs="Times New Roman"/>
          <w:sz w:val="24"/>
          <w:szCs w:val="24"/>
        </w:rPr>
        <w:t>The</w:t>
      </w:r>
      <w:r w:rsidR="005A53BB">
        <w:rPr>
          <w:rFonts w:ascii="Times New Roman" w:hAnsi="Times New Roman" w:cs="Times New Roman"/>
          <w:sz w:val="24"/>
          <w:szCs w:val="24"/>
        </w:rPr>
        <w:t xml:space="preserve"> Review is therefore also right in saying, in one of its more definite statements that </w:t>
      </w:r>
      <w:r w:rsidR="005A53BB" w:rsidRPr="00320407">
        <w:rPr>
          <w:rFonts w:ascii="Times New Roman" w:hAnsi="Times New Roman" w:cs="Times New Roman"/>
          <w:i/>
          <w:sz w:val="24"/>
          <w:szCs w:val="24"/>
        </w:rPr>
        <w:t>“there are considerable risks associated with adapting the legal and governance framework, given the substantial uncertainty around the nature and timing of this transformation.”</w:t>
      </w:r>
      <w:r w:rsidR="005A53BB">
        <w:rPr>
          <w:rFonts w:ascii="Times New Roman" w:hAnsi="Times New Roman" w:cs="Times New Roman"/>
          <w:sz w:val="24"/>
          <w:szCs w:val="24"/>
        </w:rPr>
        <w:t xml:space="preserve"> It does not go on to examine the nature of those risks, however, being content to suggest that uncertainty </w:t>
      </w:r>
      <w:r w:rsidR="005A53BB" w:rsidRPr="002F5BDA">
        <w:rPr>
          <w:rFonts w:ascii="Times New Roman" w:hAnsi="Times New Roman" w:cs="Times New Roman"/>
          <w:sz w:val="24"/>
          <w:szCs w:val="24"/>
        </w:rPr>
        <w:t>may point to an incremental and proportional approach</w:t>
      </w:r>
      <w:r w:rsidR="000E4DBE">
        <w:rPr>
          <w:rFonts w:ascii="Times New Roman" w:hAnsi="Times New Roman" w:cs="Times New Roman"/>
          <w:sz w:val="24"/>
          <w:szCs w:val="24"/>
        </w:rPr>
        <w:t xml:space="preserve"> as </w:t>
      </w:r>
      <w:r w:rsidR="005A53BB" w:rsidRPr="002F5BDA">
        <w:rPr>
          <w:rFonts w:ascii="Times New Roman" w:hAnsi="Times New Roman" w:cs="Times New Roman"/>
          <w:sz w:val="24"/>
          <w:szCs w:val="24"/>
        </w:rPr>
        <w:t>the most appropriate way to proceed</w:t>
      </w:r>
      <w:r w:rsidR="005A53BB">
        <w:rPr>
          <w:rFonts w:ascii="Times New Roman" w:hAnsi="Times New Roman" w:cs="Times New Roman"/>
          <w:sz w:val="24"/>
          <w:szCs w:val="24"/>
        </w:rPr>
        <w:t>.</w:t>
      </w:r>
    </w:p>
    <w:p w14:paraId="7C493C2D" w14:textId="34CA94E8" w:rsidR="005A53BB" w:rsidRDefault="005A53BB"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Again, there is little to object to in this sentiment, but it is highly incomplete.  It is focused on a desirable, but nevertheless defensive, approach of seeking to avoid mistakes.  The much more significant task, given uncertainty as to how to proceed and </w:t>
      </w:r>
      <w:r w:rsidR="00823840">
        <w:rPr>
          <w:rFonts w:ascii="Times New Roman" w:hAnsi="Times New Roman" w:cs="Times New Roman"/>
          <w:sz w:val="24"/>
          <w:szCs w:val="24"/>
        </w:rPr>
        <w:t xml:space="preserve">uncertainty </w:t>
      </w:r>
      <w:r>
        <w:rPr>
          <w:rFonts w:ascii="Times New Roman" w:hAnsi="Times New Roman" w:cs="Times New Roman"/>
          <w:sz w:val="24"/>
          <w:szCs w:val="24"/>
        </w:rPr>
        <w:t>a</w:t>
      </w:r>
      <w:r w:rsidR="000E4DBE">
        <w:rPr>
          <w:rFonts w:ascii="Times New Roman" w:hAnsi="Times New Roman" w:cs="Times New Roman"/>
          <w:sz w:val="24"/>
          <w:szCs w:val="24"/>
        </w:rPr>
        <w:t>s to</w:t>
      </w:r>
      <w:r>
        <w:rPr>
          <w:rFonts w:ascii="Times New Roman" w:hAnsi="Times New Roman" w:cs="Times New Roman"/>
          <w:sz w:val="24"/>
          <w:szCs w:val="24"/>
        </w:rPr>
        <w:t xml:space="preserve"> how things might turn out, is to </w:t>
      </w:r>
      <w:r w:rsidRPr="00C94D6D">
        <w:rPr>
          <w:rFonts w:ascii="Times New Roman" w:hAnsi="Times New Roman" w:cs="Times New Roman"/>
          <w:i/>
          <w:sz w:val="24"/>
          <w:szCs w:val="24"/>
        </w:rPr>
        <w:t>discover</w:t>
      </w:r>
      <w:r>
        <w:rPr>
          <w:rFonts w:ascii="Times New Roman" w:hAnsi="Times New Roman" w:cs="Times New Roman"/>
          <w:sz w:val="24"/>
          <w:szCs w:val="24"/>
        </w:rPr>
        <w:t xml:space="preserve"> how best to proceed.  Given the unknowns, it is generally the case that this requires the exploration and testing out of a variety of alternative possibilities.  This, after all, is how scientific discovery processes work, and it puts a premium on the existence of diversity of approaches. It is also how evolution proceeds: random variations occur in genetic material and their fitness is put to the test in the relevant environments. Some variations do better in one type of environment, others in other types of environment, and what we </w:t>
      </w:r>
      <w:r w:rsidR="000E4DBE">
        <w:rPr>
          <w:rFonts w:ascii="Times New Roman" w:hAnsi="Times New Roman" w:cs="Times New Roman"/>
          <w:sz w:val="24"/>
          <w:szCs w:val="24"/>
        </w:rPr>
        <w:t xml:space="preserve">consequentially </w:t>
      </w:r>
      <w:r>
        <w:rPr>
          <w:rFonts w:ascii="Times New Roman" w:hAnsi="Times New Roman" w:cs="Times New Roman"/>
          <w:sz w:val="24"/>
          <w:szCs w:val="24"/>
        </w:rPr>
        <w:t>see in nature is great diversity</w:t>
      </w:r>
      <w:r w:rsidR="000E4DBE">
        <w:rPr>
          <w:rFonts w:ascii="Times New Roman" w:hAnsi="Times New Roman" w:cs="Times New Roman"/>
          <w:sz w:val="24"/>
          <w:szCs w:val="24"/>
        </w:rPr>
        <w:t xml:space="preserve"> across different contexts/environments</w:t>
      </w:r>
      <w:r>
        <w:rPr>
          <w:rFonts w:ascii="Times New Roman" w:hAnsi="Times New Roman" w:cs="Times New Roman"/>
          <w:sz w:val="24"/>
          <w:szCs w:val="24"/>
        </w:rPr>
        <w:t>.</w:t>
      </w:r>
    </w:p>
    <w:p w14:paraId="4848AC3F" w14:textId="598B72D7" w:rsidR="005A53BB" w:rsidRDefault="000E4DBE"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C7 </w:t>
      </w:r>
      <w:r w:rsidR="005A53BB">
        <w:rPr>
          <w:rFonts w:ascii="Times New Roman" w:hAnsi="Times New Roman" w:cs="Times New Roman"/>
          <w:sz w:val="24"/>
          <w:szCs w:val="24"/>
        </w:rPr>
        <w:t>does not</w:t>
      </w:r>
      <w:r>
        <w:rPr>
          <w:rFonts w:ascii="Times New Roman" w:hAnsi="Times New Roman" w:cs="Times New Roman"/>
          <w:sz w:val="24"/>
          <w:szCs w:val="24"/>
        </w:rPr>
        <w:t>,</w:t>
      </w:r>
      <w:r w:rsidR="005A53BB">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5A53BB">
        <w:rPr>
          <w:rFonts w:ascii="Times New Roman" w:hAnsi="Times New Roman" w:cs="Times New Roman"/>
          <w:sz w:val="24"/>
          <w:szCs w:val="24"/>
        </w:rPr>
        <w:t xml:space="preserve">frame the problem in terms of a dynamic discovery process.  Rather it rests on a more static economics, </w:t>
      </w:r>
      <w:r>
        <w:rPr>
          <w:rFonts w:ascii="Times New Roman" w:hAnsi="Times New Roman" w:cs="Times New Roman"/>
          <w:sz w:val="24"/>
          <w:szCs w:val="24"/>
        </w:rPr>
        <w:t>an approach that i</w:t>
      </w:r>
      <w:r w:rsidR="005A53BB">
        <w:rPr>
          <w:rFonts w:ascii="Times New Roman" w:hAnsi="Times New Roman" w:cs="Times New Roman"/>
          <w:sz w:val="24"/>
          <w:szCs w:val="24"/>
        </w:rPr>
        <w:t xml:space="preserve">s nowhere better illustrated than </w:t>
      </w:r>
      <w:r w:rsidR="002D7BEC">
        <w:rPr>
          <w:rFonts w:ascii="Times New Roman" w:hAnsi="Times New Roman" w:cs="Times New Roman"/>
          <w:sz w:val="24"/>
          <w:szCs w:val="24"/>
        </w:rPr>
        <w:t>in</w:t>
      </w:r>
      <w:r w:rsidR="005A53BB">
        <w:rPr>
          <w:rFonts w:ascii="Times New Roman" w:hAnsi="Times New Roman" w:cs="Times New Roman"/>
          <w:sz w:val="24"/>
          <w:szCs w:val="24"/>
        </w:rPr>
        <w:t xml:space="preserve"> its heavy reliance on the notion of economies of scale.  This focuses </w:t>
      </w:r>
      <w:r w:rsidR="00823840">
        <w:rPr>
          <w:rFonts w:ascii="Times New Roman" w:hAnsi="Times New Roman" w:cs="Times New Roman"/>
          <w:sz w:val="24"/>
          <w:szCs w:val="24"/>
        </w:rPr>
        <w:t>all</w:t>
      </w:r>
      <w:r w:rsidR="005A53BB">
        <w:rPr>
          <w:rFonts w:ascii="Times New Roman" w:hAnsi="Times New Roman" w:cs="Times New Roman"/>
          <w:sz w:val="24"/>
          <w:szCs w:val="24"/>
        </w:rPr>
        <w:t xml:space="preserve"> attention on the shape of the cost curve of an EDB, asking: how do average costs of distribution change as the scale of activity increases?  But cost curves are static concepts, meaning that they are defined and estimated on the basis of a known technology, when the central issues </w:t>
      </w:r>
      <w:r>
        <w:rPr>
          <w:rFonts w:ascii="Times New Roman" w:hAnsi="Times New Roman" w:cs="Times New Roman"/>
          <w:sz w:val="24"/>
          <w:szCs w:val="24"/>
        </w:rPr>
        <w:t xml:space="preserve">at stake </w:t>
      </w:r>
      <w:r w:rsidR="005A53BB">
        <w:rPr>
          <w:rFonts w:ascii="Times New Roman" w:hAnsi="Times New Roman" w:cs="Times New Roman"/>
          <w:sz w:val="24"/>
          <w:szCs w:val="24"/>
        </w:rPr>
        <w:t>are to do with technological change. An amalgamation between two business</w:t>
      </w:r>
      <w:r w:rsidR="002D7BEC">
        <w:rPr>
          <w:rFonts w:ascii="Times New Roman" w:hAnsi="Times New Roman" w:cs="Times New Roman"/>
          <w:sz w:val="24"/>
          <w:szCs w:val="24"/>
        </w:rPr>
        <w:t>es</w:t>
      </w:r>
      <w:r w:rsidR="005A53BB">
        <w:rPr>
          <w:rFonts w:ascii="Times New Roman" w:hAnsi="Times New Roman" w:cs="Times New Roman"/>
          <w:sz w:val="24"/>
          <w:szCs w:val="24"/>
        </w:rPr>
        <w:t xml:space="preserve"> </w:t>
      </w:r>
      <w:r>
        <w:rPr>
          <w:rFonts w:ascii="Times New Roman" w:hAnsi="Times New Roman" w:cs="Times New Roman"/>
          <w:sz w:val="24"/>
          <w:szCs w:val="24"/>
        </w:rPr>
        <w:t>can</w:t>
      </w:r>
      <w:r w:rsidR="005A53BB">
        <w:rPr>
          <w:rFonts w:ascii="Times New Roman" w:hAnsi="Times New Roman" w:cs="Times New Roman"/>
          <w:sz w:val="24"/>
          <w:szCs w:val="24"/>
        </w:rPr>
        <w:t xml:space="preserve"> reduce unit costs for </w:t>
      </w:r>
      <w:r>
        <w:rPr>
          <w:rFonts w:ascii="Times New Roman" w:hAnsi="Times New Roman" w:cs="Times New Roman"/>
          <w:sz w:val="24"/>
          <w:szCs w:val="24"/>
        </w:rPr>
        <w:t xml:space="preserve">a </w:t>
      </w:r>
      <w:r w:rsidR="005A53BB">
        <w:rPr>
          <w:rFonts w:ascii="Times New Roman" w:hAnsi="Times New Roman" w:cs="Times New Roman"/>
          <w:sz w:val="24"/>
          <w:szCs w:val="24"/>
        </w:rPr>
        <w:t>given</w:t>
      </w:r>
      <w:r>
        <w:rPr>
          <w:rFonts w:ascii="Times New Roman" w:hAnsi="Times New Roman" w:cs="Times New Roman"/>
          <w:sz w:val="24"/>
          <w:szCs w:val="24"/>
        </w:rPr>
        <w:t>, existing</w:t>
      </w:r>
      <w:r w:rsidR="005A53BB">
        <w:rPr>
          <w:rFonts w:ascii="Times New Roman" w:hAnsi="Times New Roman" w:cs="Times New Roman"/>
          <w:sz w:val="24"/>
          <w:szCs w:val="24"/>
        </w:rPr>
        <w:t xml:space="preserve"> technology, but </w:t>
      </w:r>
      <w:r>
        <w:rPr>
          <w:rFonts w:ascii="Times New Roman" w:hAnsi="Times New Roman" w:cs="Times New Roman"/>
          <w:sz w:val="24"/>
          <w:szCs w:val="24"/>
        </w:rPr>
        <w:t xml:space="preserve">also have </w:t>
      </w:r>
      <w:r w:rsidR="005A53BB">
        <w:rPr>
          <w:rFonts w:ascii="Times New Roman" w:hAnsi="Times New Roman" w:cs="Times New Roman"/>
          <w:sz w:val="24"/>
          <w:szCs w:val="24"/>
        </w:rPr>
        <w:t xml:space="preserve">the simultaneous effect of reducing the number of </w:t>
      </w:r>
      <w:r>
        <w:rPr>
          <w:rFonts w:ascii="Times New Roman" w:hAnsi="Times New Roman" w:cs="Times New Roman"/>
          <w:sz w:val="24"/>
          <w:szCs w:val="24"/>
        </w:rPr>
        <w:t>‘</w:t>
      </w:r>
      <w:r w:rsidR="005A53BB">
        <w:rPr>
          <w:rFonts w:ascii="Times New Roman" w:hAnsi="Times New Roman" w:cs="Times New Roman"/>
          <w:sz w:val="24"/>
          <w:szCs w:val="24"/>
        </w:rPr>
        <w:t>competitors</w:t>
      </w:r>
      <w:r>
        <w:rPr>
          <w:rFonts w:ascii="Times New Roman" w:hAnsi="Times New Roman" w:cs="Times New Roman"/>
          <w:sz w:val="24"/>
          <w:szCs w:val="24"/>
        </w:rPr>
        <w:t>’</w:t>
      </w:r>
      <w:r w:rsidR="005A53BB">
        <w:rPr>
          <w:rFonts w:ascii="Times New Roman" w:hAnsi="Times New Roman" w:cs="Times New Roman"/>
          <w:sz w:val="24"/>
          <w:szCs w:val="24"/>
        </w:rPr>
        <w:t xml:space="preserve"> in a dynamic discovery proces</w:t>
      </w:r>
      <w:r w:rsidR="00835E14">
        <w:rPr>
          <w:rFonts w:ascii="Times New Roman" w:hAnsi="Times New Roman" w:cs="Times New Roman"/>
          <w:sz w:val="24"/>
          <w:szCs w:val="24"/>
        </w:rPr>
        <w:t>s, e.g.</w:t>
      </w:r>
      <w:r w:rsidR="005A53BB">
        <w:rPr>
          <w:rFonts w:ascii="Times New Roman" w:hAnsi="Times New Roman" w:cs="Times New Roman"/>
          <w:sz w:val="24"/>
          <w:szCs w:val="24"/>
        </w:rPr>
        <w:t xml:space="preserve"> </w:t>
      </w:r>
      <w:r w:rsidR="00835E14">
        <w:rPr>
          <w:rFonts w:ascii="Times New Roman" w:hAnsi="Times New Roman" w:cs="Times New Roman"/>
          <w:sz w:val="24"/>
          <w:szCs w:val="24"/>
        </w:rPr>
        <w:t>in a</w:t>
      </w:r>
      <w:r w:rsidR="005A53BB">
        <w:rPr>
          <w:rFonts w:ascii="Times New Roman" w:hAnsi="Times New Roman" w:cs="Times New Roman"/>
          <w:sz w:val="24"/>
          <w:szCs w:val="24"/>
        </w:rPr>
        <w:t xml:space="preserve"> search for new and better ways of doing things as</w:t>
      </w:r>
      <w:r w:rsidR="00835E14">
        <w:rPr>
          <w:rFonts w:ascii="Times New Roman" w:hAnsi="Times New Roman" w:cs="Times New Roman"/>
          <w:sz w:val="24"/>
          <w:szCs w:val="24"/>
        </w:rPr>
        <w:t xml:space="preserve"> </w:t>
      </w:r>
      <w:r w:rsidR="005A53BB">
        <w:rPr>
          <w:rFonts w:ascii="Times New Roman" w:hAnsi="Times New Roman" w:cs="Times New Roman"/>
          <w:sz w:val="24"/>
          <w:szCs w:val="24"/>
        </w:rPr>
        <w:t>solar panel and battery technologies develop</w:t>
      </w:r>
      <w:r w:rsidR="00835E14">
        <w:rPr>
          <w:rFonts w:ascii="Times New Roman" w:hAnsi="Times New Roman" w:cs="Times New Roman"/>
          <w:sz w:val="24"/>
          <w:szCs w:val="24"/>
        </w:rPr>
        <w:t xml:space="preserve">.  </w:t>
      </w:r>
      <w:r w:rsidR="005A53BB">
        <w:rPr>
          <w:rFonts w:ascii="Times New Roman" w:hAnsi="Times New Roman" w:cs="Times New Roman"/>
          <w:sz w:val="24"/>
          <w:szCs w:val="24"/>
        </w:rPr>
        <w:t xml:space="preserve">  </w:t>
      </w:r>
    </w:p>
    <w:p w14:paraId="607BD89D" w14:textId="4D8BA129" w:rsidR="00720CB9" w:rsidRPr="00A32448" w:rsidRDefault="00C36DA3" w:rsidP="001B195F">
      <w:pPr>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sz w:val="24"/>
          <w:szCs w:val="24"/>
        </w:rPr>
        <w:t>C7</w:t>
      </w:r>
      <w:r w:rsidR="005A53BB">
        <w:rPr>
          <w:rFonts w:ascii="Times New Roman" w:hAnsi="Times New Roman" w:cs="Times New Roman"/>
          <w:sz w:val="24"/>
          <w:szCs w:val="24"/>
        </w:rPr>
        <w:t xml:space="preserve"> misses this </w:t>
      </w:r>
      <w:r w:rsidR="000E4DBE">
        <w:rPr>
          <w:rFonts w:ascii="Times New Roman" w:hAnsi="Times New Roman" w:cs="Times New Roman"/>
          <w:sz w:val="24"/>
          <w:szCs w:val="24"/>
        </w:rPr>
        <w:t xml:space="preserve">‘discovery’ </w:t>
      </w:r>
      <w:r w:rsidR="005A53BB">
        <w:rPr>
          <w:rFonts w:ascii="Times New Roman" w:hAnsi="Times New Roman" w:cs="Times New Roman"/>
          <w:sz w:val="24"/>
          <w:szCs w:val="24"/>
        </w:rPr>
        <w:t>point entirely</w:t>
      </w:r>
      <w:r w:rsidR="007A3C09">
        <w:rPr>
          <w:rFonts w:ascii="Times New Roman" w:hAnsi="Times New Roman" w:cs="Times New Roman"/>
          <w:sz w:val="24"/>
          <w:szCs w:val="24"/>
        </w:rPr>
        <w:t xml:space="preserve"> and its discussion of the regulatory implications of potentially disruptive change is focused on a choice between </w:t>
      </w:r>
      <w:r w:rsidR="00031DAB">
        <w:rPr>
          <w:rFonts w:ascii="Times New Roman" w:hAnsi="Times New Roman" w:cs="Times New Roman"/>
          <w:sz w:val="24"/>
          <w:szCs w:val="24"/>
        </w:rPr>
        <w:t xml:space="preserve">two different business models that </w:t>
      </w:r>
      <w:r w:rsidR="00031DAB" w:rsidRPr="00031DAB">
        <w:rPr>
          <w:rFonts w:ascii="Times New Roman" w:hAnsi="Times New Roman" w:cs="Times New Roman"/>
          <w:i/>
          <w:sz w:val="24"/>
          <w:szCs w:val="24"/>
        </w:rPr>
        <w:t>“appear to be emerging”</w:t>
      </w:r>
      <w:r w:rsidR="00031DAB">
        <w:rPr>
          <w:rFonts w:ascii="Times New Roman" w:hAnsi="Times New Roman" w:cs="Times New Roman"/>
          <w:sz w:val="24"/>
          <w:szCs w:val="24"/>
        </w:rPr>
        <w:t xml:space="preserve">, the </w:t>
      </w:r>
      <w:r w:rsidR="009B1457">
        <w:rPr>
          <w:rFonts w:ascii="Times New Roman" w:hAnsi="Times New Roman" w:cs="Times New Roman"/>
          <w:sz w:val="24"/>
          <w:szCs w:val="24"/>
        </w:rPr>
        <w:t>“</w:t>
      </w:r>
      <w:r w:rsidR="00031DAB">
        <w:rPr>
          <w:rFonts w:ascii="Times New Roman" w:hAnsi="Times New Roman" w:cs="Times New Roman"/>
          <w:sz w:val="24"/>
          <w:szCs w:val="24"/>
        </w:rPr>
        <w:t>value-added services</w:t>
      </w:r>
      <w:r w:rsidR="009B1457">
        <w:rPr>
          <w:rFonts w:ascii="Times New Roman" w:hAnsi="Times New Roman" w:cs="Times New Roman"/>
          <w:sz w:val="24"/>
          <w:szCs w:val="24"/>
        </w:rPr>
        <w:t>”</w:t>
      </w:r>
      <w:r w:rsidR="00031DAB">
        <w:rPr>
          <w:rFonts w:ascii="Times New Roman" w:hAnsi="Times New Roman" w:cs="Times New Roman"/>
          <w:sz w:val="24"/>
          <w:szCs w:val="24"/>
        </w:rPr>
        <w:t xml:space="preserve"> model and the </w:t>
      </w:r>
      <w:r w:rsidR="009B1457">
        <w:rPr>
          <w:rFonts w:ascii="Times New Roman" w:hAnsi="Times New Roman" w:cs="Times New Roman"/>
          <w:sz w:val="24"/>
          <w:szCs w:val="24"/>
        </w:rPr>
        <w:t>“</w:t>
      </w:r>
      <w:r w:rsidR="00031DAB">
        <w:rPr>
          <w:rFonts w:ascii="Times New Roman" w:hAnsi="Times New Roman" w:cs="Times New Roman"/>
          <w:sz w:val="24"/>
          <w:szCs w:val="24"/>
        </w:rPr>
        <w:t>platform for services</w:t>
      </w:r>
      <w:r w:rsidR="009B1457">
        <w:rPr>
          <w:rFonts w:ascii="Times New Roman" w:hAnsi="Times New Roman" w:cs="Times New Roman"/>
          <w:sz w:val="24"/>
          <w:szCs w:val="24"/>
        </w:rPr>
        <w:t>”</w:t>
      </w:r>
      <w:r w:rsidR="00031DAB">
        <w:rPr>
          <w:rFonts w:ascii="Times New Roman" w:hAnsi="Times New Roman" w:cs="Times New Roman"/>
          <w:sz w:val="24"/>
          <w:szCs w:val="24"/>
        </w:rPr>
        <w:t xml:space="preserve"> model.  </w:t>
      </w:r>
      <w:r w:rsidR="00720CB9">
        <w:rPr>
          <w:rFonts w:ascii="Times New Roman" w:hAnsi="Times New Roman" w:cs="Times New Roman"/>
          <w:sz w:val="24"/>
          <w:szCs w:val="24"/>
        </w:rPr>
        <w:t>In the former the EDB is an active participant in related markets and activities, in the latter it is</w:t>
      </w:r>
      <w:r w:rsidR="009B1457">
        <w:rPr>
          <w:rFonts w:ascii="Times New Roman" w:hAnsi="Times New Roman" w:cs="Times New Roman"/>
          <w:sz w:val="24"/>
          <w:szCs w:val="24"/>
        </w:rPr>
        <w:t xml:space="preserve"> a</w:t>
      </w:r>
      <w:r w:rsidR="00720CB9">
        <w:rPr>
          <w:rFonts w:ascii="Times New Roman" w:hAnsi="Times New Roman" w:cs="Times New Roman"/>
          <w:sz w:val="24"/>
          <w:szCs w:val="24"/>
        </w:rPr>
        <w:t xml:space="preserve"> </w:t>
      </w:r>
      <w:r w:rsidR="00720CB9" w:rsidRPr="00720CB9">
        <w:rPr>
          <w:rFonts w:ascii="Times New Roman" w:hAnsi="Times New Roman" w:cs="Times New Roman"/>
          <w:sz w:val="24"/>
          <w:szCs w:val="24"/>
        </w:rPr>
        <w:t>‘neutral facilitator</w:t>
      </w:r>
      <w:r w:rsidR="00720CB9">
        <w:rPr>
          <w:rFonts w:ascii="Times New Roman" w:hAnsi="Times New Roman" w:cs="Times New Roman"/>
          <w:sz w:val="24"/>
          <w:szCs w:val="24"/>
        </w:rPr>
        <w:t xml:space="preserve">’ </w:t>
      </w:r>
      <w:r w:rsidR="009B1457">
        <w:rPr>
          <w:rFonts w:ascii="Times New Roman" w:hAnsi="Times New Roman" w:cs="Times New Roman"/>
          <w:sz w:val="24"/>
          <w:szCs w:val="24"/>
        </w:rPr>
        <w:t xml:space="preserve">of </w:t>
      </w:r>
      <w:r w:rsidR="00720CB9">
        <w:rPr>
          <w:rFonts w:ascii="Times New Roman" w:hAnsi="Times New Roman" w:cs="Times New Roman"/>
          <w:sz w:val="24"/>
          <w:szCs w:val="24"/>
        </w:rPr>
        <w:t xml:space="preserve">other markets and activities. </w:t>
      </w:r>
      <w:r w:rsidR="00031DAB">
        <w:rPr>
          <w:rFonts w:ascii="Times New Roman" w:hAnsi="Times New Roman" w:cs="Times New Roman"/>
          <w:sz w:val="24"/>
          <w:szCs w:val="24"/>
        </w:rPr>
        <w:t xml:space="preserve">These are, in effect, the alternatives that have been the focus of much past attention in liberalisation processes, revolving around the questions:  should activities be </w:t>
      </w:r>
      <w:r w:rsidR="0022774E">
        <w:rPr>
          <w:rFonts w:ascii="Times New Roman" w:hAnsi="Times New Roman" w:cs="Times New Roman"/>
          <w:sz w:val="24"/>
          <w:szCs w:val="24"/>
        </w:rPr>
        <w:t>unbundled,</w:t>
      </w:r>
      <w:r w:rsidR="00031DAB">
        <w:rPr>
          <w:rFonts w:ascii="Times New Roman" w:hAnsi="Times New Roman" w:cs="Times New Roman"/>
          <w:sz w:val="24"/>
          <w:szCs w:val="24"/>
        </w:rPr>
        <w:t xml:space="preserve"> and should monopolistic activities be ring-fenced?  They are the alternatives that have been considered by the Council of European Energy Regulators (CEER), which has come down </w:t>
      </w:r>
      <w:r w:rsidR="00720CB9">
        <w:rPr>
          <w:rFonts w:ascii="Times New Roman" w:hAnsi="Times New Roman" w:cs="Times New Roman"/>
          <w:sz w:val="24"/>
          <w:szCs w:val="24"/>
        </w:rPr>
        <w:t>in favour of the neutral facilitation approach</w:t>
      </w:r>
      <w:r w:rsidR="002D7BEC">
        <w:rPr>
          <w:rFonts w:ascii="Times New Roman" w:hAnsi="Times New Roman" w:cs="Times New Roman"/>
          <w:sz w:val="24"/>
          <w:szCs w:val="24"/>
        </w:rPr>
        <w:t>,</w:t>
      </w:r>
      <w:r w:rsidR="00720CB9">
        <w:rPr>
          <w:rFonts w:ascii="Times New Roman" w:hAnsi="Times New Roman" w:cs="Times New Roman"/>
          <w:sz w:val="24"/>
          <w:szCs w:val="24"/>
        </w:rPr>
        <w:t xml:space="preserve"> and C7, in effect, endorses this ch</w:t>
      </w:r>
      <w:r w:rsidR="000E4DBE">
        <w:rPr>
          <w:rFonts w:ascii="Times New Roman" w:hAnsi="Times New Roman" w:cs="Times New Roman"/>
          <w:sz w:val="24"/>
          <w:szCs w:val="24"/>
        </w:rPr>
        <w:t>oice</w:t>
      </w:r>
      <w:r w:rsidR="00720CB9">
        <w:rPr>
          <w:rFonts w:ascii="Times New Roman" w:hAnsi="Times New Roman" w:cs="Times New Roman"/>
          <w:sz w:val="24"/>
          <w:szCs w:val="24"/>
        </w:rPr>
        <w:t>.</w:t>
      </w:r>
      <w:r w:rsidR="00A32448">
        <w:rPr>
          <w:rFonts w:ascii="Times New Roman" w:hAnsi="Times New Roman" w:cs="Times New Roman"/>
          <w:sz w:val="24"/>
          <w:szCs w:val="24"/>
        </w:rPr>
        <w:t xml:space="preserve">  This </w:t>
      </w:r>
      <w:r w:rsidR="009B1457">
        <w:rPr>
          <w:rFonts w:ascii="Times New Roman" w:hAnsi="Times New Roman" w:cs="Times New Roman"/>
          <w:sz w:val="24"/>
          <w:szCs w:val="24"/>
        </w:rPr>
        <w:t xml:space="preserve">endorsement </w:t>
      </w:r>
      <w:r w:rsidR="00A32448">
        <w:rPr>
          <w:rFonts w:ascii="Times New Roman" w:hAnsi="Times New Roman" w:cs="Times New Roman"/>
          <w:sz w:val="24"/>
          <w:szCs w:val="24"/>
        </w:rPr>
        <w:t>is accompanied by a palpable sense of disappointment that the 2010 NZ legislation marked a (limited) shift away from retail unbundling</w:t>
      </w:r>
      <w:r w:rsidR="009B1457">
        <w:rPr>
          <w:rFonts w:ascii="Times New Roman" w:hAnsi="Times New Roman" w:cs="Times New Roman"/>
          <w:sz w:val="24"/>
          <w:szCs w:val="24"/>
        </w:rPr>
        <w:t xml:space="preserve"> in electricity supply</w:t>
      </w:r>
      <w:r w:rsidR="000E4DBE">
        <w:rPr>
          <w:rFonts w:ascii="Times New Roman" w:hAnsi="Times New Roman" w:cs="Times New Roman"/>
          <w:sz w:val="24"/>
          <w:szCs w:val="24"/>
        </w:rPr>
        <w:t xml:space="preserve">, whose attraction to the authors is that </w:t>
      </w:r>
      <w:r w:rsidR="00A32448">
        <w:rPr>
          <w:rFonts w:ascii="Times New Roman" w:hAnsi="Times New Roman" w:cs="Times New Roman"/>
          <w:sz w:val="24"/>
          <w:szCs w:val="24"/>
        </w:rPr>
        <w:t xml:space="preserve">it </w:t>
      </w:r>
      <w:r w:rsidR="00CF5BDC">
        <w:rPr>
          <w:rFonts w:ascii="Times New Roman" w:hAnsi="Times New Roman" w:cs="Times New Roman"/>
          <w:i/>
          <w:sz w:val="24"/>
          <w:szCs w:val="24"/>
        </w:rPr>
        <w:t>“</w:t>
      </w:r>
      <w:r w:rsidR="00A32448">
        <w:rPr>
          <w:rFonts w:ascii="Times New Roman" w:hAnsi="Times New Roman" w:cs="Times New Roman"/>
          <w:i/>
          <w:sz w:val="24"/>
          <w:szCs w:val="24"/>
        </w:rPr>
        <w:t xml:space="preserve">introduced the potential to efficiently and cost-effectively </w:t>
      </w:r>
      <w:r w:rsidR="00C849E4">
        <w:rPr>
          <w:rFonts w:ascii="Times New Roman" w:hAnsi="Times New Roman" w:cs="Times New Roman"/>
          <w:i/>
          <w:sz w:val="24"/>
          <w:szCs w:val="24"/>
        </w:rPr>
        <w:t>transit into a platform for services model.”</w:t>
      </w:r>
    </w:p>
    <w:p w14:paraId="352EB7DC" w14:textId="68119723" w:rsidR="009B1457" w:rsidRDefault="00720CB9"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This</w:t>
      </w:r>
      <w:r w:rsidR="00CF5BDC">
        <w:rPr>
          <w:rFonts w:ascii="Times New Roman" w:hAnsi="Times New Roman" w:cs="Times New Roman"/>
          <w:sz w:val="24"/>
          <w:szCs w:val="24"/>
        </w:rPr>
        <w:t xml:space="preserve"> presentation of a binary choice </w:t>
      </w:r>
      <w:r w:rsidR="009B1457">
        <w:rPr>
          <w:rFonts w:ascii="Times New Roman" w:hAnsi="Times New Roman" w:cs="Times New Roman"/>
          <w:sz w:val="24"/>
          <w:szCs w:val="24"/>
        </w:rPr>
        <w:t xml:space="preserve">between models </w:t>
      </w:r>
      <w:r>
        <w:rPr>
          <w:rFonts w:ascii="Times New Roman" w:hAnsi="Times New Roman" w:cs="Times New Roman"/>
          <w:sz w:val="24"/>
          <w:szCs w:val="24"/>
        </w:rPr>
        <w:t xml:space="preserve">does not really get to grips with the issue.  There are many potential business models that could emerge in the future </w:t>
      </w:r>
      <w:r w:rsidR="009B1457">
        <w:rPr>
          <w:rFonts w:ascii="Times New Roman" w:hAnsi="Times New Roman" w:cs="Times New Roman"/>
          <w:sz w:val="24"/>
          <w:szCs w:val="24"/>
        </w:rPr>
        <w:t>and the premature adoption of one, for the entirety of EDBs, would serve to put barriers in the way of the development of other, alternative ways of doing things, i.e. of institutional innovation.</w:t>
      </w:r>
    </w:p>
    <w:p w14:paraId="36E87BA8" w14:textId="6B1CD3B1" w:rsidR="007A3C09" w:rsidRDefault="009026A6"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general message is that what is required is experimentation and evidence gained from experimentation.  </w:t>
      </w:r>
      <w:r w:rsidR="006D410A">
        <w:rPr>
          <w:rFonts w:ascii="Times New Roman" w:hAnsi="Times New Roman" w:cs="Times New Roman"/>
          <w:sz w:val="24"/>
          <w:szCs w:val="24"/>
        </w:rPr>
        <w:t>Such experimentation is in progress in many jurisdictions around the world and it would, I think, have been of more value if C7, having examined the current state of play in NZ, had focused its attention rather more on providing information on those of the experiments that it judged likely to be most relevant for NZ thinking, preliminary though such evidence might be.  For example, in Box 7.1 (</w:t>
      </w:r>
      <w:r w:rsidR="009B1457">
        <w:rPr>
          <w:rFonts w:ascii="Times New Roman" w:hAnsi="Times New Roman" w:cs="Times New Roman"/>
          <w:sz w:val="24"/>
          <w:szCs w:val="24"/>
        </w:rPr>
        <w:t>‘</w:t>
      </w:r>
      <w:r w:rsidR="006D410A">
        <w:rPr>
          <w:rFonts w:ascii="Times New Roman" w:hAnsi="Times New Roman" w:cs="Times New Roman"/>
          <w:sz w:val="24"/>
          <w:szCs w:val="24"/>
        </w:rPr>
        <w:t>Changing business and regulatory models for distribution service operators (DSOs)</w:t>
      </w:r>
      <w:r w:rsidR="009B1457">
        <w:rPr>
          <w:rFonts w:ascii="Times New Roman" w:hAnsi="Times New Roman" w:cs="Times New Roman"/>
          <w:sz w:val="24"/>
          <w:szCs w:val="24"/>
        </w:rPr>
        <w:t>’</w:t>
      </w:r>
      <w:r w:rsidR="0022126F">
        <w:rPr>
          <w:rFonts w:ascii="Times New Roman" w:hAnsi="Times New Roman" w:cs="Times New Roman"/>
          <w:sz w:val="24"/>
          <w:szCs w:val="24"/>
        </w:rPr>
        <w:t>)</w:t>
      </w:r>
      <w:r w:rsidR="006D410A">
        <w:rPr>
          <w:rFonts w:ascii="Times New Roman" w:hAnsi="Times New Roman" w:cs="Times New Roman"/>
          <w:sz w:val="24"/>
          <w:szCs w:val="24"/>
        </w:rPr>
        <w:t xml:space="preserve"> </w:t>
      </w:r>
      <w:r w:rsidR="000E5471">
        <w:rPr>
          <w:rFonts w:ascii="Times New Roman" w:hAnsi="Times New Roman" w:cs="Times New Roman"/>
          <w:sz w:val="24"/>
          <w:szCs w:val="24"/>
        </w:rPr>
        <w:t xml:space="preserve">which </w:t>
      </w:r>
      <w:r w:rsidR="006D410A">
        <w:rPr>
          <w:rFonts w:ascii="Times New Roman" w:hAnsi="Times New Roman" w:cs="Times New Roman"/>
          <w:sz w:val="24"/>
          <w:szCs w:val="24"/>
        </w:rPr>
        <w:t xml:space="preserve">focused on the Nordic countries, there is nothing to be found that would assist with the question:  have </w:t>
      </w:r>
      <w:r w:rsidR="000E5471">
        <w:rPr>
          <w:rFonts w:ascii="Times New Roman" w:hAnsi="Times New Roman" w:cs="Times New Roman"/>
          <w:sz w:val="24"/>
          <w:szCs w:val="24"/>
        </w:rPr>
        <w:t xml:space="preserve">any of </w:t>
      </w:r>
      <w:r w:rsidR="006D410A">
        <w:rPr>
          <w:rFonts w:ascii="Times New Roman" w:hAnsi="Times New Roman" w:cs="Times New Roman"/>
          <w:sz w:val="24"/>
          <w:szCs w:val="24"/>
        </w:rPr>
        <w:t>the munic</w:t>
      </w:r>
      <w:r w:rsidR="000E5471">
        <w:rPr>
          <w:rFonts w:ascii="Times New Roman" w:hAnsi="Times New Roman" w:cs="Times New Roman"/>
          <w:sz w:val="24"/>
          <w:szCs w:val="24"/>
        </w:rPr>
        <w:t xml:space="preserve">ipally-owed DSOs (which account for about 75% of the total number of DSOs in Sweden) been trying new business models and, if so, </w:t>
      </w:r>
      <w:r w:rsidR="002D7BEC">
        <w:rPr>
          <w:rFonts w:ascii="Times New Roman" w:hAnsi="Times New Roman" w:cs="Times New Roman"/>
          <w:sz w:val="24"/>
          <w:szCs w:val="24"/>
        </w:rPr>
        <w:t xml:space="preserve">what are their characteristics and </w:t>
      </w:r>
      <w:r w:rsidR="000E5471">
        <w:rPr>
          <w:rFonts w:ascii="Times New Roman" w:hAnsi="Times New Roman" w:cs="Times New Roman"/>
          <w:sz w:val="24"/>
          <w:szCs w:val="24"/>
        </w:rPr>
        <w:t xml:space="preserve">how are things going? </w:t>
      </w:r>
    </w:p>
    <w:p w14:paraId="38AD6192" w14:textId="10707438" w:rsidR="0022126F" w:rsidRPr="00495239" w:rsidRDefault="0022126F" w:rsidP="001B195F">
      <w:pPr>
        <w:pStyle w:val="ListParagraph"/>
        <w:numPr>
          <w:ilvl w:val="0"/>
          <w:numId w:val="9"/>
        </w:numPr>
        <w:autoSpaceDE w:val="0"/>
        <w:autoSpaceDN w:val="0"/>
        <w:adjustRightInd w:val="0"/>
        <w:spacing w:line="276" w:lineRule="auto"/>
        <w:rPr>
          <w:rFonts w:ascii="Times New Roman" w:hAnsi="Times New Roman" w:cs="Times New Roman"/>
          <w:b/>
          <w:sz w:val="24"/>
          <w:szCs w:val="24"/>
        </w:rPr>
      </w:pPr>
      <w:r w:rsidRPr="00495239">
        <w:rPr>
          <w:rFonts w:ascii="Times New Roman" w:hAnsi="Times New Roman" w:cs="Times New Roman"/>
          <w:b/>
          <w:sz w:val="24"/>
          <w:szCs w:val="24"/>
        </w:rPr>
        <w:t>The suggestion of excessive fragmentation</w:t>
      </w:r>
      <w:r w:rsidR="00736695">
        <w:rPr>
          <w:rFonts w:ascii="Times New Roman" w:hAnsi="Times New Roman" w:cs="Times New Roman"/>
          <w:b/>
          <w:sz w:val="24"/>
          <w:szCs w:val="24"/>
        </w:rPr>
        <w:t xml:space="preserve"> of EDBs in New Zealand</w:t>
      </w:r>
    </w:p>
    <w:p w14:paraId="4EBBFF00" w14:textId="4C7AE58F" w:rsidR="002D7BEC"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Perhaps the oddest aspect of C7 is the suggestion that the structure of the NZ </w:t>
      </w:r>
      <w:r w:rsidR="009B1457">
        <w:rPr>
          <w:rFonts w:ascii="Times New Roman" w:hAnsi="Times New Roman" w:cs="Times New Roman"/>
          <w:sz w:val="24"/>
          <w:szCs w:val="24"/>
        </w:rPr>
        <w:t>elec</w:t>
      </w:r>
      <w:r w:rsidR="002D7BEC">
        <w:rPr>
          <w:rFonts w:ascii="Times New Roman" w:hAnsi="Times New Roman" w:cs="Times New Roman"/>
          <w:sz w:val="24"/>
          <w:szCs w:val="24"/>
        </w:rPr>
        <w:t>t</w:t>
      </w:r>
      <w:r w:rsidR="009B1457">
        <w:rPr>
          <w:rFonts w:ascii="Times New Roman" w:hAnsi="Times New Roman" w:cs="Times New Roman"/>
          <w:sz w:val="24"/>
          <w:szCs w:val="24"/>
        </w:rPr>
        <w:t xml:space="preserve">ricity </w:t>
      </w:r>
      <w:r>
        <w:rPr>
          <w:rFonts w:ascii="Times New Roman" w:hAnsi="Times New Roman" w:cs="Times New Roman"/>
          <w:sz w:val="24"/>
          <w:szCs w:val="24"/>
        </w:rPr>
        <w:t>distribution sector is unduly fragmented.  Thus</w:t>
      </w:r>
      <w:r w:rsidR="009B1457">
        <w:rPr>
          <w:rFonts w:ascii="Times New Roman" w:hAnsi="Times New Roman" w:cs="Times New Roman"/>
          <w:sz w:val="24"/>
          <w:szCs w:val="24"/>
        </w:rPr>
        <w:t>,</w:t>
      </w:r>
      <w:r>
        <w:rPr>
          <w:rFonts w:ascii="Times New Roman" w:hAnsi="Times New Roman" w:cs="Times New Roman"/>
          <w:sz w:val="24"/>
          <w:szCs w:val="24"/>
        </w:rPr>
        <w:t xml:space="preserve"> on page 148 it is said that: </w:t>
      </w:r>
    </w:p>
    <w:p w14:paraId="52EBE6D0" w14:textId="1C9659E3" w:rsidR="0022126F" w:rsidRDefault="0022126F" w:rsidP="001B195F">
      <w:pPr>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i/>
          <w:sz w:val="24"/>
          <w:szCs w:val="24"/>
        </w:rPr>
        <w:t>“At present, New Zealand’s distribution sector has a relatively large number of small distributors, many of which are constituted as community-owned trusts. The Controller and Auditor General recently concluded that those responsible for governing distributors generally possess the appropriate skills and experience to manage their core activities (Auditor General, 2016).</w:t>
      </w:r>
    </w:p>
    <w:p w14:paraId="61AF7EA6" w14:textId="77777777" w:rsidR="0022126F" w:rsidRPr="001F6AA3" w:rsidRDefault="0022126F" w:rsidP="001B195F">
      <w:pPr>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i/>
          <w:sz w:val="24"/>
          <w:szCs w:val="24"/>
        </w:rPr>
        <w:t>However, the nature of ownership and organisational governance, and the degree of fragmentation of the sector have given rise to a range of concerns about its capacity to deliver timely and efficient outcomes.  In particular, concerns have been raised about the sector’s capacity to effectively harness efficiencies associated with economies of scale, and to quickly and effectively respond to the fundamental sector transformation which may result from the deployment of distributed generation technologies and changing patterns of network use.”</w:t>
      </w:r>
    </w:p>
    <w:p w14:paraId="570A736A" w14:textId="17C4BA97"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Several of the general problems of C7 a</w:t>
      </w:r>
      <w:r w:rsidR="002D7BEC">
        <w:rPr>
          <w:rFonts w:ascii="Times New Roman" w:hAnsi="Times New Roman" w:cs="Times New Roman"/>
          <w:sz w:val="24"/>
          <w:szCs w:val="24"/>
        </w:rPr>
        <w:t>re</w:t>
      </w:r>
      <w:r>
        <w:rPr>
          <w:rFonts w:ascii="Times New Roman" w:hAnsi="Times New Roman" w:cs="Times New Roman"/>
          <w:sz w:val="24"/>
          <w:szCs w:val="24"/>
        </w:rPr>
        <w:t xml:space="preserve"> visible here.  Thus:</w:t>
      </w:r>
    </w:p>
    <w:p w14:paraId="5DD8F3EB" w14:textId="5649497E" w:rsidR="007A39B0" w:rsidRDefault="007A39B0" w:rsidP="001B195F">
      <w:pPr>
        <w:pStyle w:val="ListParagraph"/>
        <w:numPr>
          <w:ilvl w:val="0"/>
          <w:numId w:val="7"/>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Auditor General concluded that those responsible for governing EDBs possess the requisite management skills, but this is immediately set aside because unsourced and unparticularised ‘concerns’ have been raised that, </w:t>
      </w:r>
      <w:r w:rsidRPr="0022126F">
        <w:rPr>
          <w:rFonts w:ascii="Times New Roman" w:hAnsi="Times New Roman" w:cs="Times New Roman"/>
          <w:i/>
          <w:sz w:val="24"/>
          <w:szCs w:val="24"/>
        </w:rPr>
        <w:t>inter alia</w:t>
      </w:r>
      <w:r>
        <w:rPr>
          <w:rFonts w:ascii="Times New Roman" w:hAnsi="Times New Roman" w:cs="Times New Roman"/>
          <w:sz w:val="24"/>
          <w:szCs w:val="24"/>
        </w:rPr>
        <w:t xml:space="preserve">, fragmentation is a problem. But C7 doesn’t establish the existence of abnormal fragmentation, let alone substantiate that </w:t>
      </w:r>
      <w:r w:rsidR="00E42578">
        <w:rPr>
          <w:rFonts w:ascii="Times New Roman" w:hAnsi="Times New Roman" w:cs="Times New Roman"/>
          <w:sz w:val="24"/>
          <w:szCs w:val="24"/>
        </w:rPr>
        <w:t xml:space="preserve">it </w:t>
      </w:r>
      <w:r>
        <w:rPr>
          <w:rFonts w:ascii="Times New Roman" w:hAnsi="Times New Roman" w:cs="Times New Roman"/>
          <w:sz w:val="24"/>
          <w:szCs w:val="24"/>
        </w:rPr>
        <w:t>is a problem.</w:t>
      </w:r>
    </w:p>
    <w:p w14:paraId="13292389" w14:textId="3DB55682" w:rsidR="0022126F" w:rsidRDefault="0022126F" w:rsidP="001B195F">
      <w:pPr>
        <w:pStyle w:val="ListParagraph"/>
        <w:numPr>
          <w:ilvl w:val="0"/>
          <w:numId w:val="7"/>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There is an unspecified counterfactual</w:t>
      </w:r>
      <w:r w:rsidR="007A39B0">
        <w:rPr>
          <w:rFonts w:ascii="Times New Roman" w:hAnsi="Times New Roman" w:cs="Times New Roman"/>
          <w:sz w:val="24"/>
          <w:szCs w:val="24"/>
        </w:rPr>
        <w:t>:  there is</w:t>
      </w:r>
      <w:r>
        <w:rPr>
          <w:rFonts w:ascii="Times New Roman" w:hAnsi="Times New Roman" w:cs="Times New Roman"/>
          <w:sz w:val="24"/>
          <w:szCs w:val="24"/>
        </w:rPr>
        <w:t xml:space="preserve"> a claim </w:t>
      </w:r>
      <w:r w:rsidR="007A39B0">
        <w:rPr>
          <w:rFonts w:ascii="Times New Roman" w:hAnsi="Times New Roman" w:cs="Times New Roman"/>
          <w:sz w:val="24"/>
          <w:szCs w:val="24"/>
        </w:rPr>
        <w:t>of a</w:t>
      </w:r>
      <w:r>
        <w:rPr>
          <w:rFonts w:ascii="Times New Roman" w:hAnsi="Times New Roman" w:cs="Times New Roman"/>
          <w:sz w:val="24"/>
          <w:szCs w:val="24"/>
        </w:rPr>
        <w:t xml:space="preserve"> relatively large number of small distributors, but against what benchmark?  In relation to </w:t>
      </w:r>
      <w:r w:rsidR="007A39B0">
        <w:rPr>
          <w:rFonts w:ascii="Times New Roman" w:hAnsi="Times New Roman" w:cs="Times New Roman"/>
          <w:sz w:val="24"/>
          <w:szCs w:val="24"/>
        </w:rPr>
        <w:t xml:space="preserve">precisely </w:t>
      </w:r>
      <w:r>
        <w:rPr>
          <w:rFonts w:ascii="Times New Roman" w:hAnsi="Times New Roman" w:cs="Times New Roman"/>
          <w:sz w:val="24"/>
          <w:szCs w:val="24"/>
        </w:rPr>
        <w:t xml:space="preserve">what </w:t>
      </w:r>
      <w:r w:rsidR="00E42578">
        <w:rPr>
          <w:rFonts w:ascii="Times New Roman" w:hAnsi="Times New Roman" w:cs="Times New Roman"/>
          <w:sz w:val="24"/>
          <w:szCs w:val="24"/>
        </w:rPr>
        <w:t xml:space="preserve">alternative </w:t>
      </w:r>
      <w:r>
        <w:rPr>
          <w:rFonts w:ascii="Times New Roman" w:hAnsi="Times New Roman" w:cs="Times New Roman"/>
          <w:sz w:val="24"/>
          <w:szCs w:val="24"/>
        </w:rPr>
        <w:t xml:space="preserve">is the number </w:t>
      </w:r>
      <w:r>
        <w:rPr>
          <w:rFonts w:ascii="Times New Roman" w:hAnsi="Times New Roman" w:cs="Times New Roman"/>
          <w:i/>
          <w:sz w:val="24"/>
          <w:szCs w:val="24"/>
        </w:rPr>
        <w:t>relatively</w:t>
      </w:r>
      <w:r>
        <w:rPr>
          <w:rFonts w:ascii="Times New Roman" w:hAnsi="Times New Roman" w:cs="Times New Roman"/>
          <w:sz w:val="24"/>
          <w:szCs w:val="24"/>
        </w:rPr>
        <w:t xml:space="preserve"> large?</w:t>
      </w:r>
    </w:p>
    <w:p w14:paraId="6A9B5D3D" w14:textId="7A8E3790" w:rsidR="0022126F" w:rsidRDefault="0022126F" w:rsidP="001B195F">
      <w:pPr>
        <w:pStyle w:val="ListParagraph"/>
        <w:numPr>
          <w:ilvl w:val="0"/>
          <w:numId w:val="7"/>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economies of scale trope is repeated, but there is no substantiation that </w:t>
      </w:r>
      <w:r w:rsidR="00E42578">
        <w:rPr>
          <w:rFonts w:ascii="Times New Roman" w:hAnsi="Times New Roman" w:cs="Times New Roman"/>
          <w:sz w:val="24"/>
          <w:szCs w:val="24"/>
        </w:rPr>
        <w:t>such economies</w:t>
      </w:r>
      <w:r>
        <w:rPr>
          <w:rFonts w:ascii="Times New Roman" w:hAnsi="Times New Roman" w:cs="Times New Roman"/>
          <w:sz w:val="24"/>
          <w:szCs w:val="24"/>
        </w:rPr>
        <w:t xml:space="preserve"> exist in the relevant range of </w:t>
      </w:r>
      <w:r w:rsidR="00E42578">
        <w:rPr>
          <w:rFonts w:ascii="Times New Roman" w:hAnsi="Times New Roman" w:cs="Times New Roman"/>
          <w:sz w:val="24"/>
          <w:szCs w:val="24"/>
        </w:rPr>
        <w:t xml:space="preserve">business </w:t>
      </w:r>
      <w:r>
        <w:rPr>
          <w:rFonts w:ascii="Times New Roman" w:hAnsi="Times New Roman" w:cs="Times New Roman"/>
          <w:sz w:val="24"/>
          <w:szCs w:val="24"/>
        </w:rPr>
        <w:t>sizes (see further below).</w:t>
      </w:r>
    </w:p>
    <w:p w14:paraId="6554E771" w14:textId="0F5CE5AE" w:rsidR="0022126F" w:rsidRDefault="0022126F" w:rsidP="001B195F">
      <w:pPr>
        <w:pStyle w:val="ListParagraph"/>
        <w:numPr>
          <w:ilvl w:val="0"/>
          <w:numId w:val="7"/>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What is left is the </w:t>
      </w:r>
      <w:r w:rsidRPr="007F3614">
        <w:rPr>
          <w:rFonts w:ascii="Times New Roman" w:hAnsi="Times New Roman" w:cs="Times New Roman"/>
          <w:i/>
          <w:sz w:val="24"/>
          <w:szCs w:val="24"/>
        </w:rPr>
        <w:t>possibility</w:t>
      </w:r>
      <w:r>
        <w:rPr>
          <w:rFonts w:ascii="Times New Roman" w:hAnsi="Times New Roman" w:cs="Times New Roman"/>
          <w:sz w:val="24"/>
          <w:szCs w:val="24"/>
        </w:rPr>
        <w:t xml:space="preserve"> that small organisations may not be perform very well in the face of disruptive technological change (about which </w:t>
      </w:r>
      <w:r>
        <w:rPr>
          <w:rFonts w:ascii="Times New Roman" w:hAnsi="Times New Roman" w:cs="Times New Roman"/>
          <w:i/>
          <w:sz w:val="24"/>
          <w:szCs w:val="24"/>
        </w:rPr>
        <w:t>“</w:t>
      </w:r>
      <w:r w:rsidRPr="007F3614">
        <w:rPr>
          <w:rFonts w:ascii="Times New Roman" w:hAnsi="Times New Roman" w:cs="Times New Roman"/>
          <w:i/>
          <w:sz w:val="24"/>
          <w:szCs w:val="24"/>
        </w:rPr>
        <w:t>concerns have been raised</w:t>
      </w:r>
      <w:r>
        <w:rPr>
          <w:rFonts w:ascii="Times New Roman" w:hAnsi="Times New Roman" w:cs="Times New Roman"/>
          <w:i/>
          <w:sz w:val="24"/>
          <w:szCs w:val="24"/>
        </w:rPr>
        <w:t>”</w:t>
      </w:r>
      <w:r>
        <w:rPr>
          <w:rFonts w:ascii="Times New Roman" w:hAnsi="Times New Roman" w:cs="Times New Roman"/>
          <w:sz w:val="24"/>
          <w:szCs w:val="24"/>
        </w:rPr>
        <w:t xml:space="preserve">).  Anything is possible, of course, but the mammals didn’t do badly relative to the dinosaurs when the asteroid hit earth and </w:t>
      </w:r>
      <w:r w:rsidR="007A39B0">
        <w:rPr>
          <w:rFonts w:ascii="Times New Roman" w:hAnsi="Times New Roman" w:cs="Times New Roman"/>
          <w:sz w:val="24"/>
          <w:szCs w:val="24"/>
        </w:rPr>
        <w:t>there is</w:t>
      </w:r>
      <w:r>
        <w:rPr>
          <w:rFonts w:ascii="Times New Roman" w:hAnsi="Times New Roman" w:cs="Times New Roman"/>
          <w:sz w:val="24"/>
          <w:szCs w:val="24"/>
        </w:rPr>
        <w:t xml:space="preserve"> a strong</w:t>
      </w:r>
      <w:r w:rsidR="007A39B0">
        <w:rPr>
          <w:rFonts w:ascii="Times New Roman" w:hAnsi="Times New Roman" w:cs="Times New Roman"/>
          <w:sz w:val="24"/>
          <w:szCs w:val="24"/>
        </w:rPr>
        <w:t>, general case to the effect</w:t>
      </w:r>
      <w:r>
        <w:rPr>
          <w:rFonts w:ascii="Times New Roman" w:hAnsi="Times New Roman" w:cs="Times New Roman"/>
          <w:sz w:val="24"/>
          <w:szCs w:val="24"/>
        </w:rPr>
        <w:t xml:space="preserve"> that smaller organisations are typically quicker on their feet than large organisations</w:t>
      </w:r>
      <w:r w:rsidR="007A39B0">
        <w:rPr>
          <w:rFonts w:ascii="Times New Roman" w:hAnsi="Times New Roman" w:cs="Times New Roman"/>
          <w:sz w:val="24"/>
          <w:szCs w:val="24"/>
        </w:rPr>
        <w:t xml:space="preserve"> in coping with sharp changes in the economic environment</w:t>
      </w:r>
      <w:r>
        <w:rPr>
          <w:rFonts w:ascii="Times New Roman" w:hAnsi="Times New Roman" w:cs="Times New Roman"/>
          <w:sz w:val="24"/>
          <w:szCs w:val="24"/>
        </w:rPr>
        <w:t xml:space="preserve">.  </w:t>
      </w:r>
    </w:p>
    <w:p w14:paraId="7A68E687" w14:textId="4EE5E19A" w:rsidR="0022126F" w:rsidRDefault="007A39B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w:t>
      </w:r>
      <w:r w:rsidR="0022126F">
        <w:rPr>
          <w:rFonts w:ascii="Times New Roman" w:hAnsi="Times New Roman" w:cs="Times New Roman"/>
          <w:sz w:val="24"/>
          <w:szCs w:val="24"/>
        </w:rPr>
        <w:t xml:space="preserve">he fragmentation suggestion (the first bulleted point) </w:t>
      </w:r>
      <w:r>
        <w:rPr>
          <w:rFonts w:ascii="Times New Roman" w:hAnsi="Times New Roman" w:cs="Times New Roman"/>
          <w:sz w:val="24"/>
          <w:szCs w:val="24"/>
        </w:rPr>
        <w:t xml:space="preserve">can be dealt with relatively </w:t>
      </w:r>
      <w:r w:rsidR="0022126F">
        <w:rPr>
          <w:rFonts w:ascii="Times New Roman" w:hAnsi="Times New Roman" w:cs="Times New Roman"/>
          <w:sz w:val="24"/>
          <w:szCs w:val="24"/>
        </w:rPr>
        <w:t xml:space="preserve">quickly, since it is so obviously wrong.  One possible </w:t>
      </w:r>
      <w:r w:rsidR="00C853A2">
        <w:rPr>
          <w:rFonts w:ascii="Times New Roman" w:hAnsi="Times New Roman" w:cs="Times New Roman"/>
          <w:sz w:val="24"/>
          <w:szCs w:val="24"/>
        </w:rPr>
        <w:t>indicator</w:t>
      </w:r>
      <w:r w:rsidR="0022126F">
        <w:rPr>
          <w:rFonts w:ascii="Times New Roman" w:hAnsi="Times New Roman" w:cs="Times New Roman"/>
          <w:sz w:val="24"/>
          <w:szCs w:val="24"/>
        </w:rPr>
        <w:t xml:space="preserve"> is the ratio of the number of small EDBs to the number of large EDBs in a jurisdiction.  If this number were large in comparison with elsewhere in the world, it would be reasonable to say that NZ </w:t>
      </w:r>
      <w:r w:rsidR="0022126F" w:rsidRPr="00D253CD">
        <w:rPr>
          <w:rFonts w:ascii="Times New Roman" w:hAnsi="Times New Roman" w:cs="Times New Roman"/>
          <w:i/>
          <w:sz w:val="24"/>
          <w:szCs w:val="24"/>
        </w:rPr>
        <w:t>“has a relatively large number of small distributors”</w:t>
      </w:r>
      <w:r w:rsidR="0022126F">
        <w:rPr>
          <w:rFonts w:ascii="Times New Roman" w:hAnsi="Times New Roman" w:cs="Times New Roman"/>
          <w:sz w:val="24"/>
          <w:szCs w:val="24"/>
        </w:rPr>
        <w:t>.</w:t>
      </w:r>
    </w:p>
    <w:p w14:paraId="0CA80C8D" w14:textId="43F6DDDD"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Eurelect</w:t>
      </w:r>
      <w:r w:rsidR="00E42578">
        <w:rPr>
          <w:rFonts w:ascii="Times New Roman" w:hAnsi="Times New Roman" w:cs="Times New Roman"/>
          <w:sz w:val="24"/>
          <w:szCs w:val="24"/>
        </w:rPr>
        <w:t>r</w:t>
      </w:r>
      <w:r>
        <w:rPr>
          <w:rFonts w:ascii="Times New Roman" w:hAnsi="Times New Roman" w:cs="Times New Roman"/>
          <w:sz w:val="24"/>
          <w:szCs w:val="24"/>
        </w:rPr>
        <w:t>ic</w:t>
      </w:r>
      <w:proofErr w:type="spellEnd"/>
      <w:r>
        <w:rPr>
          <w:rFonts w:ascii="Times New Roman" w:hAnsi="Times New Roman" w:cs="Times New Roman"/>
          <w:sz w:val="24"/>
          <w:szCs w:val="24"/>
        </w:rPr>
        <w:t xml:space="preserve"> Report</w:t>
      </w:r>
      <w:r w:rsidR="0009180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gives statistics from which the </w:t>
      </w:r>
      <w:r w:rsidR="00C853A2">
        <w:rPr>
          <w:rFonts w:ascii="Times New Roman" w:hAnsi="Times New Roman" w:cs="Times New Roman"/>
          <w:sz w:val="24"/>
          <w:szCs w:val="24"/>
        </w:rPr>
        <w:t xml:space="preserve">relevant </w:t>
      </w:r>
      <w:r>
        <w:rPr>
          <w:rFonts w:ascii="Times New Roman" w:hAnsi="Times New Roman" w:cs="Times New Roman"/>
          <w:sz w:val="24"/>
          <w:szCs w:val="24"/>
        </w:rPr>
        <w:t xml:space="preserve">ratio or percentage can be calculated for European systems, at least on the basis of </w:t>
      </w:r>
      <w:proofErr w:type="spellStart"/>
      <w:r>
        <w:rPr>
          <w:rFonts w:ascii="Times New Roman" w:hAnsi="Times New Roman" w:cs="Times New Roman"/>
          <w:sz w:val="24"/>
          <w:szCs w:val="24"/>
        </w:rPr>
        <w:t>Eurelectric’s</w:t>
      </w:r>
      <w:proofErr w:type="spellEnd"/>
      <w:r>
        <w:rPr>
          <w:rFonts w:ascii="Times New Roman" w:hAnsi="Times New Roman" w:cs="Times New Roman"/>
          <w:sz w:val="24"/>
          <w:szCs w:val="24"/>
        </w:rPr>
        <w:t xml:space="preserve"> assumed dividing line between small and large </w:t>
      </w:r>
      <w:r w:rsidR="00C853A2">
        <w:rPr>
          <w:rFonts w:ascii="Times New Roman" w:hAnsi="Times New Roman" w:cs="Times New Roman"/>
          <w:sz w:val="24"/>
          <w:szCs w:val="24"/>
        </w:rPr>
        <w:t xml:space="preserve">distributors, </w:t>
      </w:r>
      <w:r w:rsidR="0009180C">
        <w:rPr>
          <w:rFonts w:ascii="Times New Roman" w:hAnsi="Times New Roman" w:cs="Times New Roman"/>
          <w:sz w:val="24"/>
          <w:szCs w:val="24"/>
        </w:rPr>
        <w:t>which is</w:t>
      </w:r>
      <w:r>
        <w:rPr>
          <w:rFonts w:ascii="Times New Roman" w:hAnsi="Times New Roman" w:cs="Times New Roman"/>
          <w:sz w:val="24"/>
          <w:szCs w:val="24"/>
        </w:rPr>
        <w:t xml:space="preserve"> 100,000 connections.  The percentage varies very considerably from country to country</w:t>
      </w:r>
      <w:r w:rsidR="0009180C">
        <w:rPr>
          <w:rFonts w:ascii="Times New Roman" w:hAnsi="Times New Roman" w:cs="Times New Roman"/>
          <w:sz w:val="24"/>
          <w:szCs w:val="24"/>
        </w:rPr>
        <w:t xml:space="preserve"> in Europe</w:t>
      </w:r>
      <w:r>
        <w:rPr>
          <w:rFonts w:ascii="Times New Roman" w:hAnsi="Times New Roman" w:cs="Times New Roman"/>
          <w:sz w:val="24"/>
          <w:szCs w:val="24"/>
        </w:rPr>
        <w:t xml:space="preserve">, largely in consequence of </w:t>
      </w:r>
      <w:r w:rsidR="0009180C">
        <w:rPr>
          <w:rFonts w:ascii="Times New Roman" w:hAnsi="Times New Roman" w:cs="Times New Roman"/>
          <w:sz w:val="24"/>
          <w:szCs w:val="24"/>
        </w:rPr>
        <w:t xml:space="preserve">different </w:t>
      </w:r>
      <w:r w:rsidR="00C853A2">
        <w:rPr>
          <w:rFonts w:ascii="Times New Roman" w:hAnsi="Times New Roman" w:cs="Times New Roman"/>
          <w:sz w:val="24"/>
          <w:szCs w:val="24"/>
        </w:rPr>
        <w:t xml:space="preserve">policy </w:t>
      </w:r>
      <w:r>
        <w:rPr>
          <w:rFonts w:ascii="Times New Roman" w:hAnsi="Times New Roman" w:cs="Times New Roman"/>
          <w:sz w:val="24"/>
          <w:szCs w:val="24"/>
        </w:rPr>
        <w:t>histor</w:t>
      </w:r>
      <w:r w:rsidR="0009180C">
        <w:rPr>
          <w:rFonts w:ascii="Times New Roman" w:hAnsi="Times New Roman" w:cs="Times New Roman"/>
          <w:sz w:val="24"/>
          <w:szCs w:val="24"/>
        </w:rPr>
        <w:t>ies</w:t>
      </w:r>
      <w:r>
        <w:rPr>
          <w:rFonts w:ascii="Times New Roman" w:hAnsi="Times New Roman" w:cs="Times New Roman"/>
          <w:sz w:val="24"/>
          <w:szCs w:val="24"/>
        </w:rPr>
        <w:t>.  For nine of the twenty</w:t>
      </w:r>
      <w:r w:rsidR="00C853A2">
        <w:rPr>
          <w:rFonts w:ascii="Times New Roman" w:hAnsi="Times New Roman" w:cs="Times New Roman"/>
          <w:sz w:val="24"/>
          <w:szCs w:val="24"/>
        </w:rPr>
        <w:t>-</w:t>
      </w:r>
      <w:r>
        <w:rPr>
          <w:rFonts w:ascii="Times New Roman" w:hAnsi="Times New Roman" w:cs="Times New Roman"/>
          <w:sz w:val="24"/>
          <w:szCs w:val="24"/>
        </w:rPr>
        <w:t>seven countries the ratio is zero (</w:t>
      </w:r>
      <w:r w:rsidR="00C853A2">
        <w:rPr>
          <w:rFonts w:ascii="Times New Roman" w:hAnsi="Times New Roman" w:cs="Times New Roman"/>
          <w:sz w:val="24"/>
          <w:szCs w:val="24"/>
        </w:rPr>
        <w:t xml:space="preserve">i.e. </w:t>
      </w:r>
      <w:r>
        <w:rPr>
          <w:rFonts w:ascii="Times New Roman" w:hAnsi="Times New Roman" w:cs="Times New Roman"/>
          <w:sz w:val="24"/>
          <w:szCs w:val="24"/>
        </w:rPr>
        <w:t xml:space="preserve">there are no small distributors), largely because of </w:t>
      </w:r>
      <w:r w:rsidR="00C853A2">
        <w:rPr>
          <w:rFonts w:ascii="Times New Roman" w:hAnsi="Times New Roman" w:cs="Times New Roman"/>
          <w:sz w:val="24"/>
          <w:szCs w:val="24"/>
        </w:rPr>
        <w:t xml:space="preserve">past </w:t>
      </w:r>
      <w:r>
        <w:rPr>
          <w:rFonts w:ascii="Times New Roman" w:hAnsi="Times New Roman" w:cs="Times New Roman"/>
          <w:sz w:val="24"/>
          <w:szCs w:val="24"/>
        </w:rPr>
        <w:t xml:space="preserve">policies </w:t>
      </w:r>
      <w:r w:rsidR="0009180C">
        <w:rPr>
          <w:rFonts w:ascii="Times New Roman" w:hAnsi="Times New Roman" w:cs="Times New Roman"/>
          <w:sz w:val="24"/>
          <w:szCs w:val="24"/>
        </w:rPr>
        <w:t xml:space="preserve">of </w:t>
      </w:r>
      <w:r>
        <w:rPr>
          <w:rFonts w:ascii="Times New Roman" w:hAnsi="Times New Roman" w:cs="Times New Roman"/>
          <w:sz w:val="24"/>
          <w:szCs w:val="24"/>
        </w:rPr>
        <w:t xml:space="preserve">nationalization (i.e. public ownership by the national government, not by local government) </w:t>
      </w:r>
      <w:r w:rsidR="0009180C">
        <w:rPr>
          <w:rFonts w:ascii="Times New Roman" w:hAnsi="Times New Roman" w:cs="Times New Roman"/>
          <w:sz w:val="24"/>
          <w:szCs w:val="24"/>
        </w:rPr>
        <w:t xml:space="preserve">adopted </w:t>
      </w:r>
      <w:r>
        <w:rPr>
          <w:rFonts w:ascii="Times New Roman" w:hAnsi="Times New Roman" w:cs="Times New Roman"/>
          <w:sz w:val="24"/>
          <w:szCs w:val="24"/>
        </w:rPr>
        <w:t>at various points in history.  The UK is one of these observations</w:t>
      </w:r>
      <w:r w:rsidR="00D83F3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it had over 500 electricity undertakings at the time of nationalization in 1948, </w:t>
      </w:r>
      <w:r w:rsidR="0009180C">
        <w:rPr>
          <w:rFonts w:ascii="Times New Roman" w:hAnsi="Times New Roman" w:cs="Times New Roman"/>
          <w:sz w:val="24"/>
          <w:szCs w:val="24"/>
        </w:rPr>
        <w:t xml:space="preserve">comprising </w:t>
      </w:r>
      <w:r>
        <w:rPr>
          <w:rFonts w:ascii="Times New Roman" w:hAnsi="Times New Roman" w:cs="Times New Roman"/>
          <w:sz w:val="24"/>
          <w:szCs w:val="24"/>
        </w:rPr>
        <w:t>a mix of private</w:t>
      </w:r>
      <w:r w:rsidR="0009180C">
        <w:rPr>
          <w:rFonts w:ascii="Times New Roman" w:hAnsi="Times New Roman" w:cs="Times New Roman"/>
          <w:sz w:val="24"/>
          <w:szCs w:val="24"/>
        </w:rPr>
        <w:t>ly</w:t>
      </w:r>
      <w:r>
        <w:rPr>
          <w:rFonts w:ascii="Times New Roman" w:hAnsi="Times New Roman" w:cs="Times New Roman"/>
          <w:sz w:val="24"/>
          <w:szCs w:val="24"/>
        </w:rPr>
        <w:t xml:space="preserve"> and municipal</w:t>
      </w:r>
      <w:r w:rsidR="0009180C">
        <w:rPr>
          <w:rFonts w:ascii="Times New Roman" w:hAnsi="Times New Roman" w:cs="Times New Roman"/>
          <w:sz w:val="24"/>
          <w:szCs w:val="24"/>
        </w:rPr>
        <w:t>ly owned utilities</w:t>
      </w:r>
      <w:r>
        <w:rPr>
          <w:rFonts w:ascii="Times New Roman" w:hAnsi="Times New Roman" w:cs="Times New Roman"/>
          <w:sz w:val="24"/>
          <w:szCs w:val="24"/>
        </w:rPr>
        <w:t>, but the number was then reduced to fifteen, fourteen of which had distribution responsibilities.  At the other end of the scale f</w:t>
      </w:r>
      <w:r w:rsidR="0009180C">
        <w:rPr>
          <w:rFonts w:ascii="Times New Roman" w:hAnsi="Times New Roman" w:cs="Times New Roman"/>
          <w:sz w:val="24"/>
          <w:szCs w:val="24"/>
        </w:rPr>
        <w:t>rom</w:t>
      </w:r>
      <w:r>
        <w:rPr>
          <w:rFonts w:ascii="Times New Roman" w:hAnsi="Times New Roman" w:cs="Times New Roman"/>
          <w:sz w:val="24"/>
          <w:szCs w:val="24"/>
        </w:rPr>
        <w:t xml:space="preserve"> the nine zeros are Spain and Italy:  In 2010, Spain had 68.8 small distributors for every large distributor, and Italy had 66.5   </w:t>
      </w:r>
    </w:p>
    <w:p w14:paraId="7229E403" w14:textId="322B4254"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With such a bifurcated history in the different jurisdictions, the median and mean European ratios differ substantially.  The best overall indicator is probably therefore simply the ratio of ‘small’ to ‘large’ </w:t>
      </w:r>
      <w:r w:rsidR="0009180C">
        <w:rPr>
          <w:rFonts w:ascii="Times New Roman" w:hAnsi="Times New Roman" w:cs="Times New Roman"/>
          <w:sz w:val="24"/>
          <w:szCs w:val="24"/>
        </w:rPr>
        <w:t xml:space="preserve">distributors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Eurelectric</w:t>
      </w:r>
      <w:proofErr w:type="spellEnd"/>
      <w:r>
        <w:rPr>
          <w:rFonts w:ascii="Times New Roman" w:hAnsi="Times New Roman" w:cs="Times New Roman"/>
          <w:sz w:val="24"/>
          <w:szCs w:val="24"/>
        </w:rPr>
        <w:t xml:space="preserve"> countries in aggregate.  Th</w:t>
      </w:r>
      <w:r w:rsidR="0009180C">
        <w:rPr>
          <w:rFonts w:ascii="Times New Roman" w:hAnsi="Times New Roman" w:cs="Times New Roman"/>
          <w:sz w:val="24"/>
          <w:szCs w:val="24"/>
        </w:rPr>
        <w:t>e ratio</w:t>
      </w:r>
      <w:r>
        <w:rPr>
          <w:rFonts w:ascii="Times New Roman" w:hAnsi="Times New Roman" w:cs="Times New Roman"/>
          <w:sz w:val="24"/>
          <w:szCs w:val="24"/>
        </w:rPr>
        <w:t xml:space="preserve"> is 12.7:  </w:t>
      </w:r>
      <w:r w:rsidR="00741A2E">
        <w:rPr>
          <w:rFonts w:ascii="Times New Roman" w:hAnsi="Times New Roman" w:cs="Times New Roman"/>
          <w:sz w:val="24"/>
          <w:szCs w:val="24"/>
        </w:rPr>
        <w:t>i.e.</w:t>
      </w:r>
      <w:r>
        <w:rPr>
          <w:rFonts w:ascii="Times New Roman" w:hAnsi="Times New Roman" w:cs="Times New Roman"/>
          <w:sz w:val="24"/>
          <w:szCs w:val="24"/>
        </w:rPr>
        <w:t xml:space="preserve"> in Europe there are 12.7 small distributors for every one large distributor.  If the nine zero observations were excluded, the ratio would increase to 20.7.  In NZ the ratio is 8.7.  Against these comparators, therefore, it can be said that NZ has a relatively </w:t>
      </w:r>
      <w:r w:rsidRPr="0009180C">
        <w:rPr>
          <w:rFonts w:ascii="Times New Roman" w:hAnsi="Times New Roman" w:cs="Times New Roman"/>
          <w:i/>
          <w:sz w:val="24"/>
          <w:szCs w:val="24"/>
        </w:rPr>
        <w:t>small</w:t>
      </w:r>
      <w:r>
        <w:rPr>
          <w:rFonts w:ascii="Times New Roman" w:hAnsi="Times New Roman" w:cs="Times New Roman"/>
          <w:sz w:val="24"/>
          <w:szCs w:val="24"/>
        </w:rPr>
        <w:t xml:space="preserve"> </w:t>
      </w:r>
      <w:r w:rsidR="0009180C">
        <w:rPr>
          <w:rFonts w:ascii="Times New Roman" w:hAnsi="Times New Roman" w:cs="Times New Roman"/>
          <w:sz w:val="24"/>
          <w:szCs w:val="24"/>
        </w:rPr>
        <w:t xml:space="preserve">(not large) </w:t>
      </w:r>
      <w:r>
        <w:rPr>
          <w:rFonts w:ascii="Times New Roman" w:hAnsi="Times New Roman" w:cs="Times New Roman"/>
          <w:sz w:val="24"/>
          <w:szCs w:val="24"/>
        </w:rPr>
        <w:t>number of small EDBs.</w:t>
      </w:r>
    </w:p>
    <w:p w14:paraId="1B057168" w14:textId="29CD7BD2"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For a less aggregated benchmark, my view is that the </w:t>
      </w:r>
      <w:r w:rsidR="0009180C">
        <w:rPr>
          <w:rFonts w:ascii="Times New Roman" w:hAnsi="Times New Roman" w:cs="Times New Roman"/>
          <w:sz w:val="24"/>
          <w:szCs w:val="24"/>
        </w:rPr>
        <w:t>most appropriate</w:t>
      </w:r>
      <w:r>
        <w:rPr>
          <w:rFonts w:ascii="Times New Roman" w:hAnsi="Times New Roman" w:cs="Times New Roman"/>
          <w:sz w:val="24"/>
          <w:szCs w:val="24"/>
        </w:rPr>
        <w:t xml:space="preserve"> comparator group </w:t>
      </w:r>
      <w:r w:rsidR="00741A2E">
        <w:rPr>
          <w:rFonts w:ascii="Times New Roman" w:hAnsi="Times New Roman" w:cs="Times New Roman"/>
          <w:sz w:val="24"/>
          <w:szCs w:val="24"/>
        </w:rPr>
        <w:t xml:space="preserve">of European nations </w:t>
      </w:r>
      <w:r>
        <w:rPr>
          <w:rFonts w:ascii="Times New Roman" w:hAnsi="Times New Roman" w:cs="Times New Roman"/>
          <w:sz w:val="24"/>
          <w:szCs w:val="24"/>
        </w:rPr>
        <w:t xml:space="preserve">for NZ is the set of Nordic countries (Denmark, Finland, Norway and Sweden), for a mix of reasons.  The </w:t>
      </w:r>
      <w:r w:rsidR="0009180C">
        <w:rPr>
          <w:rFonts w:ascii="Times New Roman" w:hAnsi="Times New Roman" w:cs="Times New Roman"/>
          <w:sz w:val="24"/>
          <w:szCs w:val="24"/>
        </w:rPr>
        <w:t xml:space="preserve">countries </w:t>
      </w:r>
      <w:r>
        <w:rPr>
          <w:rFonts w:ascii="Times New Roman" w:hAnsi="Times New Roman" w:cs="Times New Roman"/>
          <w:sz w:val="24"/>
          <w:szCs w:val="24"/>
        </w:rPr>
        <w:t>have a less broken poli</w:t>
      </w:r>
      <w:r w:rsidR="00E42578">
        <w:rPr>
          <w:rFonts w:ascii="Times New Roman" w:hAnsi="Times New Roman" w:cs="Times New Roman"/>
          <w:sz w:val="24"/>
          <w:szCs w:val="24"/>
        </w:rPr>
        <w:t>cy</w:t>
      </w:r>
      <w:r>
        <w:rPr>
          <w:rFonts w:ascii="Times New Roman" w:hAnsi="Times New Roman" w:cs="Times New Roman"/>
          <w:sz w:val="24"/>
          <w:szCs w:val="24"/>
        </w:rPr>
        <w:t xml:space="preserve"> history</w:t>
      </w:r>
      <w:r w:rsidR="00741A2E">
        <w:rPr>
          <w:rFonts w:ascii="Times New Roman" w:hAnsi="Times New Roman" w:cs="Times New Roman"/>
          <w:sz w:val="24"/>
          <w:szCs w:val="24"/>
        </w:rPr>
        <w:t xml:space="preserve"> </w:t>
      </w:r>
      <w:r w:rsidR="00E42578">
        <w:rPr>
          <w:rFonts w:ascii="Times New Roman" w:hAnsi="Times New Roman" w:cs="Times New Roman"/>
          <w:sz w:val="24"/>
          <w:szCs w:val="24"/>
        </w:rPr>
        <w:t xml:space="preserve">in energy </w:t>
      </w:r>
      <w:r w:rsidR="00741A2E">
        <w:rPr>
          <w:rFonts w:ascii="Times New Roman" w:hAnsi="Times New Roman" w:cs="Times New Roman"/>
          <w:sz w:val="24"/>
          <w:szCs w:val="24"/>
        </w:rPr>
        <w:t>than the UK or the Eastern European nations that have been subject to Soviet-type systems</w:t>
      </w:r>
      <w:r>
        <w:rPr>
          <w:rFonts w:ascii="Times New Roman" w:hAnsi="Times New Roman" w:cs="Times New Roman"/>
          <w:sz w:val="24"/>
          <w:szCs w:val="24"/>
        </w:rPr>
        <w:t>, the population density across the region is not dissimilar to NZ</w:t>
      </w:r>
      <w:r w:rsidR="0009180C">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741A2E">
        <w:rPr>
          <w:rFonts w:ascii="Times New Roman" w:hAnsi="Times New Roman" w:cs="Times New Roman"/>
          <w:sz w:val="24"/>
          <w:szCs w:val="24"/>
        </w:rPr>
        <w:t xml:space="preserve"> like NZ</w:t>
      </w:r>
      <w:r>
        <w:rPr>
          <w:rFonts w:ascii="Times New Roman" w:hAnsi="Times New Roman" w:cs="Times New Roman"/>
          <w:sz w:val="24"/>
          <w:szCs w:val="24"/>
        </w:rPr>
        <w:t xml:space="preserve"> there </w:t>
      </w:r>
      <w:r w:rsidR="00741A2E">
        <w:rPr>
          <w:rFonts w:ascii="Times New Roman" w:hAnsi="Times New Roman" w:cs="Times New Roman"/>
          <w:sz w:val="24"/>
          <w:szCs w:val="24"/>
        </w:rPr>
        <w:t xml:space="preserve">is a combination of a small number of large settlements and </w:t>
      </w:r>
      <w:r>
        <w:rPr>
          <w:rFonts w:ascii="Times New Roman" w:hAnsi="Times New Roman" w:cs="Times New Roman"/>
          <w:sz w:val="24"/>
          <w:szCs w:val="24"/>
        </w:rPr>
        <w:t xml:space="preserve">large </w:t>
      </w:r>
      <w:r w:rsidR="00741A2E">
        <w:rPr>
          <w:rFonts w:ascii="Times New Roman" w:hAnsi="Times New Roman" w:cs="Times New Roman"/>
          <w:sz w:val="24"/>
          <w:szCs w:val="24"/>
        </w:rPr>
        <w:t xml:space="preserve">land </w:t>
      </w:r>
      <w:r>
        <w:rPr>
          <w:rFonts w:ascii="Times New Roman" w:hAnsi="Times New Roman" w:cs="Times New Roman"/>
          <w:sz w:val="24"/>
          <w:szCs w:val="24"/>
        </w:rPr>
        <w:t xml:space="preserve">areas </w:t>
      </w:r>
      <w:r w:rsidR="00741A2E">
        <w:rPr>
          <w:rFonts w:ascii="Times New Roman" w:hAnsi="Times New Roman" w:cs="Times New Roman"/>
          <w:sz w:val="24"/>
          <w:szCs w:val="24"/>
        </w:rPr>
        <w:t xml:space="preserve">with </w:t>
      </w:r>
      <w:r>
        <w:rPr>
          <w:rFonts w:ascii="Times New Roman" w:hAnsi="Times New Roman" w:cs="Times New Roman"/>
          <w:sz w:val="24"/>
          <w:szCs w:val="24"/>
        </w:rPr>
        <w:t xml:space="preserve">low </w:t>
      </w:r>
      <w:r w:rsidR="00741A2E">
        <w:rPr>
          <w:rFonts w:ascii="Times New Roman" w:hAnsi="Times New Roman" w:cs="Times New Roman"/>
          <w:sz w:val="24"/>
          <w:szCs w:val="24"/>
        </w:rPr>
        <w:t xml:space="preserve">population </w:t>
      </w:r>
      <w:r>
        <w:rPr>
          <w:rFonts w:ascii="Times New Roman" w:hAnsi="Times New Roman" w:cs="Times New Roman"/>
          <w:sz w:val="24"/>
          <w:szCs w:val="24"/>
        </w:rPr>
        <w:t xml:space="preserve">density, the topography has some similarities </w:t>
      </w:r>
      <w:r w:rsidR="00A03C34">
        <w:rPr>
          <w:rFonts w:ascii="Times New Roman" w:hAnsi="Times New Roman" w:cs="Times New Roman"/>
          <w:sz w:val="24"/>
          <w:szCs w:val="24"/>
        </w:rPr>
        <w:t xml:space="preserve">to NZ </w:t>
      </w:r>
      <w:r>
        <w:rPr>
          <w:rFonts w:ascii="Times New Roman" w:hAnsi="Times New Roman" w:cs="Times New Roman"/>
          <w:sz w:val="24"/>
          <w:szCs w:val="24"/>
        </w:rPr>
        <w:t>(mountains, hills and flatter areas), the countries are economically advanced</w:t>
      </w:r>
      <w:r w:rsidR="00F35484">
        <w:rPr>
          <w:rFonts w:ascii="Times New Roman" w:hAnsi="Times New Roman" w:cs="Times New Roman"/>
          <w:sz w:val="24"/>
          <w:szCs w:val="24"/>
        </w:rPr>
        <w:t xml:space="preserve">, </w:t>
      </w:r>
      <w:r>
        <w:rPr>
          <w:rFonts w:ascii="Times New Roman" w:hAnsi="Times New Roman" w:cs="Times New Roman"/>
          <w:sz w:val="24"/>
          <w:szCs w:val="24"/>
        </w:rPr>
        <w:t xml:space="preserve">they were leaders in electricity sector liberalisation, and they are currently wrestling with the </w:t>
      </w:r>
      <w:r w:rsidR="00A03C34">
        <w:rPr>
          <w:rFonts w:ascii="Times New Roman" w:hAnsi="Times New Roman" w:cs="Times New Roman"/>
          <w:sz w:val="24"/>
          <w:szCs w:val="24"/>
        </w:rPr>
        <w:t xml:space="preserve">decarbonisation and technological change </w:t>
      </w:r>
      <w:r>
        <w:rPr>
          <w:rFonts w:ascii="Times New Roman" w:hAnsi="Times New Roman" w:cs="Times New Roman"/>
          <w:sz w:val="24"/>
          <w:szCs w:val="24"/>
        </w:rPr>
        <w:t>challenges identified by C7.  Indeed</w:t>
      </w:r>
      <w:r w:rsidR="00F35484">
        <w:rPr>
          <w:rFonts w:ascii="Times New Roman" w:hAnsi="Times New Roman" w:cs="Times New Roman"/>
          <w:sz w:val="24"/>
          <w:szCs w:val="24"/>
        </w:rPr>
        <w:t>,</w:t>
      </w:r>
      <w:r>
        <w:rPr>
          <w:rFonts w:ascii="Times New Roman" w:hAnsi="Times New Roman" w:cs="Times New Roman"/>
          <w:sz w:val="24"/>
          <w:szCs w:val="24"/>
        </w:rPr>
        <w:t xml:space="preserve"> Box 7.1</w:t>
      </w:r>
      <w:r w:rsidR="00F35484">
        <w:rPr>
          <w:rFonts w:ascii="Times New Roman" w:hAnsi="Times New Roman" w:cs="Times New Roman"/>
          <w:sz w:val="24"/>
          <w:szCs w:val="24"/>
        </w:rPr>
        <w:t xml:space="preserve"> of C7 is devoted to the Nordic area, </w:t>
      </w:r>
      <w:r>
        <w:rPr>
          <w:rFonts w:ascii="Times New Roman" w:hAnsi="Times New Roman" w:cs="Times New Roman"/>
          <w:sz w:val="24"/>
          <w:szCs w:val="24"/>
        </w:rPr>
        <w:t>with a</w:t>
      </w:r>
      <w:r w:rsidR="0022774E">
        <w:rPr>
          <w:rFonts w:ascii="Times New Roman" w:hAnsi="Times New Roman" w:cs="Times New Roman"/>
          <w:sz w:val="24"/>
          <w:szCs w:val="24"/>
        </w:rPr>
        <w:t xml:space="preserve">n </w:t>
      </w:r>
      <w:r>
        <w:rPr>
          <w:rFonts w:ascii="Times New Roman" w:hAnsi="Times New Roman" w:cs="Times New Roman"/>
          <w:sz w:val="24"/>
          <w:szCs w:val="24"/>
        </w:rPr>
        <w:t>emphasis on Sweden, and one of the IEA’s country reports in 2017 was for Norway.</w:t>
      </w:r>
      <w:r w:rsidR="00A03C34">
        <w:rPr>
          <w:rFonts w:ascii="Times New Roman" w:hAnsi="Times New Roman" w:cs="Times New Roman"/>
          <w:sz w:val="24"/>
          <w:szCs w:val="24"/>
        </w:rPr>
        <w:t xml:space="preserve">  </w:t>
      </w:r>
    </w:p>
    <w:p w14:paraId="32C9096F" w14:textId="0FE0DA86"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This last point makes the conclusion </w:t>
      </w:r>
      <w:r w:rsidR="00F35484">
        <w:rPr>
          <w:rFonts w:ascii="Times New Roman" w:hAnsi="Times New Roman" w:cs="Times New Roman"/>
          <w:sz w:val="24"/>
          <w:szCs w:val="24"/>
        </w:rPr>
        <w:t>on fragmentation i</w:t>
      </w:r>
      <w:r w:rsidR="00A03C34">
        <w:rPr>
          <w:rFonts w:ascii="Times New Roman" w:hAnsi="Times New Roman" w:cs="Times New Roman"/>
          <w:sz w:val="24"/>
          <w:szCs w:val="24"/>
        </w:rPr>
        <w:t xml:space="preserve">n C7 </w:t>
      </w:r>
      <w:r>
        <w:rPr>
          <w:rFonts w:ascii="Times New Roman" w:hAnsi="Times New Roman" w:cs="Times New Roman"/>
          <w:sz w:val="24"/>
          <w:szCs w:val="24"/>
        </w:rPr>
        <w:t xml:space="preserve">all the stranger.  The </w:t>
      </w:r>
      <w:proofErr w:type="spellStart"/>
      <w:r>
        <w:rPr>
          <w:rFonts w:ascii="Times New Roman" w:hAnsi="Times New Roman" w:cs="Times New Roman"/>
          <w:sz w:val="24"/>
          <w:szCs w:val="24"/>
        </w:rPr>
        <w:t>Eurelectric</w:t>
      </w:r>
      <w:proofErr w:type="spellEnd"/>
      <w:r>
        <w:rPr>
          <w:rFonts w:ascii="Times New Roman" w:hAnsi="Times New Roman" w:cs="Times New Roman"/>
          <w:sz w:val="24"/>
          <w:szCs w:val="24"/>
        </w:rPr>
        <w:t xml:space="preserve"> data </w:t>
      </w:r>
      <w:r w:rsidR="00A03C34">
        <w:rPr>
          <w:rFonts w:ascii="Times New Roman" w:hAnsi="Times New Roman" w:cs="Times New Roman"/>
          <w:sz w:val="24"/>
          <w:szCs w:val="24"/>
        </w:rPr>
        <w:t>(for 2010</w:t>
      </w:r>
      <w:r w:rsidR="00F35484">
        <w:rPr>
          <w:rFonts w:ascii="Times New Roman" w:hAnsi="Times New Roman" w:cs="Times New Roman"/>
          <w:sz w:val="24"/>
          <w:szCs w:val="24"/>
        </w:rPr>
        <w:t>, the last year of a complete record</w:t>
      </w:r>
      <w:r w:rsidR="00A03C34">
        <w:rPr>
          <w:rFonts w:ascii="Times New Roman" w:hAnsi="Times New Roman" w:cs="Times New Roman"/>
          <w:sz w:val="24"/>
          <w:szCs w:val="24"/>
        </w:rPr>
        <w:t xml:space="preserve">) </w:t>
      </w:r>
      <w:r>
        <w:rPr>
          <w:rFonts w:ascii="Times New Roman" w:hAnsi="Times New Roman" w:cs="Times New Roman"/>
          <w:sz w:val="24"/>
          <w:szCs w:val="24"/>
        </w:rPr>
        <w:t xml:space="preserve">for the four countries in aggregate </w:t>
      </w:r>
      <w:r w:rsidR="00F35484">
        <w:rPr>
          <w:rFonts w:ascii="Times New Roman" w:hAnsi="Times New Roman" w:cs="Times New Roman"/>
          <w:sz w:val="24"/>
          <w:szCs w:val="24"/>
        </w:rPr>
        <w:t>is shown below</w:t>
      </w:r>
      <w:r>
        <w:rPr>
          <w:rFonts w:ascii="Times New Roman" w:hAnsi="Times New Roman" w:cs="Times New Roman"/>
          <w:sz w:val="24"/>
          <w:szCs w:val="24"/>
        </w:rPr>
        <w:t>, together with comparable</w:t>
      </w:r>
      <w:r w:rsidR="00B57E64">
        <w:rPr>
          <w:rFonts w:ascii="Times New Roman" w:hAnsi="Times New Roman" w:cs="Times New Roman"/>
          <w:sz w:val="24"/>
          <w:szCs w:val="24"/>
        </w:rPr>
        <w:t xml:space="preserve">, but more recent, </w:t>
      </w:r>
      <w:r>
        <w:rPr>
          <w:rFonts w:ascii="Times New Roman" w:hAnsi="Times New Roman" w:cs="Times New Roman"/>
          <w:sz w:val="24"/>
          <w:szCs w:val="24"/>
        </w:rPr>
        <w:t>NZ numbers taken from C7</w:t>
      </w:r>
      <w:r w:rsidR="00F35484">
        <w:rPr>
          <w:rFonts w:ascii="Times New Roman" w:hAnsi="Times New Roman" w:cs="Times New Roman"/>
          <w:sz w:val="24"/>
          <w:szCs w:val="24"/>
        </w:rPr>
        <w:t xml:space="preserve">, but with </w:t>
      </w:r>
      <w:r w:rsidR="00B57E64">
        <w:rPr>
          <w:rFonts w:ascii="Times New Roman" w:hAnsi="Times New Roman" w:cs="Times New Roman"/>
          <w:sz w:val="24"/>
          <w:szCs w:val="24"/>
        </w:rPr>
        <w:t>population</w:t>
      </w:r>
      <w:r>
        <w:rPr>
          <w:rFonts w:ascii="Times New Roman" w:hAnsi="Times New Roman" w:cs="Times New Roman"/>
          <w:sz w:val="24"/>
          <w:szCs w:val="24"/>
        </w:rPr>
        <w:t xml:space="preserve"> density</w:t>
      </w:r>
      <w:r w:rsidR="00B57E64">
        <w:rPr>
          <w:rFonts w:ascii="Times New Roman" w:hAnsi="Times New Roman" w:cs="Times New Roman"/>
          <w:sz w:val="24"/>
          <w:szCs w:val="24"/>
        </w:rPr>
        <w:t xml:space="preserve"> </w:t>
      </w:r>
      <w:r w:rsidR="00F35484">
        <w:rPr>
          <w:rFonts w:ascii="Times New Roman" w:hAnsi="Times New Roman" w:cs="Times New Roman"/>
          <w:sz w:val="24"/>
          <w:szCs w:val="24"/>
        </w:rPr>
        <w:t>for</w:t>
      </w:r>
      <w:r w:rsidR="00B57E64">
        <w:rPr>
          <w:rFonts w:ascii="Times New Roman" w:hAnsi="Times New Roman" w:cs="Times New Roman"/>
          <w:sz w:val="24"/>
          <w:szCs w:val="24"/>
        </w:rPr>
        <w:t xml:space="preserve"> 2010</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28"/>
        <w:gridCol w:w="1569"/>
        <w:gridCol w:w="1560"/>
        <w:gridCol w:w="1984"/>
        <w:gridCol w:w="2075"/>
      </w:tblGrid>
      <w:tr w:rsidR="00A03C34" w14:paraId="097ADB9F" w14:textId="77777777" w:rsidTr="00B57E64">
        <w:tc>
          <w:tcPr>
            <w:tcW w:w="1828" w:type="dxa"/>
          </w:tcPr>
          <w:p w14:paraId="54D13AE8" w14:textId="77777777" w:rsidR="00A03C34" w:rsidRDefault="00A03C34" w:rsidP="001B195F">
            <w:pPr>
              <w:autoSpaceDE w:val="0"/>
              <w:autoSpaceDN w:val="0"/>
              <w:adjustRightInd w:val="0"/>
              <w:spacing w:line="276" w:lineRule="auto"/>
              <w:rPr>
                <w:rFonts w:ascii="Times New Roman" w:hAnsi="Times New Roman" w:cs="Times New Roman"/>
                <w:sz w:val="24"/>
                <w:szCs w:val="24"/>
              </w:rPr>
            </w:pPr>
          </w:p>
        </w:tc>
        <w:tc>
          <w:tcPr>
            <w:tcW w:w="1569" w:type="dxa"/>
          </w:tcPr>
          <w:p w14:paraId="79CDBEBA" w14:textId="747BC9F0"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Population density (per </w:t>
            </w:r>
            <w:proofErr w:type="spellStart"/>
            <w:r>
              <w:rPr>
                <w:rFonts w:ascii="Times New Roman" w:hAnsi="Times New Roman" w:cs="Times New Roman"/>
                <w:sz w:val="24"/>
                <w:szCs w:val="24"/>
              </w:rPr>
              <w:t>sqkm</w:t>
            </w:r>
            <w:proofErr w:type="spellEnd"/>
            <w:r>
              <w:rPr>
                <w:rFonts w:ascii="Times New Roman" w:hAnsi="Times New Roman" w:cs="Times New Roman"/>
                <w:sz w:val="24"/>
                <w:szCs w:val="24"/>
              </w:rPr>
              <w:t>)</w:t>
            </w:r>
          </w:p>
        </w:tc>
        <w:tc>
          <w:tcPr>
            <w:tcW w:w="1560" w:type="dxa"/>
          </w:tcPr>
          <w:p w14:paraId="5AE5A668" w14:textId="37EF54DA"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Number of EDBs</w:t>
            </w:r>
          </w:p>
        </w:tc>
        <w:tc>
          <w:tcPr>
            <w:tcW w:w="1984" w:type="dxa"/>
          </w:tcPr>
          <w:p w14:paraId="651AEDB7" w14:textId="7AEC6B84"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Number of small EDBs per large EDB</w:t>
            </w:r>
          </w:p>
        </w:tc>
        <w:tc>
          <w:tcPr>
            <w:tcW w:w="2075" w:type="dxa"/>
          </w:tcPr>
          <w:p w14:paraId="551E60F8" w14:textId="5AE2C64D"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Average connections per EDB</w:t>
            </w:r>
            <w:r w:rsidR="00B57E64">
              <w:rPr>
                <w:rFonts w:ascii="Times New Roman" w:hAnsi="Times New Roman" w:cs="Times New Roman"/>
                <w:sz w:val="24"/>
                <w:szCs w:val="24"/>
              </w:rPr>
              <w:t xml:space="preserve"> (thousands)</w:t>
            </w:r>
            <w:r>
              <w:rPr>
                <w:rStyle w:val="FootnoteReference"/>
                <w:rFonts w:ascii="Times New Roman" w:hAnsi="Times New Roman" w:cs="Times New Roman"/>
                <w:sz w:val="24"/>
                <w:szCs w:val="24"/>
              </w:rPr>
              <w:footnoteReference w:id="4"/>
            </w:r>
          </w:p>
        </w:tc>
      </w:tr>
      <w:tr w:rsidR="00A03C34" w14:paraId="1AA25A86" w14:textId="77777777" w:rsidTr="00B57E64">
        <w:tc>
          <w:tcPr>
            <w:tcW w:w="1828" w:type="dxa"/>
          </w:tcPr>
          <w:p w14:paraId="494807DA" w14:textId="77777777"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Nordic countries</w:t>
            </w:r>
          </w:p>
        </w:tc>
        <w:tc>
          <w:tcPr>
            <w:tcW w:w="1569" w:type="dxa"/>
          </w:tcPr>
          <w:p w14:paraId="6B620CA9" w14:textId="7942FBDB"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20.7</w:t>
            </w:r>
          </w:p>
        </w:tc>
        <w:tc>
          <w:tcPr>
            <w:tcW w:w="1560" w:type="dxa"/>
          </w:tcPr>
          <w:p w14:paraId="70A8103E" w14:textId="7F479E9B" w:rsidR="00A03C34" w:rsidRDefault="00B57E6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481</w:t>
            </w:r>
          </w:p>
        </w:tc>
        <w:tc>
          <w:tcPr>
            <w:tcW w:w="1984" w:type="dxa"/>
          </w:tcPr>
          <w:p w14:paraId="2B8CA0C3" w14:textId="1925EBF6" w:rsidR="00A03C34" w:rsidRDefault="000F415B"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17.5  </w:t>
            </w:r>
            <w:r>
              <w:rPr>
                <w:rStyle w:val="FootnoteReference"/>
                <w:rFonts w:ascii="Times New Roman" w:hAnsi="Times New Roman" w:cs="Times New Roman"/>
                <w:sz w:val="24"/>
                <w:szCs w:val="24"/>
              </w:rPr>
              <w:footnoteReference w:id="5"/>
            </w:r>
          </w:p>
        </w:tc>
        <w:tc>
          <w:tcPr>
            <w:tcW w:w="2075" w:type="dxa"/>
          </w:tcPr>
          <w:p w14:paraId="4D002BEF" w14:textId="535E5FEE" w:rsidR="00A03C34" w:rsidRDefault="00B57E6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30.8</w:t>
            </w:r>
          </w:p>
        </w:tc>
      </w:tr>
      <w:tr w:rsidR="00A03C34" w14:paraId="111FCD57" w14:textId="77777777" w:rsidTr="00B57E64">
        <w:tc>
          <w:tcPr>
            <w:tcW w:w="1828" w:type="dxa"/>
          </w:tcPr>
          <w:p w14:paraId="61779354" w14:textId="77777777"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New Zealand</w:t>
            </w:r>
          </w:p>
        </w:tc>
        <w:tc>
          <w:tcPr>
            <w:tcW w:w="1569" w:type="dxa"/>
          </w:tcPr>
          <w:p w14:paraId="435BF6C0" w14:textId="73917042"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16.2</w:t>
            </w:r>
          </w:p>
        </w:tc>
        <w:tc>
          <w:tcPr>
            <w:tcW w:w="1560" w:type="dxa"/>
          </w:tcPr>
          <w:p w14:paraId="3616C4F1" w14:textId="01FE5E6A" w:rsidR="00A03C34" w:rsidRDefault="00A03C3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1984" w:type="dxa"/>
          </w:tcPr>
          <w:p w14:paraId="3A15F98B" w14:textId="7F4E2A58" w:rsidR="00A03C34" w:rsidRDefault="00B57E6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8.7</w:t>
            </w:r>
          </w:p>
        </w:tc>
        <w:tc>
          <w:tcPr>
            <w:tcW w:w="2075" w:type="dxa"/>
          </w:tcPr>
          <w:p w14:paraId="78132282" w14:textId="48DE654B" w:rsidR="00A03C34" w:rsidRDefault="00B57E6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80.5</w:t>
            </w:r>
          </w:p>
        </w:tc>
      </w:tr>
    </w:tbl>
    <w:p w14:paraId="0C153CAE" w14:textId="77777777" w:rsidR="0022126F" w:rsidRDefault="0022126F" w:rsidP="001B195F">
      <w:pPr>
        <w:autoSpaceDE w:val="0"/>
        <w:autoSpaceDN w:val="0"/>
        <w:adjustRightInd w:val="0"/>
        <w:spacing w:line="276" w:lineRule="auto"/>
        <w:rPr>
          <w:rFonts w:ascii="Times New Roman" w:hAnsi="Times New Roman" w:cs="Times New Roman"/>
          <w:sz w:val="24"/>
          <w:szCs w:val="24"/>
        </w:rPr>
      </w:pPr>
    </w:p>
    <w:p w14:paraId="73687C5C" w14:textId="2841A98B" w:rsidR="004F1BED" w:rsidRDefault="004F1BED"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Intra-</w:t>
      </w:r>
      <w:r w:rsidR="00F35484">
        <w:rPr>
          <w:rFonts w:ascii="Times New Roman" w:hAnsi="Times New Roman" w:cs="Times New Roman"/>
          <w:sz w:val="24"/>
          <w:szCs w:val="24"/>
        </w:rPr>
        <w:t>N</w:t>
      </w:r>
      <w:r>
        <w:rPr>
          <w:rFonts w:ascii="Times New Roman" w:hAnsi="Times New Roman" w:cs="Times New Roman"/>
          <w:sz w:val="24"/>
          <w:szCs w:val="24"/>
        </w:rPr>
        <w:t>ordic differences in the numb</w:t>
      </w:r>
      <w:r w:rsidR="00F35484">
        <w:rPr>
          <w:rFonts w:ascii="Times New Roman" w:hAnsi="Times New Roman" w:cs="Times New Roman"/>
          <w:sz w:val="24"/>
          <w:szCs w:val="24"/>
        </w:rPr>
        <w:t xml:space="preserve">ers </w:t>
      </w:r>
      <w:r w:rsidR="00E42578">
        <w:rPr>
          <w:rFonts w:ascii="Times New Roman" w:hAnsi="Times New Roman" w:cs="Times New Roman"/>
          <w:sz w:val="24"/>
          <w:szCs w:val="24"/>
        </w:rPr>
        <w:t xml:space="preserve">shown in </w:t>
      </w:r>
      <w:r>
        <w:rPr>
          <w:rFonts w:ascii="Times New Roman" w:hAnsi="Times New Roman" w:cs="Times New Roman"/>
          <w:sz w:val="24"/>
          <w:szCs w:val="24"/>
        </w:rPr>
        <w:t xml:space="preserve">the last three columns </w:t>
      </w:r>
      <w:r w:rsidR="00F35484">
        <w:rPr>
          <w:rFonts w:ascii="Times New Roman" w:hAnsi="Times New Roman" w:cs="Times New Roman"/>
          <w:sz w:val="24"/>
          <w:szCs w:val="24"/>
        </w:rPr>
        <w:t>are</w:t>
      </w:r>
      <w:r w:rsidR="00F238B6">
        <w:rPr>
          <w:rFonts w:ascii="Times New Roman" w:hAnsi="Times New Roman" w:cs="Times New Roman"/>
          <w:sz w:val="24"/>
          <w:szCs w:val="24"/>
        </w:rPr>
        <w:t xml:space="preserve"> </w:t>
      </w:r>
      <w:r w:rsidR="00E42578">
        <w:rPr>
          <w:rFonts w:ascii="Times New Roman" w:hAnsi="Times New Roman" w:cs="Times New Roman"/>
          <w:sz w:val="24"/>
          <w:szCs w:val="24"/>
        </w:rPr>
        <w:t>exhibited</w:t>
      </w:r>
      <w:r w:rsidR="00F238B6">
        <w:rPr>
          <w:rFonts w:ascii="Times New Roman" w:hAnsi="Times New Roman" w:cs="Times New Roman"/>
          <w:sz w:val="24"/>
          <w:szCs w:val="24"/>
        </w:rPr>
        <w:t xml:space="preserve"> in the charts below</w:t>
      </w:r>
      <w:r>
        <w:rPr>
          <w:rFonts w:ascii="Times New Roman" w:hAnsi="Times New Roman" w:cs="Times New Roman"/>
          <w:sz w:val="24"/>
          <w:szCs w:val="24"/>
        </w:rPr>
        <w:t>, which also include a chart showing the average land area per distributor.</w:t>
      </w:r>
    </w:p>
    <w:p w14:paraId="4CE1027A" w14:textId="363BD2CF" w:rsidR="00FB4696" w:rsidRDefault="00FB4696" w:rsidP="001B195F">
      <w:pPr>
        <w:autoSpaceDE w:val="0"/>
        <w:autoSpaceDN w:val="0"/>
        <w:adjustRightInd w:val="0"/>
        <w:spacing w:line="276" w:lineRule="auto"/>
        <w:rPr>
          <w:rFonts w:ascii="Times New Roman" w:hAnsi="Times New Roman" w:cs="Times New Roman"/>
          <w:sz w:val="24"/>
          <w:szCs w:val="24"/>
        </w:rPr>
      </w:pPr>
    </w:p>
    <w:p w14:paraId="2BAAE9DE" w14:textId="77777777" w:rsidR="001B5CB8" w:rsidRDefault="001B5CB8" w:rsidP="001B195F">
      <w:pPr>
        <w:autoSpaceDE w:val="0"/>
        <w:autoSpaceDN w:val="0"/>
        <w:adjustRightInd w:val="0"/>
        <w:spacing w:line="276" w:lineRule="auto"/>
        <w:rPr>
          <w:rFonts w:ascii="Times New Roman" w:hAnsi="Times New Roman" w:cs="Times New Roman"/>
          <w:sz w:val="24"/>
          <w:szCs w:val="24"/>
        </w:rPr>
        <w:sectPr w:rsidR="001B5CB8">
          <w:footerReference w:type="default" r:id="rId8"/>
          <w:pgSz w:w="11906" w:h="16838"/>
          <w:pgMar w:top="1440" w:right="1440" w:bottom="1440" w:left="1440" w:header="708" w:footer="708" w:gutter="0"/>
          <w:cols w:space="708"/>
          <w:docGrid w:linePitch="360"/>
        </w:sectPr>
      </w:pPr>
    </w:p>
    <w:p w14:paraId="71C1C1AE" w14:textId="7980FD1B" w:rsidR="00F238B6" w:rsidRDefault="00F238B6" w:rsidP="001B195F">
      <w:pPr>
        <w:autoSpaceDE w:val="0"/>
        <w:autoSpaceDN w:val="0"/>
        <w:adjustRightInd w:val="0"/>
        <w:spacing w:line="276" w:lineRule="auto"/>
        <w:rPr>
          <w:rFonts w:ascii="Times New Roman" w:hAnsi="Times New Roman" w:cs="Times New Roman"/>
          <w:sz w:val="24"/>
          <w:szCs w:val="24"/>
        </w:rPr>
      </w:pPr>
      <w:r>
        <w:rPr>
          <w:noProof/>
          <w:lang w:val="en-US"/>
        </w:rPr>
        <w:drawing>
          <wp:inline distT="0" distB="0" distL="0" distR="0" wp14:anchorId="4634D3DF" wp14:editId="1EFC9890">
            <wp:extent cx="4572000" cy="2743200"/>
            <wp:effectExtent l="0" t="0" r="0" b="0"/>
            <wp:docPr id="21" name="Chart 21">
              <a:extLst xmlns:a="http://schemas.openxmlformats.org/drawingml/2006/main">
                <a:ext uri="{FF2B5EF4-FFF2-40B4-BE49-F238E27FC236}">
                  <a16:creationId xmlns:a16="http://schemas.microsoft.com/office/drawing/2014/main" id="{9CD442D7-6269-4B2A-AAF8-FBEA9F869A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7AED24" w14:textId="00129590" w:rsidR="00F238B6" w:rsidRDefault="007E7FF0" w:rsidP="001B195F">
      <w:pPr>
        <w:autoSpaceDE w:val="0"/>
        <w:autoSpaceDN w:val="0"/>
        <w:adjustRightInd w:val="0"/>
        <w:spacing w:line="276" w:lineRule="auto"/>
        <w:rPr>
          <w:rFonts w:ascii="Times New Roman" w:hAnsi="Times New Roman" w:cs="Times New Roman"/>
          <w:sz w:val="24"/>
          <w:szCs w:val="24"/>
        </w:rPr>
      </w:pPr>
      <w:r>
        <w:rPr>
          <w:noProof/>
          <w:lang w:val="en-US"/>
        </w:rPr>
        <w:drawing>
          <wp:inline distT="0" distB="0" distL="0" distR="0" wp14:anchorId="640057DA" wp14:editId="7C373C48">
            <wp:extent cx="4572000" cy="2743200"/>
            <wp:effectExtent l="0" t="0" r="0" b="0"/>
            <wp:docPr id="41" name="Chart 41">
              <a:extLst xmlns:a="http://schemas.openxmlformats.org/drawingml/2006/main">
                <a:ext uri="{FF2B5EF4-FFF2-40B4-BE49-F238E27FC236}">
                  <a16:creationId xmlns:a16="http://schemas.microsoft.com/office/drawing/2014/main" id="{DA77C5CC-3273-4E97-8E02-48C8411C54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C8BEBD" w14:textId="39B9BAC3" w:rsidR="00F238B6" w:rsidRDefault="001B5CB8" w:rsidP="001B195F">
      <w:pPr>
        <w:autoSpaceDE w:val="0"/>
        <w:autoSpaceDN w:val="0"/>
        <w:adjustRightInd w:val="0"/>
        <w:spacing w:line="276" w:lineRule="auto"/>
        <w:rPr>
          <w:rFonts w:ascii="Times New Roman" w:hAnsi="Times New Roman" w:cs="Times New Roman"/>
          <w:sz w:val="24"/>
          <w:szCs w:val="24"/>
        </w:rPr>
      </w:pPr>
      <w:r>
        <w:rPr>
          <w:noProof/>
          <w:lang w:val="en-US"/>
        </w:rPr>
        <w:drawing>
          <wp:inline distT="0" distB="0" distL="0" distR="0" wp14:anchorId="253E9193" wp14:editId="11D1217B">
            <wp:extent cx="4572000" cy="2743200"/>
            <wp:effectExtent l="0" t="0" r="0" b="0"/>
            <wp:docPr id="16" name="Chart 16">
              <a:extLst xmlns:a="http://schemas.openxmlformats.org/drawingml/2006/main">
                <a:ext uri="{FF2B5EF4-FFF2-40B4-BE49-F238E27FC236}">
                  <a16:creationId xmlns:a16="http://schemas.microsoft.com/office/drawing/2014/main" id="{3F08ED7D-45AC-4906-8E2A-0D65BC0C9D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5055B4" w14:textId="77777777" w:rsidR="001B5CB8" w:rsidRDefault="001B5CB8" w:rsidP="001B195F">
      <w:pPr>
        <w:autoSpaceDE w:val="0"/>
        <w:autoSpaceDN w:val="0"/>
        <w:adjustRightInd w:val="0"/>
        <w:spacing w:line="276" w:lineRule="auto"/>
        <w:rPr>
          <w:rFonts w:ascii="Times New Roman" w:hAnsi="Times New Roman" w:cs="Times New Roman"/>
          <w:sz w:val="24"/>
          <w:szCs w:val="24"/>
        </w:rPr>
      </w:pPr>
    </w:p>
    <w:p w14:paraId="20E6B88C" w14:textId="383CD39E" w:rsidR="0033716A" w:rsidRDefault="0033716A"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B4696">
        <w:rPr>
          <w:noProof/>
          <w:lang w:val="en-US"/>
        </w:rPr>
        <w:drawing>
          <wp:inline distT="0" distB="0" distL="0" distR="0" wp14:anchorId="108F1ECE" wp14:editId="515EA2E9">
            <wp:extent cx="4524375" cy="2700471"/>
            <wp:effectExtent l="0" t="0" r="9525" b="5080"/>
            <wp:docPr id="18" name="Chart 18">
              <a:extLst xmlns:a="http://schemas.openxmlformats.org/drawingml/2006/main">
                <a:ext uri="{FF2B5EF4-FFF2-40B4-BE49-F238E27FC236}">
                  <a16:creationId xmlns:a16="http://schemas.microsoft.com/office/drawing/2014/main" id="{B5BB5074-76F9-4E12-887F-C572ECF062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hAnsi="Times New Roman" w:cs="Times New Roman"/>
          <w:sz w:val="24"/>
          <w:szCs w:val="24"/>
        </w:rPr>
        <w:t xml:space="preserve"> </w:t>
      </w:r>
    </w:p>
    <w:p w14:paraId="221E98C1" w14:textId="77777777" w:rsidR="001B195F" w:rsidRDefault="001B195F" w:rsidP="001B195F">
      <w:pPr>
        <w:autoSpaceDE w:val="0"/>
        <w:autoSpaceDN w:val="0"/>
        <w:adjustRightInd w:val="0"/>
        <w:spacing w:line="276" w:lineRule="auto"/>
        <w:rPr>
          <w:rFonts w:ascii="Times New Roman" w:hAnsi="Times New Roman" w:cs="Times New Roman"/>
          <w:sz w:val="24"/>
          <w:szCs w:val="24"/>
        </w:rPr>
      </w:pPr>
    </w:p>
    <w:p w14:paraId="7D5A9120" w14:textId="31D060CE" w:rsidR="00F35484" w:rsidRDefault="00F3548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Points to note are:</w:t>
      </w:r>
    </w:p>
    <w:p w14:paraId="0C055951" w14:textId="10E284D6" w:rsidR="00F35484" w:rsidRPr="001B5CB8" w:rsidRDefault="00F35484" w:rsidP="001B195F">
      <w:pPr>
        <w:pStyle w:val="ListParagraph"/>
        <w:numPr>
          <w:ilvl w:val="0"/>
          <w:numId w:val="8"/>
        </w:numPr>
        <w:autoSpaceDE w:val="0"/>
        <w:autoSpaceDN w:val="0"/>
        <w:adjustRightInd w:val="0"/>
        <w:spacing w:line="276" w:lineRule="auto"/>
        <w:rPr>
          <w:rFonts w:ascii="Times New Roman" w:hAnsi="Times New Roman" w:cs="Times New Roman"/>
          <w:sz w:val="24"/>
          <w:szCs w:val="24"/>
        </w:rPr>
      </w:pPr>
      <w:r w:rsidRPr="001B5CB8">
        <w:rPr>
          <w:rFonts w:ascii="Times New Roman" w:hAnsi="Times New Roman" w:cs="Times New Roman"/>
          <w:sz w:val="24"/>
          <w:szCs w:val="24"/>
        </w:rPr>
        <w:t>Although the population of the Nordic countries was around six times higher than</w:t>
      </w:r>
      <w:r w:rsidR="001B5CB8" w:rsidRPr="001B5CB8">
        <w:rPr>
          <w:rFonts w:ascii="Times New Roman" w:hAnsi="Times New Roman" w:cs="Times New Roman"/>
          <w:sz w:val="24"/>
          <w:szCs w:val="24"/>
        </w:rPr>
        <w:t xml:space="preserve"> </w:t>
      </w:r>
      <w:r w:rsidRPr="001B5CB8">
        <w:rPr>
          <w:rFonts w:ascii="Times New Roman" w:hAnsi="Times New Roman" w:cs="Times New Roman"/>
          <w:sz w:val="24"/>
          <w:szCs w:val="24"/>
        </w:rPr>
        <w:t>that of NZ in 2010, the number of distributors was over sixteen times higher.  The disparity is particularly large for Norway and Sweden.</w:t>
      </w:r>
    </w:p>
    <w:p w14:paraId="44402DED" w14:textId="275E91DD" w:rsidR="00F35484" w:rsidRDefault="00F35484" w:rsidP="001B195F">
      <w:pPr>
        <w:pStyle w:val="ListParagraph"/>
        <w:numPr>
          <w:ilvl w:val="0"/>
          <w:numId w:val="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number of small </w:t>
      </w:r>
      <w:r w:rsidR="001C54DC">
        <w:rPr>
          <w:rFonts w:ascii="Times New Roman" w:hAnsi="Times New Roman" w:cs="Times New Roman"/>
          <w:sz w:val="24"/>
          <w:szCs w:val="24"/>
        </w:rPr>
        <w:t>distributors</w:t>
      </w:r>
      <w:r>
        <w:rPr>
          <w:rFonts w:ascii="Times New Roman" w:hAnsi="Times New Roman" w:cs="Times New Roman"/>
          <w:sz w:val="24"/>
          <w:szCs w:val="24"/>
        </w:rPr>
        <w:t xml:space="preserve"> in NZ is relatively low.  It is lower than </w:t>
      </w:r>
      <w:r w:rsidR="00602031">
        <w:rPr>
          <w:rFonts w:ascii="Times New Roman" w:hAnsi="Times New Roman" w:cs="Times New Roman"/>
          <w:sz w:val="24"/>
          <w:szCs w:val="24"/>
        </w:rPr>
        <w:t xml:space="preserve">for </w:t>
      </w:r>
      <w:r>
        <w:rPr>
          <w:rFonts w:ascii="Times New Roman" w:hAnsi="Times New Roman" w:cs="Times New Roman"/>
          <w:sz w:val="24"/>
          <w:szCs w:val="24"/>
        </w:rPr>
        <w:t>all four comparators and particularly low when compared with Norway and Sweden.</w:t>
      </w:r>
    </w:p>
    <w:p w14:paraId="6D2EAB18" w14:textId="471387AC" w:rsidR="00F35484" w:rsidRDefault="00F35484" w:rsidP="001B195F">
      <w:pPr>
        <w:pStyle w:val="ListParagraph"/>
        <w:numPr>
          <w:ilvl w:val="0"/>
          <w:numId w:val="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Relative to the Nordic comparators, the average size of a NZ EDB is substantially larger than in each of the four other countries.</w:t>
      </w:r>
    </w:p>
    <w:p w14:paraId="3266BB4B" w14:textId="77777777" w:rsidR="00F35484" w:rsidRDefault="00F35484" w:rsidP="001B195F">
      <w:pPr>
        <w:pStyle w:val="ListParagraph"/>
        <w:numPr>
          <w:ilvl w:val="0"/>
          <w:numId w:val="8"/>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If size is measured in land area covered, the disparity is even greater,</w:t>
      </w:r>
    </w:p>
    <w:p w14:paraId="75B8CE3F" w14:textId="115D5F81" w:rsidR="00F35484" w:rsidRPr="002C1230" w:rsidRDefault="00F35484"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conclusion can only be that the structure of electricity distribution in NZ is </w:t>
      </w:r>
      <w:r w:rsidR="006131BE">
        <w:rPr>
          <w:rFonts w:ascii="Times New Roman" w:hAnsi="Times New Roman" w:cs="Times New Roman"/>
          <w:sz w:val="24"/>
          <w:szCs w:val="24"/>
        </w:rPr>
        <w:t xml:space="preserve">substantially </w:t>
      </w:r>
      <w:r w:rsidRPr="006131BE">
        <w:rPr>
          <w:rFonts w:ascii="Times New Roman" w:hAnsi="Times New Roman" w:cs="Times New Roman"/>
          <w:i/>
          <w:sz w:val="24"/>
          <w:szCs w:val="24"/>
        </w:rPr>
        <w:t>less</w:t>
      </w:r>
      <w:r>
        <w:rPr>
          <w:rFonts w:ascii="Times New Roman" w:hAnsi="Times New Roman" w:cs="Times New Roman"/>
          <w:sz w:val="24"/>
          <w:szCs w:val="24"/>
        </w:rPr>
        <w:t xml:space="preserve"> fragmented than in the Nordic countries.  Nor are these countries unique in leading to this conclusion. A similar view would be reached in comparisons with, say, Germany, Italy and Spain (although not with, say, the UK and the Republic of Ireland).</w:t>
      </w:r>
    </w:p>
    <w:p w14:paraId="4D0A2D13" w14:textId="25FB6A7C" w:rsidR="0033716A" w:rsidRPr="00495239" w:rsidRDefault="005B5D60" w:rsidP="001B195F">
      <w:pPr>
        <w:pStyle w:val="ListParagraph"/>
        <w:numPr>
          <w:ilvl w:val="0"/>
          <w:numId w:val="9"/>
        </w:numPr>
        <w:autoSpaceDE w:val="0"/>
        <w:autoSpaceDN w:val="0"/>
        <w:adjustRightInd w:val="0"/>
        <w:spacing w:line="276" w:lineRule="auto"/>
        <w:rPr>
          <w:rFonts w:ascii="Times New Roman" w:hAnsi="Times New Roman" w:cs="Times New Roman"/>
          <w:b/>
          <w:sz w:val="24"/>
          <w:szCs w:val="24"/>
        </w:rPr>
      </w:pPr>
      <w:r w:rsidRPr="00495239">
        <w:rPr>
          <w:rFonts w:ascii="Times New Roman" w:hAnsi="Times New Roman" w:cs="Times New Roman"/>
          <w:b/>
          <w:sz w:val="24"/>
          <w:szCs w:val="24"/>
        </w:rPr>
        <w:t>Economies of scale</w:t>
      </w:r>
      <w:r w:rsidR="00495239">
        <w:rPr>
          <w:rFonts w:ascii="Times New Roman" w:hAnsi="Times New Roman" w:cs="Times New Roman"/>
          <w:b/>
          <w:sz w:val="24"/>
          <w:szCs w:val="24"/>
        </w:rPr>
        <w:t xml:space="preserve"> in electricity distribution</w:t>
      </w:r>
    </w:p>
    <w:p w14:paraId="1697BF33" w14:textId="440B4E51" w:rsidR="005B5D60"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Running throughout the Review Chapter is the notion that EDBs are subject to economies of scale and that there would be benefits from amalgamation</w:t>
      </w:r>
      <w:r w:rsidR="005B5D60">
        <w:rPr>
          <w:rFonts w:ascii="Times New Roman" w:hAnsi="Times New Roman" w:cs="Times New Roman"/>
          <w:sz w:val="24"/>
          <w:szCs w:val="24"/>
        </w:rPr>
        <w:t xml:space="preserve"> or some other form of consolidation</w:t>
      </w:r>
      <w:r w:rsidR="00602031">
        <w:rPr>
          <w:rFonts w:ascii="Times New Roman" w:hAnsi="Times New Roman" w:cs="Times New Roman"/>
          <w:sz w:val="24"/>
          <w:szCs w:val="24"/>
        </w:rPr>
        <w:t>,</w:t>
      </w:r>
      <w:r w:rsidR="005B5D60">
        <w:rPr>
          <w:rFonts w:ascii="Times New Roman" w:hAnsi="Times New Roman" w:cs="Times New Roman"/>
          <w:sz w:val="24"/>
          <w:szCs w:val="24"/>
        </w:rPr>
        <w:t xml:space="preserve"> particularly </w:t>
      </w:r>
      <w:r w:rsidR="00602031">
        <w:rPr>
          <w:rFonts w:ascii="Times New Roman" w:hAnsi="Times New Roman" w:cs="Times New Roman"/>
          <w:sz w:val="24"/>
          <w:szCs w:val="24"/>
        </w:rPr>
        <w:t>in</w:t>
      </w:r>
      <w:r w:rsidR="005B5D60">
        <w:rPr>
          <w:rFonts w:ascii="Times New Roman" w:hAnsi="Times New Roman" w:cs="Times New Roman"/>
          <w:sz w:val="24"/>
          <w:szCs w:val="24"/>
        </w:rPr>
        <w:t xml:space="preserve"> the management and financing of the distributors.</w:t>
      </w:r>
    </w:p>
    <w:p w14:paraId="2EE79E19" w14:textId="16526002" w:rsidR="00065838" w:rsidRDefault="005B5D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In fact, the concept of economies of scale is not a simple one in the context of electricity distribution, although this is not discussed at all in C7.  In </w:t>
      </w:r>
      <w:r w:rsidR="00065838">
        <w:rPr>
          <w:rFonts w:ascii="Times New Roman" w:hAnsi="Times New Roman" w:cs="Times New Roman"/>
          <w:sz w:val="24"/>
          <w:szCs w:val="24"/>
        </w:rPr>
        <w:t xml:space="preserve">reality, EDBs are </w:t>
      </w:r>
      <w:r w:rsidR="00065838" w:rsidRPr="005B5D60">
        <w:rPr>
          <w:rFonts w:ascii="Times New Roman" w:hAnsi="Times New Roman" w:cs="Times New Roman"/>
          <w:i/>
          <w:sz w:val="24"/>
          <w:szCs w:val="24"/>
        </w:rPr>
        <w:t xml:space="preserve">multiproduct </w:t>
      </w:r>
      <w:r w:rsidR="00065838">
        <w:rPr>
          <w:rFonts w:ascii="Times New Roman" w:hAnsi="Times New Roman" w:cs="Times New Roman"/>
          <w:sz w:val="24"/>
          <w:szCs w:val="24"/>
        </w:rPr>
        <w:t>suppliers:  each downstream end</w:t>
      </w:r>
      <w:r w:rsidR="0022774E">
        <w:rPr>
          <w:rFonts w:ascii="Times New Roman" w:hAnsi="Times New Roman" w:cs="Times New Roman"/>
          <w:sz w:val="24"/>
          <w:szCs w:val="24"/>
        </w:rPr>
        <w:t>-</w:t>
      </w:r>
      <w:r w:rsidR="00065838">
        <w:rPr>
          <w:rFonts w:ascii="Times New Roman" w:hAnsi="Times New Roman" w:cs="Times New Roman"/>
          <w:sz w:val="24"/>
          <w:szCs w:val="24"/>
        </w:rPr>
        <w:t>point of a distribution system defines a distinct economic product</w:t>
      </w:r>
      <w:r>
        <w:rPr>
          <w:rFonts w:ascii="Times New Roman" w:hAnsi="Times New Roman" w:cs="Times New Roman"/>
          <w:sz w:val="24"/>
          <w:szCs w:val="24"/>
        </w:rPr>
        <w:t xml:space="preserve"> or service</w:t>
      </w:r>
      <w:r w:rsidR="00065838">
        <w:rPr>
          <w:rFonts w:ascii="Times New Roman" w:hAnsi="Times New Roman" w:cs="Times New Roman"/>
          <w:sz w:val="24"/>
          <w:szCs w:val="24"/>
        </w:rPr>
        <w:t xml:space="preserve">.  </w:t>
      </w:r>
      <w:r w:rsidR="00055E2D">
        <w:rPr>
          <w:rFonts w:ascii="Times New Roman" w:hAnsi="Times New Roman" w:cs="Times New Roman"/>
          <w:sz w:val="24"/>
          <w:szCs w:val="24"/>
        </w:rPr>
        <w:t>O</w:t>
      </w:r>
      <w:r w:rsidR="00065838">
        <w:rPr>
          <w:rFonts w:ascii="Times New Roman" w:hAnsi="Times New Roman" w:cs="Times New Roman"/>
          <w:sz w:val="24"/>
          <w:szCs w:val="24"/>
        </w:rPr>
        <w:t xml:space="preserve">ther things being equal, the costs of distributing electricity to a </w:t>
      </w:r>
      <w:r w:rsidR="00055E2D">
        <w:rPr>
          <w:rFonts w:ascii="Times New Roman" w:hAnsi="Times New Roman" w:cs="Times New Roman"/>
          <w:sz w:val="24"/>
          <w:szCs w:val="24"/>
        </w:rPr>
        <w:t>specific</w:t>
      </w:r>
      <w:r w:rsidR="00065838">
        <w:rPr>
          <w:rFonts w:ascii="Times New Roman" w:hAnsi="Times New Roman" w:cs="Times New Roman"/>
          <w:sz w:val="24"/>
          <w:szCs w:val="24"/>
        </w:rPr>
        <w:t xml:space="preserve"> location will differ from those at other locations.  Even leaving aside the problems of output measurement </w:t>
      </w:r>
      <w:r w:rsidR="004D0E16">
        <w:rPr>
          <w:rFonts w:ascii="Times New Roman" w:hAnsi="Times New Roman" w:cs="Times New Roman"/>
          <w:sz w:val="24"/>
          <w:szCs w:val="24"/>
        </w:rPr>
        <w:t xml:space="preserve">(e.g. </w:t>
      </w:r>
      <w:r w:rsidR="00065838">
        <w:rPr>
          <w:rFonts w:ascii="Times New Roman" w:hAnsi="Times New Roman" w:cs="Times New Roman"/>
          <w:sz w:val="24"/>
          <w:szCs w:val="24"/>
        </w:rPr>
        <w:t xml:space="preserve">by adopting a </w:t>
      </w:r>
      <w:r w:rsidR="00055E2D">
        <w:rPr>
          <w:rFonts w:ascii="Times New Roman" w:hAnsi="Times New Roman" w:cs="Times New Roman"/>
          <w:sz w:val="24"/>
          <w:szCs w:val="24"/>
        </w:rPr>
        <w:t xml:space="preserve">single </w:t>
      </w:r>
      <w:r>
        <w:rPr>
          <w:rFonts w:ascii="Times New Roman" w:hAnsi="Times New Roman" w:cs="Times New Roman"/>
          <w:sz w:val="24"/>
          <w:szCs w:val="24"/>
        </w:rPr>
        <w:t>unit</w:t>
      </w:r>
      <w:r w:rsidR="004D0E16">
        <w:rPr>
          <w:rFonts w:ascii="Times New Roman" w:hAnsi="Times New Roman" w:cs="Times New Roman"/>
          <w:sz w:val="24"/>
          <w:szCs w:val="24"/>
        </w:rPr>
        <w:t xml:space="preserve"> of </w:t>
      </w:r>
      <w:r w:rsidR="00055E2D">
        <w:rPr>
          <w:rFonts w:ascii="Times New Roman" w:hAnsi="Times New Roman" w:cs="Times New Roman"/>
          <w:sz w:val="24"/>
          <w:szCs w:val="24"/>
        </w:rPr>
        <w:t>measurement</w:t>
      </w:r>
      <w:r>
        <w:rPr>
          <w:rFonts w:ascii="Times New Roman" w:hAnsi="Times New Roman" w:cs="Times New Roman"/>
          <w:sz w:val="24"/>
          <w:szCs w:val="24"/>
        </w:rPr>
        <w:t xml:space="preserve"> such as a </w:t>
      </w:r>
      <w:r w:rsidR="00065838">
        <w:rPr>
          <w:rFonts w:ascii="Times New Roman" w:hAnsi="Times New Roman" w:cs="Times New Roman"/>
          <w:sz w:val="24"/>
          <w:szCs w:val="24"/>
        </w:rPr>
        <w:t>MWh</w:t>
      </w:r>
      <w:r w:rsidR="00055E2D">
        <w:rPr>
          <w:rFonts w:ascii="Times New Roman" w:hAnsi="Times New Roman" w:cs="Times New Roman"/>
          <w:sz w:val="24"/>
          <w:szCs w:val="24"/>
        </w:rPr>
        <w:t>)</w:t>
      </w:r>
      <w:r w:rsidR="00065838">
        <w:rPr>
          <w:rFonts w:ascii="Times New Roman" w:hAnsi="Times New Roman" w:cs="Times New Roman"/>
          <w:sz w:val="24"/>
          <w:szCs w:val="24"/>
        </w:rPr>
        <w:t xml:space="preserve">, the appropriate </w:t>
      </w:r>
      <w:r w:rsidR="00055E2D">
        <w:rPr>
          <w:rFonts w:ascii="Times New Roman" w:hAnsi="Times New Roman" w:cs="Times New Roman"/>
          <w:sz w:val="24"/>
          <w:szCs w:val="24"/>
        </w:rPr>
        <w:t xml:space="preserve">(total) </w:t>
      </w:r>
      <w:r w:rsidR="00065838">
        <w:rPr>
          <w:rFonts w:ascii="Times New Roman" w:hAnsi="Times New Roman" w:cs="Times New Roman"/>
          <w:sz w:val="24"/>
          <w:szCs w:val="24"/>
        </w:rPr>
        <w:t xml:space="preserve">cost function will take </w:t>
      </w:r>
      <w:r>
        <w:rPr>
          <w:rFonts w:ascii="Times New Roman" w:hAnsi="Times New Roman" w:cs="Times New Roman"/>
          <w:sz w:val="24"/>
          <w:szCs w:val="24"/>
        </w:rPr>
        <w:t xml:space="preserve">the rather </w:t>
      </w:r>
      <w:r w:rsidR="00055E2D">
        <w:rPr>
          <w:rFonts w:ascii="Times New Roman" w:hAnsi="Times New Roman" w:cs="Times New Roman"/>
          <w:sz w:val="24"/>
          <w:szCs w:val="24"/>
        </w:rPr>
        <w:t>extensive for</w:t>
      </w:r>
      <w:r>
        <w:rPr>
          <w:rFonts w:ascii="Times New Roman" w:hAnsi="Times New Roman" w:cs="Times New Roman"/>
          <w:sz w:val="24"/>
          <w:szCs w:val="24"/>
        </w:rPr>
        <w:t xml:space="preserve">m </w:t>
      </w:r>
      <w:r w:rsidR="00065838">
        <w:rPr>
          <w:rFonts w:ascii="Times New Roman" w:hAnsi="Times New Roman" w:cs="Times New Roman"/>
          <w:sz w:val="24"/>
          <w:szCs w:val="24"/>
        </w:rPr>
        <w:t>C(q</w:t>
      </w:r>
      <w:r w:rsidR="00065838" w:rsidRPr="005B5D60">
        <w:rPr>
          <w:rFonts w:ascii="Times New Roman" w:hAnsi="Times New Roman" w:cs="Times New Roman"/>
          <w:sz w:val="24"/>
          <w:szCs w:val="24"/>
          <w:vertAlign w:val="subscript"/>
        </w:rPr>
        <w:t>1</w:t>
      </w:r>
      <w:r w:rsidR="00065838">
        <w:rPr>
          <w:rFonts w:ascii="Times New Roman" w:hAnsi="Times New Roman" w:cs="Times New Roman"/>
          <w:sz w:val="24"/>
          <w:szCs w:val="24"/>
        </w:rPr>
        <w:t>,q</w:t>
      </w:r>
      <w:r w:rsidR="00065838">
        <w:rPr>
          <w:rFonts w:ascii="Times New Roman" w:hAnsi="Times New Roman" w:cs="Times New Roman"/>
          <w:sz w:val="24"/>
          <w:szCs w:val="24"/>
          <w:vertAlign w:val="subscript"/>
        </w:rPr>
        <w:t>2</w:t>
      </w:r>
      <w:r w:rsidR="00065838">
        <w:rPr>
          <w:rFonts w:ascii="Times New Roman" w:hAnsi="Times New Roman" w:cs="Times New Roman"/>
          <w:sz w:val="24"/>
          <w:szCs w:val="24"/>
        </w:rPr>
        <w:t xml:space="preserve">, … </w:t>
      </w:r>
      <w:r>
        <w:rPr>
          <w:rFonts w:ascii="Times New Roman" w:hAnsi="Times New Roman" w:cs="Times New Roman"/>
          <w:sz w:val="24"/>
          <w:szCs w:val="24"/>
        </w:rPr>
        <w:t>,</w:t>
      </w:r>
      <w:r w:rsidR="00065838">
        <w:rPr>
          <w:rFonts w:ascii="Times New Roman" w:hAnsi="Times New Roman" w:cs="Times New Roman"/>
          <w:sz w:val="24"/>
          <w:szCs w:val="24"/>
        </w:rPr>
        <w:t xml:space="preserve"> q</w:t>
      </w:r>
      <w:r>
        <w:rPr>
          <w:rFonts w:ascii="Times New Roman" w:hAnsi="Times New Roman" w:cs="Times New Roman"/>
          <w:sz w:val="24"/>
          <w:szCs w:val="24"/>
          <w:vertAlign w:val="subscript"/>
        </w:rPr>
        <w:t>i</w:t>
      </w:r>
      <w:r>
        <w:rPr>
          <w:rFonts w:ascii="Times New Roman" w:hAnsi="Times New Roman" w:cs="Times New Roman"/>
          <w:sz w:val="24"/>
          <w:szCs w:val="24"/>
        </w:rPr>
        <w:t xml:space="preserve"> </w:t>
      </w:r>
      <w:r w:rsidR="0006583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65838">
        <w:rPr>
          <w:rFonts w:ascii="Times New Roman" w:hAnsi="Times New Roman" w:cs="Times New Roman"/>
          <w:sz w:val="24"/>
          <w:szCs w:val="24"/>
        </w:rPr>
        <w:t>q</w:t>
      </w:r>
      <w:r w:rsidR="00065838">
        <w:rPr>
          <w:rFonts w:ascii="Times New Roman" w:hAnsi="Times New Roman" w:cs="Times New Roman"/>
          <w:sz w:val="24"/>
          <w:szCs w:val="24"/>
          <w:vertAlign w:val="subscript"/>
        </w:rPr>
        <w:t>n</w:t>
      </w:r>
      <w:proofErr w:type="spellEnd"/>
      <w:r w:rsidR="00065838">
        <w:rPr>
          <w:rFonts w:ascii="Times New Roman" w:hAnsi="Times New Roman" w:cs="Times New Roman"/>
          <w:sz w:val="24"/>
          <w:szCs w:val="24"/>
        </w:rPr>
        <w:t>), where q</w:t>
      </w:r>
      <w:r w:rsidR="00065838">
        <w:rPr>
          <w:rFonts w:ascii="Times New Roman" w:hAnsi="Times New Roman" w:cs="Times New Roman"/>
          <w:sz w:val="24"/>
          <w:szCs w:val="24"/>
          <w:vertAlign w:val="subscript"/>
        </w:rPr>
        <w:t>i</w:t>
      </w:r>
      <w:r w:rsidR="00065838">
        <w:rPr>
          <w:rFonts w:ascii="Times New Roman" w:hAnsi="Times New Roman" w:cs="Times New Roman"/>
          <w:sz w:val="24"/>
          <w:szCs w:val="24"/>
        </w:rPr>
        <w:t xml:space="preserve"> is the supply to location</w:t>
      </w:r>
      <w:r>
        <w:rPr>
          <w:rFonts w:ascii="Times New Roman" w:hAnsi="Times New Roman" w:cs="Times New Roman"/>
          <w:sz w:val="24"/>
          <w:szCs w:val="24"/>
        </w:rPr>
        <w:t>/connection</w:t>
      </w:r>
      <w:r w:rsidR="00065838">
        <w:rPr>
          <w:rFonts w:ascii="Times New Roman" w:hAnsi="Times New Roman" w:cs="Times New Roman"/>
          <w:sz w:val="24"/>
          <w:szCs w:val="24"/>
        </w:rPr>
        <w:t xml:space="preserve"> i and n is the total number of locations</w:t>
      </w:r>
      <w:r>
        <w:rPr>
          <w:rFonts w:ascii="Times New Roman" w:hAnsi="Times New Roman" w:cs="Times New Roman"/>
          <w:sz w:val="24"/>
          <w:szCs w:val="24"/>
        </w:rPr>
        <w:t>/connections supplied</w:t>
      </w:r>
      <w:r w:rsidR="00065838">
        <w:rPr>
          <w:rFonts w:ascii="Times New Roman" w:hAnsi="Times New Roman" w:cs="Times New Roman"/>
          <w:sz w:val="24"/>
          <w:szCs w:val="24"/>
        </w:rPr>
        <w:t xml:space="preserve">.  </w:t>
      </w:r>
    </w:p>
    <w:p w14:paraId="18F87B8F" w14:textId="454E0360" w:rsidR="00065838"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This raises the question of how to define economies of scale.  If total output is defined as the sum of the individual outputs, i.e. Q = q</w:t>
      </w:r>
      <w:r>
        <w:rPr>
          <w:rFonts w:ascii="Times New Roman" w:hAnsi="Times New Roman" w:cs="Times New Roman"/>
          <w:sz w:val="24"/>
          <w:szCs w:val="24"/>
          <w:vertAlign w:val="subscript"/>
        </w:rPr>
        <w:t>i</w:t>
      </w:r>
      <w:r>
        <w:rPr>
          <w:rFonts w:ascii="Times New Roman" w:hAnsi="Times New Roman" w:cs="Times New Roman"/>
          <w:sz w:val="24"/>
          <w:szCs w:val="24"/>
        </w:rPr>
        <w:t xml:space="preserve"> + q</w:t>
      </w:r>
      <w:r>
        <w:rPr>
          <w:rFonts w:ascii="Times New Roman" w:hAnsi="Times New Roman" w:cs="Times New Roman"/>
          <w:sz w:val="24"/>
          <w:szCs w:val="24"/>
          <w:vertAlign w:val="subscript"/>
        </w:rPr>
        <w:t>2</w:t>
      </w:r>
      <w:r>
        <w:rPr>
          <w:rFonts w:ascii="Times New Roman" w:hAnsi="Times New Roman" w:cs="Times New Roman"/>
          <w:sz w:val="24"/>
          <w:szCs w:val="24"/>
        </w:rPr>
        <w:t xml:space="preserve"> + … + </w:t>
      </w:r>
      <w:proofErr w:type="spellStart"/>
      <w:r>
        <w:rPr>
          <w:rFonts w:ascii="Times New Roman" w:hAnsi="Times New Roman" w:cs="Times New Roman"/>
          <w:sz w:val="24"/>
          <w:szCs w:val="24"/>
        </w:rPr>
        <w:t>q</w:t>
      </w:r>
      <w:r>
        <w:rPr>
          <w:rFonts w:ascii="Times New Roman" w:hAnsi="Times New Roman" w:cs="Times New Roman"/>
          <w:sz w:val="24"/>
          <w:szCs w:val="24"/>
          <w:vertAlign w:val="subscript"/>
        </w:rPr>
        <w:t>n</w:t>
      </w:r>
      <w:proofErr w:type="spellEnd"/>
      <w:r>
        <w:rPr>
          <w:rFonts w:ascii="Times New Roman" w:hAnsi="Times New Roman" w:cs="Times New Roman"/>
          <w:sz w:val="24"/>
          <w:szCs w:val="24"/>
        </w:rPr>
        <w:t xml:space="preserve">, </w:t>
      </w:r>
      <w:r w:rsidR="00055E2D">
        <w:rPr>
          <w:rFonts w:ascii="Times New Roman" w:hAnsi="Times New Roman" w:cs="Times New Roman"/>
          <w:sz w:val="24"/>
          <w:szCs w:val="24"/>
        </w:rPr>
        <w:t>‘</w:t>
      </w:r>
      <w:r w:rsidR="005B5D60">
        <w:rPr>
          <w:rFonts w:ascii="Times New Roman" w:hAnsi="Times New Roman" w:cs="Times New Roman"/>
          <w:sz w:val="24"/>
          <w:szCs w:val="24"/>
        </w:rPr>
        <w:t>economies of scale</w:t>
      </w:r>
      <w:r w:rsidR="00055E2D">
        <w:rPr>
          <w:rFonts w:ascii="Times New Roman" w:hAnsi="Times New Roman" w:cs="Times New Roman"/>
          <w:sz w:val="24"/>
          <w:szCs w:val="24"/>
        </w:rPr>
        <w:t>’ only</w:t>
      </w:r>
      <w:r w:rsidR="005B5D60">
        <w:rPr>
          <w:rFonts w:ascii="Times New Roman" w:hAnsi="Times New Roman" w:cs="Times New Roman"/>
          <w:sz w:val="24"/>
          <w:szCs w:val="24"/>
        </w:rPr>
        <w:t xml:space="preserve"> become</w:t>
      </w:r>
      <w:r w:rsidR="00055E2D">
        <w:rPr>
          <w:rFonts w:ascii="Times New Roman" w:hAnsi="Times New Roman" w:cs="Times New Roman"/>
          <w:sz w:val="24"/>
          <w:szCs w:val="24"/>
        </w:rPr>
        <w:t>s</w:t>
      </w:r>
      <w:r w:rsidR="005B5D60">
        <w:rPr>
          <w:rFonts w:ascii="Times New Roman" w:hAnsi="Times New Roman" w:cs="Times New Roman"/>
          <w:sz w:val="24"/>
          <w:szCs w:val="24"/>
        </w:rPr>
        <w:t xml:space="preserve"> a coherent concept if attention is restricted to </w:t>
      </w:r>
      <w:r>
        <w:rPr>
          <w:rFonts w:ascii="Times New Roman" w:hAnsi="Times New Roman" w:cs="Times New Roman"/>
          <w:sz w:val="24"/>
          <w:szCs w:val="24"/>
        </w:rPr>
        <w:t xml:space="preserve">comparisons of average costs </w:t>
      </w:r>
      <w:r w:rsidR="00812C52">
        <w:rPr>
          <w:rFonts w:ascii="Times New Roman" w:hAnsi="Times New Roman" w:cs="Times New Roman"/>
          <w:sz w:val="24"/>
          <w:szCs w:val="24"/>
        </w:rPr>
        <w:t xml:space="preserve">involving </w:t>
      </w:r>
      <w:proofErr w:type="spellStart"/>
      <w:r>
        <w:rPr>
          <w:rFonts w:ascii="Times New Roman" w:hAnsi="Times New Roman" w:cs="Times New Roman"/>
          <w:sz w:val="24"/>
          <w:szCs w:val="24"/>
        </w:rPr>
        <w:t>equ</w:t>
      </w:r>
      <w:r w:rsidR="00812C52">
        <w:rPr>
          <w:rFonts w:ascii="Times New Roman" w:hAnsi="Times New Roman" w:cs="Times New Roman"/>
          <w:sz w:val="24"/>
          <w:szCs w:val="24"/>
        </w:rPr>
        <w:t>i</w:t>
      </w:r>
      <w:proofErr w:type="spellEnd"/>
      <w:r>
        <w:rPr>
          <w:rFonts w:ascii="Times New Roman" w:hAnsi="Times New Roman" w:cs="Times New Roman"/>
          <w:sz w:val="24"/>
          <w:szCs w:val="24"/>
        </w:rPr>
        <w:t xml:space="preserve">-proportionate changes in supplies at </w:t>
      </w:r>
      <w:r w:rsidRPr="00812C52">
        <w:rPr>
          <w:rFonts w:ascii="Times New Roman" w:hAnsi="Times New Roman" w:cs="Times New Roman"/>
          <w:sz w:val="24"/>
          <w:szCs w:val="24"/>
          <w:u w:val="single"/>
        </w:rPr>
        <w:t>all</w:t>
      </w:r>
      <w:r>
        <w:rPr>
          <w:rFonts w:ascii="Times New Roman" w:hAnsi="Times New Roman" w:cs="Times New Roman"/>
          <w:sz w:val="24"/>
          <w:szCs w:val="24"/>
        </w:rPr>
        <w:t xml:space="preserve"> locations. </w:t>
      </w:r>
      <w:r w:rsidR="00812C52">
        <w:rPr>
          <w:rFonts w:ascii="Times New Roman" w:hAnsi="Times New Roman" w:cs="Times New Roman"/>
          <w:sz w:val="24"/>
          <w:szCs w:val="24"/>
        </w:rPr>
        <w:t>That is, an increase of 5% in Q entails a 5% increase in supplies at each and every location/connection.</w:t>
      </w:r>
      <w:r w:rsidR="00055E2D">
        <w:rPr>
          <w:rFonts w:ascii="Times New Roman" w:hAnsi="Times New Roman" w:cs="Times New Roman"/>
          <w:sz w:val="24"/>
          <w:szCs w:val="24"/>
        </w:rPr>
        <w:t xml:space="preserve">  With this restriction, it is possible to define what are called </w:t>
      </w:r>
      <w:r>
        <w:rPr>
          <w:rFonts w:ascii="Times New Roman" w:hAnsi="Times New Roman" w:cs="Times New Roman"/>
          <w:sz w:val="24"/>
          <w:szCs w:val="24"/>
        </w:rPr>
        <w:t>‘ray average cost curves’</w:t>
      </w:r>
      <w:r w:rsidR="00055E2D">
        <w:rPr>
          <w:rFonts w:ascii="Times New Roman" w:hAnsi="Times New Roman" w:cs="Times New Roman"/>
          <w:sz w:val="24"/>
          <w:szCs w:val="24"/>
        </w:rPr>
        <w:t>, but there is an infinity of such curves for</w:t>
      </w:r>
      <w:r>
        <w:rPr>
          <w:rFonts w:ascii="Times New Roman" w:hAnsi="Times New Roman" w:cs="Times New Roman"/>
          <w:sz w:val="24"/>
          <w:szCs w:val="24"/>
        </w:rPr>
        <w:t xml:space="preserve"> </w:t>
      </w:r>
      <w:r w:rsidR="00055E2D">
        <w:rPr>
          <w:rFonts w:ascii="Times New Roman" w:hAnsi="Times New Roman" w:cs="Times New Roman"/>
          <w:sz w:val="24"/>
          <w:szCs w:val="24"/>
        </w:rPr>
        <w:t>each business:</w:t>
      </w:r>
      <w:r>
        <w:rPr>
          <w:rFonts w:ascii="Times New Roman" w:hAnsi="Times New Roman" w:cs="Times New Roman"/>
          <w:sz w:val="24"/>
          <w:szCs w:val="24"/>
        </w:rPr>
        <w:t xml:space="preserve"> there is one for every conceivable</w:t>
      </w:r>
      <w:r w:rsidR="00055E2D">
        <w:rPr>
          <w:rFonts w:ascii="Times New Roman" w:hAnsi="Times New Roman" w:cs="Times New Roman"/>
          <w:sz w:val="24"/>
          <w:szCs w:val="24"/>
        </w:rPr>
        <w:t>, locational</w:t>
      </w:r>
      <w:r>
        <w:rPr>
          <w:rFonts w:ascii="Times New Roman" w:hAnsi="Times New Roman" w:cs="Times New Roman"/>
          <w:sz w:val="24"/>
          <w:szCs w:val="24"/>
        </w:rPr>
        <w:t xml:space="preserve"> break-down of the total MWhs</w:t>
      </w:r>
      <w:r w:rsidR="00055E2D">
        <w:rPr>
          <w:rFonts w:ascii="Times New Roman" w:hAnsi="Times New Roman" w:cs="Times New Roman"/>
          <w:sz w:val="24"/>
          <w:szCs w:val="24"/>
        </w:rPr>
        <w:t xml:space="preserve"> supplied.</w:t>
      </w:r>
    </w:p>
    <w:p w14:paraId="5E362A64" w14:textId="54CFFF14" w:rsidR="00065838" w:rsidRPr="003F181E"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Review skates over this multiproduct issue, as do </w:t>
      </w:r>
      <w:r w:rsidR="00055E2D">
        <w:rPr>
          <w:rFonts w:ascii="Times New Roman" w:hAnsi="Times New Roman" w:cs="Times New Roman"/>
          <w:sz w:val="24"/>
          <w:szCs w:val="24"/>
        </w:rPr>
        <w:t>all</w:t>
      </w:r>
      <w:r>
        <w:rPr>
          <w:rFonts w:ascii="Times New Roman" w:hAnsi="Times New Roman" w:cs="Times New Roman"/>
          <w:sz w:val="24"/>
          <w:szCs w:val="24"/>
        </w:rPr>
        <w:t xml:space="preserve"> empirical studies of economies of scale in the </w:t>
      </w:r>
      <w:r w:rsidR="00812C52">
        <w:rPr>
          <w:rFonts w:ascii="Times New Roman" w:hAnsi="Times New Roman" w:cs="Times New Roman"/>
          <w:sz w:val="24"/>
          <w:szCs w:val="24"/>
        </w:rPr>
        <w:t xml:space="preserve">academic </w:t>
      </w:r>
      <w:r>
        <w:rPr>
          <w:rFonts w:ascii="Times New Roman" w:hAnsi="Times New Roman" w:cs="Times New Roman"/>
          <w:sz w:val="24"/>
          <w:szCs w:val="24"/>
        </w:rPr>
        <w:t xml:space="preserve">literature.  However, it is important </w:t>
      </w:r>
      <w:r w:rsidR="00055E2D">
        <w:rPr>
          <w:rFonts w:ascii="Times New Roman" w:hAnsi="Times New Roman" w:cs="Times New Roman"/>
          <w:sz w:val="24"/>
          <w:szCs w:val="24"/>
        </w:rPr>
        <w:t>when</w:t>
      </w:r>
      <w:r>
        <w:rPr>
          <w:rFonts w:ascii="Times New Roman" w:hAnsi="Times New Roman" w:cs="Times New Roman"/>
          <w:sz w:val="24"/>
          <w:szCs w:val="24"/>
        </w:rPr>
        <w:t xml:space="preserve"> interpreting the results to be aware of the issue.  If it is found that average costs are negatively correlated with total output, Q, the fact is that it cannot </w:t>
      </w:r>
      <w:r w:rsidR="00055E2D">
        <w:rPr>
          <w:rFonts w:ascii="Times New Roman" w:hAnsi="Times New Roman" w:cs="Times New Roman"/>
          <w:sz w:val="24"/>
          <w:szCs w:val="24"/>
        </w:rPr>
        <w:t>simply</w:t>
      </w:r>
      <w:r>
        <w:rPr>
          <w:rFonts w:ascii="Times New Roman" w:hAnsi="Times New Roman" w:cs="Times New Roman"/>
          <w:sz w:val="24"/>
          <w:szCs w:val="24"/>
        </w:rPr>
        <w:t xml:space="preserve"> be inferred that economies of scale exist.  Two EDBs may have identical cost curves and </w:t>
      </w:r>
      <w:r w:rsidR="00055E2D">
        <w:rPr>
          <w:rFonts w:ascii="Times New Roman" w:hAnsi="Times New Roman" w:cs="Times New Roman"/>
          <w:sz w:val="24"/>
          <w:szCs w:val="24"/>
        </w:rPr>
        <w:t xml:space="preserve">may </w:t>
      </w:r>
      <w:r>
        <w:rPr>
          <w:rFonts w:ascii="Times New Roman" w:hAnsi="Times New Roman" w:cs="Times New Roman"/>
          <w:sz w:val="24"/>
          <w:szCs w:val="24"/>
        </w:rPr>
        <w:t>operate at the same scale</w:t>
      </w:r>
      <w:r w:rsidR="00812C52">
        <w:rPr>
          <w:rFonts w:ascii="Times New Roman" w:hAnsi="Times New Roman" w:cs="Times New Roman"/>
          <w:sz w:val="24"/>
          <w:szCs w:val="24"/>
        </w:rPr>
        <w:t>, as measured by total output Q,</w:t>
      </w:r>
      <w:r>
        <w:rPr>
          <w:rFonts w:ascii="Times New Roman" w:hAnsi="Times New Roman" w:cs="Times New Roman"/>
          <w:sz w:val="24"/>
          <w:szCs w:val="24"/>
        </w:rPr>
        <w:t xml:space="preserve"> yet it is </w:t>
      </w:r>
      <w:r w:rsidR="00055E2D">
        <w:rPr>
          <w:rFonts w:ascii="Times New Roman" w:hAnsi="Times New Roman" w:cs="Times New Roman"/>
          <w:sz w:val="24"/>
          <w:szCs w:val="24"/>
        </w:rPr>
        <w:t>near certain</w:t>
      </w:r>
      <w:r>
        <w:rPr>
          <w:rFonts w:ascii="Times New Roman" w:hAnsi="Times New Roman" w:cs="Times New Roman"/>
          <w:sz w:val="24"/>
          <w:szCs w:val="24"/>
        </w:rPr>
        <w:t xml:space="preserve"> that </w:t>
      </w:r>
      <w:r w:rsidR="00055E2D">
        <w:rPr>
          <w:rFonts w:ascii="Times New Roman" w:hAnsi="Times New Roman" w:cs="Times New Roman"/>
          <w:sz w:val="24"/>
          <w:szCs w:val="24"/>
        </w:rPr>
        <w:t xml:space="preserve">will </w:t>
      </w:r>
      <w:r>
        <w:rPr>
          <w:rFonts w:ascii="Times New Roman" w:hAnsi="Times New Roman" w:cs="Times New Roman"/>
          <w:sz w:val="24"/>
          <w:szCs w:val="24"/>
        </w:rPr>
        <w:t xml:space="preserve">exhibit different </w:t>
      </w:r>
      <w:r w:rsidRPr="000C0303">
        <w:rPr>
          <w:rFonts w:ascii="Times New Roman" w:hAnsi="Times New Roman" w:cs="Times New Roman"/>
          <w:i/>
          <w:sz w:val="24"/>
          <w:szCs w:val="24"/>
        </w:rPr>
        <w:t>measured</w:t>
      </w:r>
      <w:r>
        <w:rPr>
          <w:rFonts w:ascii="Times New Roman" w:hAnsi="Times New Roman" w:cs="Times New Roman"/>
          <w:sz w:val="24"/>
          <w:szCs w:val="24"/>
        </w:rPr>
        <w:t xml:space="preserve"> costs.</w:t>
      </w:r>
      <w:r w:rsidR="00055E2D">
        <w:rPr>
          <w:rFonts w:ascii="Times New Roman" w:hAnsi="Times New Roman" w:cs="Times New Roman"/>
          <w:sz w:val="24"/>
          <w:szCs w:val="24"/>
        </w:rPr>
        <w:t xml:space="preserve">  Moreover, the difference can be substantial.</w:t>
      </w:r>
      <w:r>
        <w:rPr>
          <w:rFonts w:ascii="Times New Roman" w:hAnsi="Times New Roman" w:cs="Times New Roman"/>
          <w:sz w:val="24"/>
          <w:szCs w:val="24"/>
        </w:rPr>
        <w:t xml:space="preserve"> </w:t>
      </w:r>
    </w:p>
    <w:p w14:paraId="09EAA021" w14:textId="090DCD43" w:rsidR="001B195F"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In practice, each individual EDB will have its own, unique cost curve, defined by the locations supplied and dependent o</w:t>
      </w:r>
      <w:r w:rsidR="000C0303">
        <w:rPr>
          <w:rFonts w:ascii="Times New Roman" w:hAnsi="Times New Roman" w:cs="Times New Roman"/>
          <w:sz w:val="24"/>
          <w:szCs w:val="24"/>
        </w:rPr>
        <w:t>n</w:t>
      </w:r>
      <w:r>
        <w:rPr>
          <w:rFonts w:ascii="Times New Roman" w:hAnsi="Times New Roman" w:cs="Times New Roman"/>
          <w:sz w:val="24"/>
          <w:szCs w:val="24"/>
        </w:rPr>
        <w:t xml:space="preserve"> the topography of the area covered.  In the diagram below, the </w:t>
      </w:r>
      <w:r w:rsidR="00812C52">
        <w:rPr>
          <w:rFonts w:ascii="Times New Roman" w:hAnsi="Times New Roman" w:cs="Times New Roman"/>
          <w:sz w:val="24"/>
          <w:szCs w:val="24"/>
        </w:rPr>
        <w:t xml:space="preserve">ray </w:t>
      </w:r>
      <w:r>
        <w:rPr>
          <w:rFonts w:ascii="Times New Roman" w:hAnsi="Times New Roman" w:cs="Times New Roman"/>
          <w:sz w:val="24"/>
          <w:szCs w:val="24"/>
        </w:rPr>
        <w:t>average cost curves of two, different EDBs are shown, reflecting these</w:t>
      </w:r>
      <w:r w:rsidR="001B195F" w:rsidRPr="001B195F">
        <w:rPr>
          <w:rFonts w:ascii="Times New Roman" w:hAnsi="Times New Roman" w:cs="Times New Roman"/>
          <w:sz w:val="24"/>
          <w:szCs w:val="24"/>
        </w:rPr>
        <w:t xml:space="preserve"> </w:t>
      </w:r>
      <w:r w:rsidR="001B195F">
        <w:rPr>
          <w:rFonts w:ascii="Times New Roman" w:hAnsi="Times New Roman" w:cs="Times New Roman"/>
          <w:sz w:val="24"/>
          <w:szCs w:val="24"/>
        </w:rPr>
        <w:t xml:space="preserve">locational and topographical features. Each of the two EDB’s is assumed to be ‘cost efficient’), but one EDB is taken to have a less costly set of locations to supply (the lower of the two lines).  It is further assumed that costs are constant: there are neither increasing nor decreasing returns to scale.  Four possible measurements – A, B, C and D – are shown.  Two of the possible comparisons of measurements of average costs – A vs D and B vs C – are between EDBs operating at different scales.  A vs D would give the misleading impression of the existence of economies of scale.  On the other hand, a comparison of B and C would give the misleading impression of diseconomies of scale. </w:t>
      </w:r>
    </w:p>
    <w:p w14:paraId="440C41F2" w14:textId="77777777" w:rsidR="0051145D" w:rsidRDefault="00065838" w:rsidP="001B195F">
      <w:pPr>
        <w:autoSpaceDE w:val="0"/>
        <w:autoSpaceDN w:val="0"/>
        <w:adjustRightInd w:val="0"/>
        <w:spacing w:line="276" w:lineRule="auto"/>
        <w:rPr>
          <w:rFonts w:ascii="Times New Roman" w:hAnsi="Times New Roman" w:cs="Times New Roman"/>
          <w:color w:val="FFFFFF" w:themeColor="background1"/>
          <w:sz w:val="24"/>
          <w:szCs w:val="24"/>
          <w14:textFill>
            <w14:noFill/>
          </w14:textFill>
        </w:rPr>
      </w:pPr>
      <w:r>
        <w:rPr>
          <w:rFonts w:ascii="Times New Roman" w:hAnsi="Times New Roman" w:cs="Times New Roman"/>
          <w:noProof/>
          <w:sz w:val="24"/>
          <w:szCs w:val="24"/>
          <w:lang w:val="en-US"/>
        </w:rPr>
        <mc:AlternateContent>
          <mc:Choice Requires="wpc">
            <w:drawing>
              <wp:inline distT="0" distB="0" distL="0" distR="0" wp14:anchorId="1315C16D" wp14:editId="46BCF376">
                <wp:extent cx="5486400" cy="3200400"/>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Straight Arrow Connector 26"/>
                        <wps:cNvCnPr/>
                        <wps:spPr>
                          <a:xfrm flipV="1">
                            <a:off x="1042587" y="401652"/>
                            <a:ext cx="0" cy="234154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7" name="Straight Arrow Connector 27"/>
                        <wps:cNvCnPr/>
                        <wps:spPr>
                          <a:xfrm>
                            <a:off x="1042587" y="2743200"/>
                            <a:ext cx="3307222"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28" name="Straight Connector 28"/>
                        <wps:cNvCnPr/>
                        <wps:spPr>
                          <a:xfrm>
                            <a:off x="1042587" y="2093720"/>
                            <a:ext cx="2922662"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29" name="Straight Connector 29"/>
                        <wps:cNvCnPr/>
                        <wps:spPr>
                          <a:xfrm>
                            <a:off x="1042587" y="1743342"/>
                            <a:ext cx="2922662" cy="0"/>
                          </a:xfrm>
                          <a:prstGeom prst="line">
                            <a:avLst/>
                          </a:prstGeom>
                        </wps:spPr>
                        <wps:style>
                          <a:lnRef idx="3">
                            <a:schemeClr val="accent1"/>
                          </a:lnRef>
                          <a:fillRef idx="0">
                            <a:schemeClr val="accent1"/>
                          </a:fillRef>
                          <a:effectRef idx="2">
                            <a:schemeClr val="accent1"/>
                          </a:effectRef>
                          <a:fontRef idx="minor">
                            <a:schemeClr val="tx1"/>
                          </a:fontRef>
                        </wps:style>
                        <wps:bodyPr/>
                      </wps:wsp>
                      <wps:wsp>
                        <wps:cNvPr id="30" name="Straight Connector 30"/>
                        <wps:cNvCnPr/>
                        <wps:spPr>
                          <a:xfrm>
                            <a:off x="1820254" y="1743342"/>
                            <a:ext cx="0" cy="999858"/>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1" name="Straight Connector 31"/>
                        <wps:cNvCnPr/>
                        <wps:spPr>
                          <a:xfrm>
                            <a:off x="3170490" y="1743342"/>
                            <a:ext cx="0" cy="999858"/>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34" name="Text Box 34"/>
                        <wps:cNvSpPr txBox="1"/>
                        <wps:spPr>
                          <a:xfrm>
                            <a:off x="609600" y="118533"/>
                            <a:ext cx="919480" cy="283634"/>
                          </a:xfrm>
                          <a:prstGeom prst="rect">
                            <a:avLst/>
                          </a:prstGeom>
                          <a:solidFill>
                            <a:schemeClr val="lt1"/>
                          </a:solidFill>
                          <a:ln w="6350">
                            <a:noFill/>
                          </a:ln>
                        </wps:spPr>
                        <wps:txbx>
                          <w:txbxContent>
                            <w:p w14:paraId="1E852900" w14:textId="66352BC1" w:rsidR="000C0303" w:rsidRDefault="000C0303">
                              <w:r>
                                <w:t>Average cost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5" name="Text Box 35"/>
                        <wps:cNvSpPr txBox="1"/>
                        <wps:spPr>
                          <a:xfrm>
                            <a:off x="4349809" y="2650067"/>
                            <a:ext cx="595630" cy="402167"/>
                          </a:xfrm>
                          <a:prstGeom prst="rect">
                            <a:avLst/>
                          </a:prstGeom>
                          <a:solidFill>
                            <a:schemeClr val="lt1"/>
                          </a:solidFill>
                          <a:ln w="6350">
                            <a:noFill/>
                          </a:ln>
                        </wps:spPr>
                        <wps:txbx>
                          <w:txbxContent>
                            <w:p w14:paraId="33F6F466" w14:textId="19A293D8" w:rsidR="000C0303" w:rsidRDefault="000C0303">
                              <w:r>
                                <w:t>Output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7" name="Text Box 35"/>
                        <wps:cNvSpPr txBox="1"/>
                        <wps:spPr>
                          <a:xfrm>
                            <a:off x="3109467" y="2093720"/>
                            <a:ext cx="299720" cy="401955"/>
                          </a:xfrm>
                          <a:prstGeom prst="rect">
                            <a:avLst/>
                          </a:prstGeom>
                          <a:noFill/>
                          <a:ln w="6350">
                            <a:noFill/>
                          </a:ln>
                        </wps:spPr>
                        <wps:txbx>
                          <w:txbxContent>
                            <w:p w14:paraId="3C658165" w14:textId="789C1715" w:rsidR="000C0303" w:rsidRDefault="000C0303" w:rsidP="00F843D1">
                              <w:pPr>
                                <w:pStyle w:val="NormalWeb"/>
                                <w:spacing w:before="0" w:beforeAutospacing="0" w:after="160" w:afterAutospacing="0" w:line="256" w:lineRule="auto"/>
                              </w:pPr>
                              <w:r>
                                <w:t>D</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8" name="Text Box 35"/>
                        <wps:cNvSpPr txBox="1"/>
                        <wps:spPr>
                          <a:xfrm>
                            <a:off x="3033267" y="1452200"/>
                            <a:ext cx="291465" cy="401955"/>
                          </a:xfrm>
                          <a:prstGeom prst="rect">
                            <a:avLst/>
                          </a:prstGeom>
                          <a:noFill/>
                          <a:ln w="6350">
                            <a:noFill/>
                          </a:ln>
                        </wps:spPr>
                        <wps:txbx>
                          <w:txbxContent>
                            <w:p w14:paraId="442C02C3" w14:textId="53736CF6" w:rsidR="000C0303" w:rsidRDefault="000C0303" w:rsidP="00F843D1">
                              <w:pPr>
                                <w:pStyle w:val="NormalWeb"/>
                                <w:spacing w:before="0" w:beforeAutospacing="0" w:after="160" w:afterAutospacing="0" w:line="254" w:lineRule="auto"/>
                              </w:pPr>
                              <w:r>
                                <w:rPr>
                                  <w:rFonts w:eastAsia="Times New Roman"/>
                                </w:rPr>
                                <w:t>C</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9" name="Text Box 35"/>
                        <wps:cNvSpPr txBox="1"/>
                        <wps:spPr>
                          <a:xfrm>
                            <a:off x="1771734" y="2093720"/>
                            <a:ext cx="291465" cy="401955"/>
                          </a:xfrm>
                          <a:prstGeom prst="rect">
                            <a:avLst/>
                          </a:prstGeom>
                          <a:noFill/>
                          <a:ln w="6350">
                            <a:noFill/>
                          </a:ln>
                        </wps:spPr>
                        <wps:txbx>
                          <w:txbxContent>
                            <w:p w14:paraId="238BC381" w14:textId="1468A7E8" w:rsidR="000C0303" w:rsidRDefault="000C0303" w:rsidP="00F843D1">
                              <w:pPr>
                                <w:pStyle w:val="NormalWeb"/>
                                <w:spacing w:before="0" w:beforeAutospacing="0" w:after="160" w:afterAutospacing="0" w:line="254" w:lineRule="auto"/>
                              </w:pPr>
                              <w:r>
                                <w:rPr>
                                  <w:rFonts w:eastAsia="Times New Roman"/>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0" name="Text Box 35"/>
                        <wps:cNvSpPr txBox="1"/>
                        <wps:spPr>
                          <a:xfrm>
                            <a:off x="1687067" y="1450000"/>
                            <a:ext cx="299720" cy="401955"/>
                          </a:xfrm>
                          <a:prstGeom prst="rect">
                            <a:avLst/>
                          </a:prstGeom>
                          <a:noFill/>
                          <a:ln w="6350">
                            <a:noFill/>
                          </a:ln>
                        </wps:spPr>
                        <wps:txbx>
                          <w:txbxContent>
                            <w:p w14:paraId="770835CD" w14:textId="77777777" w:rsidR="000C0303" w:rsidRDefault="000C0303" w:rsidP="00F843D1">
                              <w:pPr>
                                <w:pStyle w:val="NormalWeb"/>
                                <w:spacing w:before="0" w:beforeAutospacing="0" w:after="160" w:afterAutospacing="0" w:line="254" w:lineRule="auto"/>
                              </w:pPr>
                              <w:r>
                                <w:rPr>
                                  <w:rFonts w:eastAsia="Times New Roman"/>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315C16D" id="Canvas 3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26" o:spid="_x0000_s1028" type="#_x0000_t32" style="position:absolute;left:10425;top:4016;width:0;height:234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" strokecolor="black [3200]" strokeweight="1.5pt">
                  <v:stroke endarrow="block" joinstyle="miter"/>
                </v:shape>
                <v:shape id="Straight Arrow Connector 27" o:spid="_x0000_s1029" type="#_x0000_t32" style="position:absolute;left:10425;top:27432;width:330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" strokecolor="black [3200]" strokeweight="1.5pt">
                  <v:stroke endarrow="block" joinstyle="miter"/>
                </v:shape>
                <v:line id="Straight Connector 28" o:spid="_x0000_s1030" style="position:absolute;visibility:visible;mso-wrap-style:square" from="10425,20937" to="39652,20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" strokecolor="#4472c4 [3204]" strokeweight="1.5pt">
                  <v:stroke joinstyle="miter"/>
                </v:line>
                <v:line id="Straight Connector 29" o:spid="_x0000_s1031" style="position:absolute;visibility:visible;mso-wrap-style:square" from="10425,17433" to="39652,1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" strokecolor="#4472c4 [3204]" strokeweight="1.5pt">
                  <v:stroke joinstyle="miter"/>
                </v:line>
                <v:line id="Straight Connector 30" o:spid="_x0000_s1032" style="position:absolute;visibility:visible;mso-wrap-style:square" from="18202,17433" to="18202,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" strokecolor="#4472c4 [3204]">
                  <v:stroke dashstyle="dash"/>
                </v:line>
                <v:line id="Straight Connector 31" o:spid="_x0000_s1033" style="position:absolute;visibility:visible;mso-wrap-style:square" from="31704,17433" to="31704,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" strokecolor="#4472c4 [3204]">
                  <v:stroke dashstyle="dash"/>
                </v:line>
                <v:shapetype id="_x0000_t202" coordsize="21600,21600" o:spt="202" path="m,l,21600r21600,l21600,xe">
                  <v:stroke joinstyle="miter"/>
                  <v:path gradientshapeok="t" o:connecttype="rect"/>
                </v:shapetype>
                <v:shape id="Text Box 34" o:spid="_x0000_s1034" type="#_x0000_t202" style="position:absolute;left:6096;top:1185;width:9194;height:28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" fillcolor="white [3201]" stroked="f" strokeweight=".5pt">
                  <v:textbox>
                    <w:txbxContent>
                      <w:p w14:paraId="1E852900" w14:textId="66352BC1" w:rsidR="000C0303" w:rsidRDefault="000C0303">
                        <w:r>
                          <w:t>Average cost</w:t>
                        </w:r>
                      </w:p>
                    </w:txbxContent>
                  </v:textbox>
                </v:shape>
                <v:shape id="Text Box 35" o:spid="_x0000_s1035" type="#_x0000_t202" style="position:absolute;left:43498;top:26500;width:5956;height:4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" fillcolor="white [3201]" stroked="f" strokeweight=".5pt">
                  <v:textbox>
                    <w:txbxContent>
                      <w:p w14:paraId="33F6F466" w14:textId="19A293D8" w:rsidR="000C0303" w:rsidRDefault="000C0303">
                        <w:r>
                          <w:t>Output</w:t>
                        </w:r>
                      </w:p>
                    </w:txbxContent>
                  </v:textbox>
                </v:shape>
                <v:shape id="Text Box 35" o:spid="_x0000_s1036" type="#_x0000_t202" style="position:absolute;left:31094;top:20937;width:2997;height:4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iQnxQAAANsAAAAPAAAAZHJzL2Rvd25yZXYueG1sRI9BawIx&#10;FITvBf9DeIVeRLNWs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CZ2iQnxQAAANsAAAAP&#10;AAAAAAAAAAAAAAAAAAcCAABkcnMvZG93bnJldi54bWxQSwUGAAAAAAMAAwC3AAAA+QIAAAAA&#10;" filled="f" stroked="f" strokeweight=".5pt">
                  <v:textbox>
                    <w:txbxContent>
                      <w:p w14:paraId="3C658165" w14:textId="789C1715" w:rsidR="000C0303" w:rsidRDefault="000C0303" w:rsidP="00F843D1">
                        <w:pPr>
                          <w:pStyle w:val="NormalWeb"/>
                          <w:spacing w:before="0" w:beforeAutospacing="0" w:after="160" w:afterAutospacing="0" w:line="256" w:lineRule="auto"/>
                        </w:pPr>
                        <w:r>
                          <w:t>D</w:t>
                        </w:r>
                      </w:p>
                    </w:txbxContent>
                  </v:textbox>
                </v:shape>
                <v:shape id="Text Box 35" o:spid="_x0000_s1037" type="#_x0000_t202" style="position:absolute;left:30332;top:14522;width:2915;height:4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BVwgAAANsAAAAPAAAAZHJzL2Rvd25yZXYueG1sRE9NawIx&#10;EL0L/Q9hCl6KZlWQ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DoRbBVwgAAANsAAAAPAAAA&#10;AAAAAAAAAAAAAAcCAABkcnMvZG93bnJldi54bWxQSwUGAAAAAAMAAwC3AAAA9gIAAAAA&#10;" filled="f" stroked="f" strokeweight=".5pt">
                  <v:textbox>
                    <w:txbxContent>
                      <w:p w14:paraId="442C02C3" w14:textId="53736CF6" w:rsidR="000C0303" w:rsidRDefault="000C0303" w:rsidP="00F843D1">
                        <w:pPr>
                          <w:pStyle w:val="NormalWeb"/>
                          <w:spacing w:before="0" w:beforeAutospacing="0" w:after="160" w:afterAutospacing="0" w:line="254" w:lineRule="auto"/>
                        </w:pPr>
                        <w:r>
                          <w:rPr>
                            <w:rFonts w:eastAsia="Times New Roman"/>
                          </w:rPr>
                          <w:t>C</w:t>
                        </w:r>
                      </w:p>
                    </w:txbxContent>
                  </v:textbox>
                </v:shape>
                <v:shape id="Text Box 35" o:spid="_x0000_s1038" type="#_x0000_t202" style="position:absolute;left:17717;top:20937;width:2914;height:4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RXOxQAAANsAAAAPAAAAZHJzL2Rvd25yZXYueG1sRI9BawIx&#10;FITvBf9DeIVeRLNWk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CHCRXOxQAAANsAAAAP&#10;AAAAAAAAAAAAAAAAAAcCAABkcnMvZG93bnJldi54bWxQSwUGAAAAAAMAAwC3AAAA+QIAAAAA&#10;" filled="f" stroked="f" strokeweight=".5pt">
                  <v:textbox>
                    <w:txbxContent>
                      <w:p w14:paraId="238BC381" w14:textId="1468A7E8" w:rsidR="000C0303" w:rsidRDefault="000C0303" w:rsidP="00F843D1">
                        <w:pPr>
                          <w:pStyle w:val="NormalWeb"/>
                          <w:spacing w:before="0" w:beforeAutospacing="0" w:after="160" w:afterAutospacing="0" w:line="254" w:lineRule="auto"/>
                        </w:pPr>
                        <w:r>
                          <w:rPr>
                            <w:rFonts w:eastAsia="Times New Roman"/>
                          </w:rPr>
                          <w:t>B</w:t>
                        </w:r>
                      </w:p>
                    </w:txbxContent>
                  </v:textbox>
                </v:shape>
                <v:shape id="Text Box 35" o:spid="_x0000_s1039" type="#_x0000_t202" style="position:absolute;left:16870;top:14500;width:2997;height:40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770835CD" w14:textId="77777777" w:rsidR="000C0303" w:rsidRDefault="000C0303" w:rsidP="00F843D1">
                        <w:pPr>
                          <w:pStyle w:val="NormalWeb"/>
                          <w:spacing w:before="0" w:beforeAutospacing="0" w:after="160" w:afterAutospacing="0" w:line="254" w:lineRule="auto"/>
                        </w:pPr>
                        <w:r>
                          <w:rPr>
                            <w:rFonts w:eastAsia="Times New Roman"/>
                          </w:rPr>
                          <w:t>A</w:t>
                        </w:r>
                      </w:p>
                    </w:txbxContent>
                  </v:textbox>
                </v:shape>
                <w10:anchorlock/>
              </v:group>
            </w:pict>
          </mc:Fallback>
        </mc:AlternateContent>
      </w:r>
      <w:r w:rsidR="001B195F">
        <w:rPr>
          <w:rFonts w:ascii="Times New Roman" w:hAnsi="Times New Roman" w:cs="Times New Roman"/>
          <w:color w:val="FFFFFF" w:themeColor="background1"/>
          <w:sz w:val="24"/>
          <w:szCs w:val="24"/>
          <w14:textFill>
            <w14:noFill/>
          </w14:textFill>
        </w:rPr>
        <w:t>A</w:t>
      </w:r>
    </w:p>
    <w:p w14:paraId="65E24CD2" w14:textId="569CCE25" w:rsidR="00065838" w:rsidRPr="001B195F" w:rsidRDefault="0051145D" w:rsidP="001B195F">
      <w:pPr>
        <w:autoSpaceDE w:val="0"/>
        <w:autoSpaceDN w:val="0"/>
        <w:adjustRightInd w:val="0"/>
        <w:spacing w:line="276" w:lineRule="auto"/>
        <w:rPr>
          <w:rFonts w:ascii="Times New Roman" w:hAnsi="Times New Roman" w:cs="Times New Roman"/>
          <w:color w:val="FFFFFF" w:themeColor="background1"/>
          <w:sz w:val="24"/>
          <w:szCs w:val="24"/>
          <w14:textFill>
            <w14:noFill/>
          </w14:textFill>
        </w:rPr>
      </w:pPr>
      <w:r>
        <w:rPr>
          <w:rFonts w:ascii="Times New Roman" w:hAnsi="Times New Roman" w:cs="Times New Roman"/>
          <w:i/>
          <w:sz w:val="24"/>
          <w:szCs w:val="24"/>
        </w:rPr>
        <w:t xml:space="preserve">A </w:t>
      </w:r>
      <w:r w:rsidR="00065838" w:rsidRPr="0009376A">
        <w:rPr>
          <w:rFonts w:ascii="Times New Roman" w:hAnsi="Times New Roman" w:cs="Times New Roman"/>
          <w:i/>
          <w:sz w:val="24"/>
          <w:szCs w:val="24"/>
        </w:rPr>
        <w:t>priori</w:t>
      </w:r>
      <w:r w:rsidR="00065838">
        <w:rPr>
          <w:rFonts w:ascii="Times New Roman" w:hAnsi="Times New Roman" w:cs="Times New Roman"/>
          <w:sz w:val="24"/>
          <w:szCs w:val="24"/>
        </w:rPr>
        <w:t>, there are reasons to expect that both types of situation could occur.  Thus</w:t>
      </w:r>
      <w:r w:rsidR="000C0303">
        <w:rPr>
          <w:rFonts w:ascii="Times New Roman" w:hAnsi="Times New Roman" w:cs="Times New Roman"/>
          <w:sz w:val="24"/>
          <w:szCs w:val="24"/>
        </w:rPr>
        <w:t xml:space="preserve">, </w:t>
      </w:r>
      <w:r w:rsidR="00065838">
        <w:rPr>
          <w:rFonts w:ascii="Times New Roman" w:hAnsi="Times New Roman" w:cs="Times New Roman"/>
          <w:sz w:val="24"/>
          <w:szCs w:val="24"/>
        </w:rPr>
        <w:t>A might be the measured position in a relatively mountainous area characterised by relatively small</w:t>
      </w:r>
      <w:r w:rsidR="000C0303">
        <w:rPr>
          <w:rFonts w:ascii="Times New Roman" w:hAnsi="Times New Roman" w:cs="Times New Roman"/>
          <w:sz w:val="24"/>
          <w:szCs w:val="24"/>
        </w:rPr>
        <w:t xml:space="preserve"> settlements</w:t>
      </w:r>
      <w:r w:rsidR="00065838">
        <w:rPr>
          <w:rFonts w:ascii="Times New Roman" w:hAnsi="Times New Roman" w:cs="Times New Roman"/>
          <w:sz w:val="24"/>
          <w:szCs w:val="24"/>
        </w:rPr>
        <w:t xml:space="preserve"> whereas D might be the measured position for a flatter landscape with larger settlements.  On the other hand</w:t>
      </w:r>
      <w:r w:rsidR="0009376A">
        <w:rPr>
          <w:rFonts w:ascii="Times New Roman" w:hAnsi="Times New Roman" w:cs="Times New Roman"/>
          <w:sz w:val="24"/>
          <w:szCs w:val="24"/>
        </w:rPr>
        <w:t>,</w:t>
      </w:r>
      <w:r w:rsidR="00065838">
        <w:rPr>
          <w:rFonts w:ascii="Times New Roman" w:hAnsi="Times New Roman" w:cs="Times New Roman"/>
          <w:sz w:val="24"/>
          <w:szCs w:val="24"/>
        </w:rPr>
        <w:t xml:space="preserve"> </w:t>
      </w:r>
      <w:r w:rsidR="0009376A">
        <w:rPr>
          <w:rFonts w:ascii="Times New Roman" w:hAnsi="Times New Roman" w:cs="Times New Roman"/>
          <w:sz w:val="24"/>
          <w:szCs w:val="24"/>
        </w:rPr>
        <w:t>B</w:t>
      </w:r>
      <w:r w:rsidR="00065838">
        <w:rPr>
          <w:rFonts w:ascii="Times New Roman" w:hAnsi="Times New Roman" w:cs="Times New Roman"/>
          <w:sz w:val="24"/>
          <w:szCs w:val="24"/>
        </w:rPr>
        <w:t xml:space="preserve"> might </w:t>
      </w:r>
      <w:r w:rsidR="00052D1A">
        <w:rPr>
          <w:rFonts w:ascii="Times New Roman" w:hAnsi="Times New Roman" w:cs="Times New Roman"/>
          <w:sz w:val="24"/>
          <w:szCs w:val="24"/>
        </w:rPr>
        <w:t xml:space="preserve">reflect a mid-density </w:t>
      </w:r>
      <w:r w:rsidR="00065838">
        <w:rPr>
          <w:rFonts w:ascii="Times New Roman" w:hAnsi="Times New Roman" w:cs="Times New Roman"/>
          <w:sz w:val="24"/>
          <w:szCs w:val="24"/>
        </w:rPr>
        <w:t xml:space="preserve">settled area and C a major city, where the underlying </w:t>
      </w:r>
      <w:r w:rsidR="00052D1A">
        <w:rPr>
          <w:rFonts w:ascii="Times New Roman" w:hAnsi="Times New Roman" w:cs="Times New Roman"/>
          <w:sz w:val="24"/>
          <w:szCs w:val="24"/>
        </w:rPr>
        <w:t xml:space="preserve">(ray) average </w:t>
      </w:r>
      <w:r w:rsidR="00065838">
        <w:rPr>
          <w:rFonts w:ascii="Times New Roman" w:hAnsi="Times New Roman" w:cs="Times New Roman"/>
          <w:sz w:val="24"/>
          <w:szCs w:val="24"/>
        </w:rPr>
        <w:t xml:space="preserve">cost curve is higher because of constraints on distribution network layout caused by the existence of all manner of other economic infrastructure </w:t>
      </w:r>
      <w:r w:rsidR="00052D1A">
        <w:rPr>
          <w:rFonts w:ascii="Times New Roman" w:hAnsi="Times New Roman" w:cs="Times New Roman"/>
          <w:sz w:val="24"/>
          <w:szCs w:val="24"/>
        </w:rPr>
        <w:t xml:space="preserve">that </w:t>
      </w:r>
      <w:r w:rsidR="0022774E">
        <w:rPr>
          <w:rFonts w:ascii="Times New Roman" w:hAnsi="Times New Roman" w:cs="Times New Roman"/>
          <w:sz w:val="24"/>
          <w:szCs w:val="24"/>
        </w:rPr>
        <w:t>must</w:t>
      </w:r>
      <w:r w:rsidR="00052D1A">
        <w:rPr>
          <w:rFonts w:ascii="Times New Roman" w:hAnsi="Times New Roman" w:cs="Times New Roman"/>
          <w:sz w:val="24"/>
          <w:szCs w:val="24"/>
        </w:rPr>
        <w:t xml:space="preserve"> be worked around </w:t>
      </w:r>
      <w:r w:rsidR="00065838">
        <w:rPr>
          <w:rFonts w:ascii="Times New Roman" w:hAnsi="Times New Roman" w:cs="Times New Roman"/>
          <w:sz w:val="24"/>
          <w:szCs w:val="24"/>
        </w:rPr>
        <w:t xml:space="preserve">(densely packed buildings and roads). </w:t>
      </w:r>
    </w:p>
    <w:p w14:paraId="31AD442B" w14:textId="40B78D5C" w:rsidR="0009376A" w:rsidRDefault="00922A72"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w:t>
      </w:r>
      <w:r w:rsidR="0009376A">
        <w:rPr>
          <w:rFonts w:ascii="Times New Roman" w:hAnsi="Times New Roman" w:cs="Times New Roman"/>
          <w:sz w:val="24"/>
          <w:szCs w:val="24"/>
        </w:rPr>
        <w:t xml:space="preserve">he bottom line is that a great deal of information is required about each individual network in order to correct for the influence of different mixes </w:t>
      </w:r>
      <w:r w:rsidR="00D373CE">
        <w:rPr>
          <w:rFonts w:ascii="Times New Roman" w:hAnsi="Times New Roman" w:cs="Times New Roman"/>
          <w:sz w:val="24"/>
          <w:szCs w:val="24"/>
        </w:rPr>
        <w:t>of locations and physical environments</w:t>
      </w:r>
      <w:r w:rsidR="0009376A">
        <w:rPr>
          <w:rFonts w:ascii="Times New Roman" w:hAnsi="Times New Roman" w:cs="Times New Roman"/>
          <w:sz w:val="24"/>
          <w:szCs w:val="24"/>
        </w:rPr>
        <w:t>.</w:t>
      </w:r>
    </w:p>
    <w:p w14:paraId="5509E3AC" w14:textId="32F2C91D" w:rsidR="00065838"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emphasis of </w:t>
      </w:r>
      <w:r w:rsidR="0009376A">
        <w:rPr>
          <w:rFonts w:ascii="Times New Roman" w:hAnsi="Times New Roman" w:cs="Times New Roman"/>
          <w:sz w:val="24"/>
          <w:szCs w:val="24"/>
        </w:rPr>
        <w:t>C7</w:t>
      </w:r>
      <w:r>
        <w:rPr>
          <w:rFonts w:ascii="Times New Roman" w:hAnsi="Times New Roman" w:cs="Times New Roman"/>
          <w:sz w:val="24"/>
          <w:szCs w:val="24"/>
        </w:rPr>
        <w:t xml:space="preserve">, however, is not on cost efficiencies from building larger networks, but rather on economies of scale in management.  No evidence is presented on this and there are few </w:t>
      </w:r>
      <w:r w:rsidRPr="0009376A">
        <w:rPr>
          <w:rFonts w:ascii="Times New Roman" w:hAnsi="Times New Roman" w:cs="Times New Roman"/>
          <w:i/>
          <w:sz w:val="24"/>
          <w:szCs w:val="24"/>
        </w:rPr>
        <w:t>a priori</w:t>
      </w:r>
      <w:r>
        <w:rPr>
          <w:rFonts w:ascii="Times New Roman" w:hAnsi="Times New Roman" w:cs="Times New Roman"/>
          <w:sz w:val="24"/>
          <w:szCs w:val="24"/>
        </w:rPr>
        <w:t xml:space="preserve"> grounds for assuming that such economies exist.  Thus, whilst a larger management structure may help to ensure that there is greater expertise ‘in house’, it may also bring greater problems of coordination among managers.  The trade-offs between these things will vary with the specifics of the individual commercial context, but it might be noted that small teams are often regarded as more </w:t>
      </w:r>
      <w:r w:rsidR="0009376A">
        <w:rPr>
          <w:rFonts w:ascii="Times New Roman" w:hAnsi="Times New Roman" w:cs="Times New Roman"/>
          <w:sz w:val="24"/>
          <w:szCs w:val="24"/>
        </w:rPr>
        <w:t>effective</w:t>
      </w:r>
      <w:r>
        <w:rPr>
          <w:rFonts w:ascii="Times New Roman" w:hAnsi="Times New Roman" w:cs="Times New Roman"/>
          <w:sz w:val="24"/>
          <w:szCs w:val="24"/>
        </w:rPr>
        <w:t xml:space="preserve"> than large teams when it comes to matters of innovation.  A popular expression of this is the Bezos two-pizza rule: if you can’t feed the team on two pizzas, the team is too big.  </w:t>
      </w:r>
    </w:p>
    <w:p w14:paraId="2668ECB8" w14:textId="503459BD" w:rsidR="00065838" w:rsidRDefault="00216B6B"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There is, however, another twist to the </w:t>
      </w:r>
      <w:r w:rsidR="003973C9">
        <w:rPr>
          <w:rFonts w:ascii="Times New Roman" w:hAnsi="Times New Roman" w:cs="Times New Roman"/>
          <w:sz w:val="24"/>
          <w:szCs w:val="24"/>
        </w:rPr>
        <w:t>issues</w:t>
      </w:r>
      <w:r>
        <w:rPr>
          <w:rFonts w:ascii="Times New Roman" w:hAnsi="Times New Roman" w:cs="Times New Roman"/>
          <w:sz w:val="24"/>
          <w:szCs w:val="24"/>
        </w:rPr>
        <w:t>.</w:t>
      </w:r>
      <w:r w:rsidR="00065838">
        <w:rPr>
          <w:rFonts w:ascii="Times New Roman" w:hAnsi="Times New Roman" w:cs="Times New Roman"/>
          <w:sz w:val="24"/>
          <w:szCs w:val="24"/>
        </w:rPr>
        <w:t xml:space="preserve">  What </w:t>
      </w:r>
      <w:r>
        <w:rPr>
          <w:rFonts w:ascii="Times New Roman" w:hAnsi="Times New Roman" w:cs="Times New Roman"/>
          <w:sz w:val="24"/>
          <w:szCs w:val="24"/>
        </w:rPr>
        <w:t>C7</w:t>
      </w:r>
      <w:r w:rsidR="00065838">
        <w:rPr>
          <w:rFonts w:ascii="Times New Roman" w:hAnsi="Times New Roman" w:cs="Times New Roman"/>
          <w:sz w:val="24"/>
          <w:szCs w:val="24"/>
        </w:rPr>
        <w:t xml:space="preserve"> is effectively recommending is amalgamations among smaller EDB’s, in the name of more effective management</w:t>
      </w:r>
      <w:r>
        <w:rPr>
          <w:rFonts w:ascii="Times New Roman" w:hAnsi="Times New Roman" w:cs="Times New Roman"/>
          <w:sz w:val="24"/>
          <w:szCs w:val="24"/>
        </w:rPr>
        <w:t xml:space="preserve">. </w:t>
      </w:r>
      <w:r w:rsidR="00CE7A05">
        <w:rPr>
          <w:rFonts w:ascii="Times New Roman" w:hAnsi="Times New Roman" w:cs="Times New Roman"/>
          <w:sz w:val="24"/>
          <w:szCs w:val="24"/>
        </w:rPr>
        <w:t xml:space="preserve"> Here</w:t>
      </w:r>
      <w:r>
        <w:rPr>
          <w:rFonts w:ascii="Times New Roman" w:hAnsi="Times New Roman" w:cs="Times New Roman"/>
          <w:sz w:val="24"/>
          <w:szCs w:val="24"/>
        </w:rPr>
        <w:t xml:space="preserve"> there is extensive </w:t>
      </w:r>
      <w:r w:rsidR="00065838">
        <w:rPr>
          <w:rFonts w:ascii="Times New Roman" w:hAnsi="Times New Roman" w:cs="Times New Roman"/>
          <w:sz w:val="24"/>
          <w:szCs w:val="24"/>
        </w:rPr>
        <w:t>evidence</w:t>
      </w:r>
      <w:r w:rsidR="00D373CE">
        <w:rPr>
          <w:rFonts w:ascii="Times New Roman" w:hAnsi="Times New Roman" w:cs="Times New Roman"/>
          <w:sz w:val="24"/>
          <w:szCs w:val="24"/>
        </w:rPr>
        <w:t xml:space="preserve"> – </w:t>
      </w:r>
      <w:r w:rsidR="00065838">
        <w:rPr>
          <w:rFonts w:ascii="Times New Roman" w:hAnsi="Times New Roman" w:cs="Times New Roman"/>
          <w:sz w:val="24"/>
          <w:szCs w:val="24"/>
        </w:rPr>
        <w:t xml:space="preserve">from many studies, in many </w:t>
      </w:r>
      <w:r w:rsidR="00D373CE">
        <w:rPr>
          <w:rFonts w:ascii="Times New Roman" w:hAnsi="Times New Roman" w:cs="Times New Roman"/>
          <w:sz w:val="24"/>
          <w:szCs w:val="24"/>
        </w:rPr>
        <w:t xml:space="preserve">sectors and </w:t>
      </w:r>
      <w:r w:rsidR="00065838">
        <w:rPr>
          <w:rFonts w:ascii="Times New Roman" w:hAnsi="Times New Roman" w:cs="Times New Roman"/>
          <w:sz w:val="24"/>
          <w:szCs w:val="24"/>
        </w:rPr>
        <w:t xml:space="preserve">countries, over several decades </w:t>
      </w:r>
      <w:r w:rsidR="00D373CE">
        <w:rPr>
          <w:rFonts w:ascii="Times New Roman" w:hAnsi="Times New Roman" w:cs="Times New Roman"/>
          <w:sz w:val="24"/>
          <w:szCs w:val="24"/>
        </w:rPr>
        <w:t xml:space="preserve">– </w:t>
      </w:r>
      <w:r w:rsidR="00065838">
        <w:rPr>
          <w:rFonts w:ascii="Times New Roman" w:hAnsi="Times New Roman" w:cs="Times New Roman"/>
          <w:sz w:val="24"/>
          <w:szCs w:val="24"/>
        </w:rPr>
        <w:t>about pre- and post-amalgamation performance</w:t>
      </w:r>
      <w:r>
        <w:rPr>
          <w:rFonts w:ascii="Times New Roman" w:hAnsi="Times New Roman" w:cs="Times New Roman"/>
          <w:sz w:val="24"/>
          <w:szCs w:val="24"/>
        </w:rPr>
        <w:t xml:space="preserve"> of businesses</w:t>
      </w:r>
      <w:r w:rsidR="00065838">
        <w:rPr>
          <w:rFonts w:ascii="Times New Roman" w:hAnsi="Times New Roman" w:cs="Times New Roman"/>
          <w:sz w:val="24"/>
          <w:szCs w:val="24"/>
        </w:rPr>
        <w:t xml:space="preserve">.  </w:t>
      </w:r>
      <w:r w:rsidR="00D373CE">
        <w:rPr>
          <w:rFonts w:ascii="Times New Roman" w:hAnsi="Times New Roman" w:cs="Times New Roman"/>
          <w:sz w:val="24"/>
          <w:szCs w:val="24"/>
        </w:rPr>
        <w:t>P</w:t>
      </w:r>
      <w:r>
        <w:rPr>
          <w:rFonts w:ascii="Times New Roman" w:hAnsi="Times New Roman" w:cs="Times New Roman"/>
          <w:sz w:val="24"/>
          <w:szCs w:val="24"/>
        </w:rPr>
        <w:t>ost-amalgamation</w:t>
      </w:r>
      <w:r w:rsidR="00065838">
        <w:rPr>
          <w:rFonts w:ascii="Times New Roman" w:hAnsi="Times New Roman" w:cs="Times New Roman"/>
          <w:sz w:val="24"/>
          <w:szCs w:val="24"/>
        </w:rPr>
        <w:t xml:space="preserve"> performance is very frequently disappointing relative to prior expectations, and quite frequently is </w:t>
      </w:r>
      <w:r>
        <w:rPr>
          <w:rFonts w:ascii="Times New Roman" w:hAnsi="Times New Roman" w:cs="Times New Roman"/>
          <w:sz w:val="24"/>
          <w:szCs w:val="24"/>
        </w:rPr>
        <w:t>worse</w:t>
      </w:r>
      <w:r w:rsidR="00065838">
        <w:rPr>
          <w:rFonts w:ascii="Times New Roman" w:hAnsi="Times New Roman" w:cs="Times New Roman"/>
          <w:sz w:val="24"/>
          <w:szCs w:val="24"/>
        </w:rPr>
        <w:t xml:space="preserve">.  </w:t>
      </w:r>
      <w:r w:rsidR="00CE7A05">
        <w:rPr>
          <w:rFonts w:ascii="Times New Roman" w:hAnsi="Times New Roman" w:cs="Times New Roman"/>
          <w:sz w:val="24"/>
          <w:szCs w:val="24"/>
        </w:rPr>
        <w:t>Many</w:t>
      </w:r>
      <w:r w:rsidR="00065838">
        <w:rPr>
          <w:rFonts w:ascii="Times New Roman" w:hAnsi="Times New Roman" w:cs="Times New Roman"/>
          <w:sz w:val="24"/>
          <w:szCs w:val="24"/>
        </w:rPr>
        <w:t xml:space="preserve"> years ago, as an undergraduate, I listened to lectures from two faculty members (</w:t>
      </w:r>
      <w:proofErr w:type="spellStart"/>
      <w:r w:rsidR="00065838">
        <w:rPr>
          <w:rFonts w:ascii="Times New Roman" w:hAnsi="Times New Roman" w:cs="Times New Roman"/>
          <w:sz w:val="24"/>
          <w:szCs w:val="24"/>
        </w:rPr>
        <w:t>Ajit</w:t>
      </w:r>
      <w:proofErr w:type="spellEnd"/>
      <w:r w:rsidR="00065838">
        <w:rPr>
          <w:rFonts w:ascii="Times New Roman" w:hAnsi="Times New Roman" w:cs="Times New Roman"/>
          <w:sz w:val="24"/>
          <w:szCs w:val="24"/>
        </w:rPr>
        <w:t xml:space="preserve"> Singh and Geoffrey Whittington) who had each</w:t>
      </w:r>
      <w:r w:rsidR="00D373CE">
        <w:rPr>
          <w:rFonts w:ascii="Times New Roman" w:hAnsi="Times New Roman" w:cs="Times New Roman"/>
          <w:sz w:val="24"/>
          <w:szCs w:val="24"/>
        </w:rPr>
        <w:t xml:space="preserve">, independently </w:t>
      </w:r>
      <w:r w:rsidR="00065838">
        <w:rPr>
          <w:rFonts w:ascii="Times New Roman" w:hAnsi="Times New Roman" w:cs="Times New Roman"/>
          <w:sz w:val="24"/>
          <w:szCs w:val="24"/>
        </w:rPr>
        <w:t>published books on the effects of mergers on economic performance</w:t>
      </w:r>
      <w:r w:rsidR="00D373CE">
        <w:rPr>
          <w:rFonts w:ascii="Times New Roman" w:hAnsi="Times New Roman" w:cs="Times New Roman"/>
          <w:sz w:val="24"/>
          <w:szCs w:val="24"/>
        </w:rPr>
        <w:t>.  E</w:t>
      </w:r>
      <w:r w:rsidR="00065838">
        <w:rPr>
          <w:rFonts w:ascii="Times New Roman" w:hAnsi="Times New Roman" w:cs="Times New Roman"/>
          <w:sz w:val="24"/>
          <w:szCs w:val="24"/>
        </w:rPr>
        <w:t xml:space="preserve">ach </w:t>
      </w:r>
      <w:r w:rsidR="00D373CE">
        <w:rPr>
          <w:rFonts w:ascii="Times New Roman" w:hAnsi="Times New Roman" w:cs="Times New Roman"/>
          <w:sz w:val="24"/>
          <w:szCs w:val="24"/>
        </w:rPr>
        <w:t xml:space="preserve">text </w:t>
      </w:r>
      <w:r w:rsidR="00065838">
        <w:rPr>
          <w:rFonts w:ascii="Times New Roman" w:hAnsi="Times New Roman" w:cs="Times New Roman"/>
          <w:sz w:val="24"/>
          <w:szCs w:val="24"/>
        </w:rPr>
        <w:t>was an empirical study</w:t>
      </w:r>
      <w:r w:rsidR="00D373CE">
        <w:rPr>
          <w:rFonts w:ascii="Times New Roman" w:hAnsi="Times New Roman" w:cs="Times New Roman"/>
          <w:sz w:val="24"/>
          <w:szCs w:val="24"/>
        </w:rPr>
        <w:t xml:space="preserve"> and each study reached</w:t>
      </w:r>
      <w:r w:rsidR="00065838">
        <w:rPr>
          <w:rFonts w:ascii="Times New Roman" w:hAnsi="Times New Roman" w:cs="Times New Roman"/>
          <w:sz w:val="24"/>
          <w:szCs w:val="24"/>
        </w:rPr>
        <w:t xml:space="preserve"> broadly similar conclusions.  Whittington’s book was called: </w:t>
      </w:r>
      <w:r w:rsidR="00065838" w:rsidRPr="00D373CE">
        <w:rPr>
          <w:rFonts w:ascii="Times New Roman" w:hAnsi="Times New Roman" w:cs="Times New Roman"/>
          <w:i/>
          <w:sz w:val="24"/>
          <w:szCs w:val="24"/>
        </w:rPr>
        <w:t>Disappointing Marriage: A Study of the Gains from Mergers</w:t>
      </w:r>
      <w:r w:rsidR="00065838">
        <w:rPr>
          <w:rFonts w:ascii="Times New Roman" w:hAnsi="Times New Roman" w:cs="Times New Roman"/>
          <w:sz w:val="24"/>
          <w:szCs w:val="24"/>
        </w:rPr>
        <w:t xml:space="preserve"> (on average there were no benefits).  I have seen </w:t>
      </w:r>
      <w:r w:rsidR="00D373CE">
        <w:rPr>
          <w:rFonts w:ascii="Times New Roman" w:hAnsi="Times New Roman" w:cs="Times New Roman"/>
          <w:sz w:val="24"/>
          <w:szCs w:val="24"/>
        </w:rPr>
        <w:t>those</w:t>
      </w:r>
      <w:r w:rsidR="00065838">
        <w:rPr>
          <w:rFonts w:ascii="Times New Roman" w:hAnsi="Times New Roman" w:cs="Times New Roman"/>
          <w:sz w:val="24"/>
          <w:szCs w:val="24"/>
        </w:rPr>
        <w:t xml:space="preserve"> results replicated on multiple occasions </w:t>
      </w:r>
      <w:r w:rsidR="00D373CE">
        <w:rPr>
          <w:rFonts w:ascii="Times New Roman" w:hAnsi="Times New Roman" w:cs="Times New Roman"/>
          <w:sz w:val="24"/>
          <w:szCs w:val="24"/>
        </w:rPr>
        <w:t xml:space="preserve">and in multiple sectors in the decades </w:t>
      </w:r>
      <w:r w:rsidR="00065838">
        <w:rPr>
          <w:rFonts w:ascii="Times New Roman" w:hAnsi="Times New Roman" w:cs="Times New Roman"/>
          <w:sz w:val="24"/>
          <w:szCs w:val="24"/>
        </w:rPr>
        <w:t>since.</w:t>
      </w:r>
    </w:p>
    <w:p w14:paraId="4158EF58" w14:textId="280786EC" w:rsidR="003973C9" w:rsidRPr="003973C9" w:rsidRDefault="003973C9"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most directly relevant is co-authored by one of my own </w:t>
      </w:r>
      <w:r w:rsidR="00D373CE">
        <w:rPr>
          <w:rFonts w:ascii="Times New Roman" w:hAnsi="Times New Roman" w:cs="Times New Roman"/>
          <w:sz w:val="24"/>
          <w:szCs w:val="24"/>
        </w:rPr>
        <w:t xml:space="preserve">former </w:t>
      </w:r>
      <w:r>
        <w:rPr>
          <w:rFonts w:ascii="Times New Roman" w:hAnsi="Times New Roman" w:cs="Times New Roman"/>
          <w:sz w:val="24"/>
          <w:szCs w:val="24"/>
        </w:rPr>
        <w:t xml:space="preserve">graduate students, Professor Michael Pollitt, and is focused on mergers between electricity distribution companies.  I can do no better than </w:t>
      </w:r>
      <w:r w:rsidR="00D373CE">
        <w:rPr>
          <w:rFonts w:ascii="Times New Roman" w:hAnsi="Times New Roman" w:cs="Times New Roman"/>
          <w:sz w:val="24"/>
          <w:szCs w:val="24"/>
        </w:rPr>
        <w:t>reproduce</w:t>
      </w:r>
      <w:r>
        <w:rPr>
          <w:rFonts w:ascii="Times New Roman" w:hAnsi="Times New Roman" w:cs="Times New Roman"/>
          <w:sz w:val="24"/>
          <w:szCs w:val="24"/>
        </w:rPr>
        <w:t xml:space="preserve"> the abstract </w:t>
      </w:r>
      <w:r w:rsidR="00D373CE">
        <w:rPr>
          <w:rFonts w:ascii="Times New Roman" w:hAnsi="Times New Roman" w:cs="Times New Roman"/>
          <w:sz w:val="24"/>
          <w:szCs w:val="24"/>
        </w:rPr>
        <w:t>of his</w:t>
      </w:r>
      <w:r>
        <w:rPr>
          <w:rFonts w:ascii="Times New Roman" w:hAnsi="Times New Roman" w:cs="Times New Roman"/>
          <w:sz w:val="24"/>
          <w:szCs w:val="24"/>
        </w:rPr>
        <w:t xml:space="preserve"> paper </w:t>
      </w:r>
      <w:r w:rsidR="00D373CE">
        <w:rPr>
          <w:rFonts w:ascii="Times New Roman" w:hAnsi="Times New Roman" w:cs="Times New Roman"/>
          <w:sz w:val="24"/>
          <w:szCs w:val="24"/>
        </w:rPr>
        <w:t>with John</w:t>
      </w:r>
      <w:r>
        <w:rPr>
          <w:rFonts w:ascii="Times New Roman" w:hAnsi="Times New Roman" w:cs="Times New Roman"/>
          <w:sz w:val="24"/>
          <w:szCs w:val="24"/>
        </w:rPr>
        <w:t xml:space="preserve"> </w:t>
      </w:r>
      <w:proofErr w:type="spellStart"/>
      <w:r>
        <w:rPr>
          <w:rFonts w:ascii="Times New Roman" w:hAnsi="Times New Roman" w:cs="Times New Roman"/>
          <w:sz w:val="24"/>
          <w:szCs w:val="24"/>
        </w:rPr>
        <w:t>Kwoka</w:t>
      </w:r>
      <w:proofErr w:type="spellEnd"/>
      <w:r>
        <w:rPr>
          <w:rFonts w:ascii="Times New Roman" w:hAnsi="Times New Roman" w:cs="Times New Roman"/>
          <w:sz w:val="24"/>
          <w:szCs w:val="24"/>
        </w:rPr>
        <w:t xml:space="preserve"> (2014)</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00D373CE">
        <w:rPr>
          <w:rFonts w:ascii="Times New Roman" w:hAnsi="Times New Roman" w:cs="Times New Roman"/>
          <w:sz w:val="24"/>
          <w:szCs w:val="24"/>
        </w:rPr>
        <w:t xml:space="preserve">  </w:t>
      </w:r>
      <w:r>
        <w:rPr>
          <w:rFonts w:ascii="Times New Roman" w:hAnsi="Times New Roman" w:cs="Times New Roman"/>
          <w:i/>
          <w:color w:val="000000"/>
          <w:sz w:val="24"/>
          <w:szCs w:val="24"/>
        </w:rPr>
        <w:t>“</w:t>
      </w:r>
      <w:r w:rsidRPr="003973C9">
        <w:rPr>
          <w:rFonts w:ascii="Times New Roman" w:hAnsi="Times New Roman" w:cs="Times New Roman"/>
          <w:i/>
          <w:color w:val="000000"/>
          <w:sz w:val="24"/>
          <w:szCs w:val="24"/>
        </w:rPr>
        <w:t xml:space="preserve">This paper analyses the performance impact of the merger wave which took place in the US electricity industry during the period 1994-2003. It does so by </w:t>
      </w:r>
      <w:proofErr w:type="spellStart"/>
      <w:r w:rsidRPr="003973C9">
        <w:rPr>
          <w:rFonts w:ascii="Times New Roman" w:hAnsi="Times New Roman" w:cs="Times New Roman"/>
          <w:i/>
          <w:color w:val="000000"/>
          <w:sz w:val="24"/>
          <w:szCs w:val="24"/>
        </w:rPr>
        <w:t>analyzing</w:t>
      </w:r>
      <w:proofErr w:type="spellEnd"/>
      <w:r w:rsidRPr="003973C9">
        <w:rPr>
          <w:rFonts w:ascii="Times New Roman" w:hAnsi="Times New Roman" w:cs="Times New Roman"/>
          <w:i/>
          <w:color w:val="000000"/>
          <w:sz w:val="24"/>
          <w:szCs w:val="24"/>
        </w:rPr>
        <w:t xml:space="preserve"> the impact on operating and total cost in electricity distribution. While there are past studies of efficiency and productivity effects, as well as of prices, profits, and other outcomes, this study differs in several ways. First, the database consists of many merging and non-merging firms, rather than only a few on which to base inferences. Second, all of these mergers arise in a single industry, greatly facilitating controlled comparison. Third, we have data on the several years of pre-merger and post-merger efficiency of the specific merging units, unlike virtually all past studies. And finally, we employ a powerful nonparametric technique – data envelopment analysis – to measure the efficiency of each operating unit. </w:t>
      </w:r>
      <w:r w:rsidRPr="003973C9">
        <w:rPr>
          <w:rFonts w:ascii="Times New Roman" w:hAnsi="Times New Roman" w:cs="Times New Roman"/>
          <w:i/>
          <w:color w:val="000000"/>
          <w:sz w:val="24"/>
          <w:szCs w:val="24"/>
          <w:u w:val="single"/>
        </w:rPr>
        <w:t>The results indicate that electricity mergers are not consistent with improved cost performance</w:t>
      </w:r>
      <w:r w:rsidRPr="00D373CE">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[My emphasis.]</w:t>
      </w:r>
    </w:p>
    <w:p w14:paraId="25E9D365" w14:textId="5838E343" w:rsidR="00065838"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One problem stems from the fact that different businesses have their own unique ways of doing things (their own management cultures) and an amalgamation immediately entails efforts to meld these cultures.  That is not a straightforward task and it can take several years to achieve.  Meanwhile, performance tends to suffer, both because of clashes in managerial styles and due to the distraction of attention and effort</w:t>
      </w:r>
      <w:r w:rsidR="007016BC">
        <w:rPr>
          <w:rFonts w:ascii="Times New Roman" w:hAnsi="Times New Roman" w:cs="Times New Roman"/>
          <w:sz w:val="24"/>
          <w:szCs w:val="24"/>
        </w:rPr>
        <w:t>,</w:t>
      </w:r>
      <w:r>
        <w:rPr>
          <w:rFonts w:ascii="Times New Roman" w:hAnsi="Times New Roman" w:cs="Times New Roman"/>
          <w:sz w:val="24"/>
          <w:szCs w:val="24"/>
        </w:rPr>
        <w:t xml:space="preserve"> toward managerial re-organisation and away from the main </w:t>
      </w:r>
      <w:r w:rsidR="00ED5EDE">
        <w:rPr>
          <w:rFonts w:ascii="Times New Roman" w:hAnsi="Times New Roman" w:cs="Times New Roman"/>
          <w:sz w:val="24"/>
          <w:szCs w:val="24"/>
        </w:rPr>
        <w:t>purposes</w:t>
      </w:r>
      <w:r>
        <w:rPr>
          <w:rFonts w:ascii="Times New Roman" w:hAnsi="Times New Roman" w:cs="Times New Roman"/>
          <w:sz w:val="24"/>
          <w:szCs w:val="24"/>
        </w:rPr>
        <w:t xml:space="preserve"> of the enterprise</w:t>
      </w:r>
      <w:r w:rsidR="00ED5ED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DE5A72" w14:textId="57A063D8" w:rsidR="00065838" w:rsidRDefault="003973C9"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Returning to the </w:t>
      </w:r>
      <w:r w:rsidR="002562E6">
        <w:rPr>
          <w:rFonts w:ascii="Times New Roman" w:hAnsi="Times New Roman" w:cs="Times New Roman"/>
          <w:sz w:val="24"/>
          <w:szCs w:val="24"/>
        </w:rPr>
        <w:t>more general question of scale economies (aside from amalgamations), a</w:t>
      </w:r>
      <w:r w:rsidR="00065838">
        <w:rPr>
          <w:rFonts w:ascii="Times New Roman" w:hAnsi="Times New Roman" w:cs="Times New Roman"/>
          <w:sz w:val="24"/>
          <w:szCs w:val="24"/>
        </w:rPr>
        <w:t xml:space="preserve">s already </w:t>
      </w:r>
      <w:r w:rsidR="00ED5EDE">
        <w:rPr>
          <w:rFonts w:ascii="Times New Roman" w:hAnsi="Times New Roman" w:cs="Times New Roman"/>
          <w:sz w:val="24"/>
          <w:szCs w:val="24"/>
        </w:rPr>
        <w:t>indicated</w:t>
      </w:r>
      <w:r w:rsidR="00065838">
        <w:rPr>
          <w:rFonts w:ascii="Times New Roman" w:hAnsi="Times New Roman" w:cs="Times New Roman"/>
          <w:sz w:val="24"/>
          <w:szCs w:val="24"/>
        </w:rPr>
        <w:t xml:space="preserve"> </w:t>
      </w:r>
      <w:r>
        <w:rPr>
          <w:rFonts w:ascii="Times New Roman" w:hAnsi="Times New Roman" w:cs="Times New Roman"/>
          <w:sz w:val="24"/>
          <w:szCs w:val="24"/>
        </w:rPr>
        <w:t>C7</w:t>
      </w:r>
      <w:r w:rsidR="00065838">
        <w:rPr>
          <w:rFonts w:ascii="Times New Roman" w:hAnsi="Times New Roman" w:cs="Times New Roman"/>
          <w:sz w:val="24"/>
          <w:szCs w:val="24"/>
        </w:rPr>
        <w:t xml:space="preserve"> notes that </w:t>
      </w:r>
      <w:r w:rsidR="00065838" w:rsidRPr="003973C9">
        <w:rPr>
          <w:rFonts w:ascii="Times New Roman" w:hAnsi="Times New Roman" w:cs="Times New Roman"/>
          <w:i/>
          <w:sz w:val="24"/>
          <w:szCs w:val="24"/>
        </w:rPr>
        <w:t>“no official empirical analysis of economies of scale among EDBs has been undertaken”</w:t>
      </w:r>
      <w:r w:rsidR="00065838">
        <w:rPr>
          <w:rFonts w:ascii="Times New Roman" w:hAnsi="Times New Roman" w:cs="Times New Roman"/>
          <w:sz w:val="24"/>
          <w:szCs w:val="24"/>
        </w:rPr>
        <w:t xml:space="preserve"> </w:t>
      </w:r>
      <w:r w:rsidR="00065838" w:rsidRPr="008800A9">
        <w:rPr>
          <w:rFonts w:ascii="Times New Roman" w:hAnsi="Times New Roman" w:cs="Times New Roman"/>
          <w:sz w:val="24"/>
          <w:szCs w:val="24"/>
        </w:rPr>
        <w:t>and</w:t>
      </w:r>
      <w:r w:rsidR="00065838">
        <w:rPr>
          <w:rFonts w:ascii="Times New Roman" w:hAnsi="Times New Roman" w:cs="Times New Roman"/>
          <w:sz w:val="24"/>
          <w:szCs w:val="24"/>
        </w:rPr>
        <w:t xml:space="preserve">, in the light of the above discussion, it is not difficult to understand why.  If there is little prospect that such work would yield informative results, there is no justification for allocating scarce administrative resources to the task. </w:t>
      </w:r>
    </w:p>
    <w:p w14:paraId="53D9DAEC" w14:textId="1DF771CF" w:rsidR="00632008"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Academic work on the issue has also been relatively limited, although a few papers have been produced, largely grounded in the conceptual framework of static economics and conducted in time periods before changing technologies had become a major issue. </w:t>
      </w:r>
      <w:r w:rsidR="00632008">
        <w:rPr>
          <w:rFonts w:ascii="Times New Roman" w:hAnsi="Times New Roman" w:cs="Times New Roman"/>
          <w:sz w:val="24"/>
          <w:szCs w:val="24"/>
        </w:rPr>
        <w:t xml:space="preserve"> Even more problematically, whenever they rely heavily on (cross-sectional) data drawn from different distributors they flounder on the rocks of non-comparability, unable to adjust for the uniqueness of each and every business.</w:t>
      </w:r>
    </w:p>
    <w:p w14:paraId="5568816C" w14:textId="0692E094" w:rsidR="00065838"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studies, therefore, </w:t>
      </w:r>
      <w:r w:rsidR="0022774E">
        <w:rPr>
          <w:rFonts w:ascii="Times New Roman" w:hAnsi="Times New Roman" w:cs="Times New Roman"/>
          <w:sz w:val="24"/>
          <w:szCs w:val="24"/>
        </w:rPr>
        <w:t>must</w:t>
      </w:r>
      <w:r>
        <w:rPr>
          <w:rFonts w:ascii="Times New Roman" w:hAnsi="Times New Roman" w:cs="Times New Roman"/>
          <w:sz w:val="24"/>
          <w:szCs w:val="24"/>
        </w:rPr>
        <w:t xml:space="preserve"> be approached with </w:t>
      </w:r>
      <w:r w:rsidR="00ED5EDE">
        <w:rPr>
          <w:rFonts w:ascii="Times New Roman" w:hAnsi="Times New Roman" w:cs="Times New Roman"/>
          <w:sz w:val="24"/>
          <w:szCs w:val="24"/>
        </w:rPr>
        <w:t>a considerable degree</w:t>
      </w:r>
      <w:r>
        <w:rPr>
          <w:rFonts w:ascii="Times New Roman" w:hAnsi="Times New Roman" w:cs="Times New Roman"/>
          <w:sz w:val="24"/>
          <w:szCs w:val="24"/>
        </w:rPr>
        <w:t xml:space="preserve"> </w:t>
      </w:r>
      <w:r w:rsidR="00CE7A05">
        <w:rPr>
          <w:rFonts w:ascii="Times New Roman" w:hAnsi="Times New Roman" w:cs="Times New Roman"/>
          <w:sz w:val="24"/>
          <w:szCs w:val="24"/>
        </w:rPr>
        <w:t xml:space="preserve">of </w:t>
      </w:r>
      <w:r>
        <w:rPr>
          <w:rFonts w:ascii="Times New Roman" w:hAnsi="Times New Roman" w:cs="Times New Roman"/>
          <w:sz w:val="24"/>
          <w:szCs w:val="24"/>
        </w:rPr>
        <w:t xml:space="preserve">caution, but, having given that health warning, it is safe to say that they have found no </w:t>
      </w:r>
      <w:r w:rsidR="002562E6">
        <w:rPr>
          <w:rFonts w:ascii="Times New Roman" w:hAnsi="Times New Roman" w:cs="Times New Roman"/>
          <w:sz w:val="24"/>
          <w:szCs w:val="24"/>
        </w:rPr>
        <w:t xml:space="preserve">convincing </w:t>
      </w:r>
      <w:r>
        <w:rPr>
          <w:rFonts w:ascii="Times New Roman" w:hAnsi="Times New Roman" w:cs="Times New Roman"/>
          <w:sz w:val="24"/>
          <w:szCs w:val="24"/>
        </w:rPr>
        <w:t>evidence of significant economies of scale in electricity distribution, other than at very small</w:t>
      </w:r>
      <w:r w:rsidR="00CE7A05">
        <w:rPr>
          <w:rFonts w:ascii="Times New Roman" w:hAnsi="Times New Roman" w:cs="Times New Roman"/>
          <w:sz w:val="24"/>
          <w:szCs w:val="24"/>
        </w:rPr>
        <w:t xml:space="preserve"> scale</w:t>
      </w:r>
      <w:r w:rsidR="00922A72">
        <w:rPr>
          <w:rFonts w:ascii="Times New Roman" w:hAnsi="Times New Roman" w:cs="Times New Roman"/>
          <w:sz w:val="24"/>
          <w:szCs w:val="24"/>
        </w:rPr>
        <w:t>.</w:t>
      </w:r>
    </w:p>
    <w:p w14:paraId="2833797C" w14:textId="3BAF3BCD" w:rsidR="000345A6"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 good example of this type of </w:t>
      </w:r>
      <w:r w:rsidR="00632008">
        <w:rPr>
          <w:rFonts w:ascii="Times New Roman" w:hAnsi="Times New Roman" w:cs="Times New Roman"/>
          <w:sz w:val="24"/>
          <w:szCs w:val="24"/>
        </w:rPr>
        <w:t>study</w:t>
      </w:r>
      <w:r>
        <w:rPr>
          <w:rFonts w:ascii="Times New Roman" w:hAnsi="Times New Roman" w:cs="Times New Roman"/>
          <w:sz w:val="24"/>
          <w:szCs w:val="24"/>
        </w:rPr>
        <w:t xml:space="preserve"> is that of </w:t>
      </w:r>
      <w:proofErr w:type="spellStart"/>
      <w:r>
        <w:rPr>
          <w:rFonts w:ascii="Times New Roman" w:hAnsi="Times New Roman" w:cs="Times New Roman"/>
          <w:sz w:val="24"/>
          <w:szCs w:val="24"/>
        </w:rPr>
        <w:t>Y</w:t>
      </w:r>
      <w:r w:rsidR="002562E6">
        <w:rPr>
          <w:rFonts w:ascii="Times New Roman" w:hAnsi="Times New Roman" w:cs="Times New Roman"/>
          <w:sz w:val="24"/>
          <w:szCs w:val="24"/>
        </w:rPr>
        <w:t>a</w:t>
      </w:r>
      <w:r>
        <w:rPr>
          <w:rFonts w:ascii="Times New Roman" w:hAnsi="Times New Roman" w:cs="Times New Roman"/>
          <w:sz w:val="24"/>
          <w:szCs w:val="24"/>
        </w:rPr>
        <w:t>tchew</w:t>
      </w:r>
      <w:proofErr w:type="spellEnd"/>
      <w:r w:rsidR="002562E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based on a sample of 81 municipal distributors in Ontario, Canada, over the three years 1993-95, ranging in size from around 600 to 220,000 customers.  The cost data were drawn from accounts prepared on a uniform basis prescribed by the Ontario regulator.  </w:t>
      </w:r>
      <w:r w:rsidR="000345A6">
        <w:rPr>
          <w:rFonts w:ascii="Times New Roman" w:hAnsi="Times New Roman" w:cs="Times New Roman"/>
          <w:sz w:val="24"/>
          <w:szCs w:val="24"/>
        </w:rPr>
        <w:t xml:space="preserve">A diagram from the paper showing </w:t>
      </w:r>
      <w:r w:rsidR="00CE7A05">
        <w:rPr>
          <w:rFonts w:ascii="Times New Roman" w:hAnsi="Times New Roman" w:cs="Times New Roman"/>
          <w:sz w:val="24"/>
          <w:szCs w:val="24"/>
        </w:rPr>
        <w:t xml:space="preserve">actual (measured) </w:t>
      </w:r>
      <w:r w:rsidR="000345A6">
        <w:rPr>
          <w:rFonts w:ascii="Times New Roman" w:hAnsi="Times New Roman" w:cs="Times New Roman"/>
          <w:sz w:val="24"/>
          <w:szCs w:val="24"/>
        </w:rPr>
        <w:t xml:space="preserve">costs and estimated (from the modelling) costs is reproduced below.  </w:t>
      </w:r>
    </w:p>
    <w:p w14:paraId="3AA901A2" w14:textId="77777777" w:rsidR="00211E3B" w:rsidRPr="000345A6" w:rsidRDefault="00211E3B" w:rsidP="00211E3B">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fitted curves are very flat over a wide range and it is evident that scale alone explains very little of the observed cost variations.  Although difficult to see, the kernel estimates show the first flat section emerging at around 4,000 customers (remembering that the horizontal axis uses a logarithmic scale) and I think it near certain that no higher estimate of minimum efficient scale would come close to being (statistically) significantly different from that number.  </w:t>
      </w:r>
      <w:proofErr w:type="spellStart"/>
      <w:r>
        <w:rPr>
          <w:rFonts w:ascii="Times New Roman" w:hAnsi="Times New Roman" w:cs="Times New Roman"/>
          <w:sz w:val="24"/>
          <w:szCs w:val="24"/>
        </w:rPr>
        <w:t>Yatchew</w:t>
      </w:r>
      <w:proofErr w:type="spellEnd"/>
      <w:r>
        <w:rPr>
          <w:rFonts w:ascii="Times New Roman" w:hAnsi="Times New Roman" w:cs="Times New Roman"/>
          <w:sz w:val="24"/>
          <w:szCs w:val="24"/>
        </w:rPr>
        <w:t xml:space="preserve">, in summarising earlier studies covering New Zealand, Norway and Switzerland additionally notes that the NZ and Norwegian studies suggest that </w:t>
      </w:r>
      <w:r w:rsidRPr="00723F12">
        <w:rPr>
          <w:rFonts w:ascii="Times New Roman" w:hAnsi="Times New Roman" w:cs="Times New Roman"/>
          <w:i/>
          <w:sz w:val="24"/>
          <w:szCs w:val="24"/>
        </w:rPr>
        <w:t>“minimum efficient scale occurs at surprisingly small scales of operation.”</w:t>
      </w:r>
      <w:r>
        <w:rPr>
          <w:rFonts w:ascii="Times New Roman" w:hAnsi="Times New Roman" w:cs="Times New Roman"/>
          <w:i/>
          <w:sz w:val="24"/>
          <w:szCs w:val="24"/>
        </w:rPr>
        <w:t xml:space="preserve"> </w:t>
      </w:r>
    </w:p>
    <w:p w14:paraId="1658EE53" w14:textId="77777777" w:rsidR="00065838" w:rsidRDefault="00065838" w:rsidP="001B195F">
      <w:pPr>
        <w:autoSpaceDE w:val="0"/>
        <w:autoSpaceDN w:val="0"/>
        <w:adjustRightInd w:val="0"/>
        <w:spacing w:line="276" w:lineRule="auto"/>
        <w:rPr>
          <w:rFonts w:ascii="Times New Roman" w:hAnsi="Times New Roman" w:cs="Times New Roman"/>
          <w:sz w:val="24"/>
          <w:szCs w:val="24"/>
        </w:rPr>
      </w:pPr>
      <w:r w:rsidRPr="006D2D7C">
        <w:rPr>
          <w:rFonts w:ascii="Times New Roman" w:hAnsi="Times New Roman" w:cs="Times New Roman"/>
          <w:b/>
          <w:noProof/>
          <w:sz w:val="24"/>
          <w:szCs w:val="24"/>
          <w:lang w:val="en-US"/>
        </w:rPr>
        <w:drawing>
          <wp:inline distT="0" distB="0" distL="0" distR="0" wp14:anchorId="50E1FD49" wp14:editId="08BEBFBA">
            <wp:extent cx="5731510" cy="3618865"/>
            <wp:effectExtent l="0" t="0" r="254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618865"/>
                    </a:xfrm>
                    <a:prstGeom prst="rect">
                      <a:avLst/>
                    </a:prstGeom>
                    <a:noFill/>
                    <a:ln>
                      <a:noFill/>
                    </a:ln>
                  </pic:spPr>
                </pic:pic>
              </a:graphicData>
            </a:graphic>
          </wp:inline>
        </w:drawing>
      </w:r>
    </w:p>
    <w:p w14:paraId="6CBBA491" w14:textId="77777777" w:rsidR="00065838" w:rsidRDefault="00065838"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7107F7EF" w14:textId="41DAD24C" w:rsidR="00483660" w:rsidRPr="00736695" w:rsidRDefault="00483660" w:rsidP="001B195F">
      <w:pPr>
        <w:pStyle w:val="ListParagraph"/>
        <w:numPr>
          <w:ilvl w:val="0"/>
          <w:numId w:val="9"/>
        </w:numPr>
        <w:autoSpaceDE w:val="0"/>
        <w:autoSpaceDN w:val="0"/>
        <w:adjustRightInd w:val="0"/>
        <w:spacing w:line="276" w:lineRule="auto"/>
        <w:rPr>
          <w:rFonts w:ascii="Times New Roman" w:hAnsi="Times New Roman" w:cs="Times New Roman"/>
          <w:b/>
          <w:sz w:val="24"/>
          <w:szCs w:val="24"/>
        </w:rPr>
      </w:pPr>
      <w:r w:rsidRPr="00736695">
        <w:rPr>
          <w:rFonts w:ascii="Times New Roman" w:hAnsi="Times New Roman" w:cs="Times New Roman"/>
          <w:b/>
          <w:sz w:val="24"/>
          <w:szCs w:val="24"/>
        </w:rPr>
        <w:t xml:space="preserve">EDB ownership and governance </w:t>
      </w:r>
    </w:p>
    <w:p w14:paraId="224C72CF" w14:textId="23C563A6" w:rsidR="00483660" w:rsidRDefault="00483660" w:rsidP="001B195F">
      <w:pPr>
        <w:autoSpaceDE w:val="0"/>
        <w:autoSpaceDN w:val="0"/>
        <w:adjustRightInd w:val="0"/>
        <w:spacing w:line="276" w:lineRule="auto"/>
        <w:rPr>
          <w:rFonts w:ascii="Times New Roman" w:hAnsi="Times New Roman" w:cs="Times New Roman"/>
          <w:i/>
          <w:sz w:val="24"/>
          <w:szCs w:val="24"/>
        </w:rPr>
      </w:pPr>
      <w:r>
        <w:rPr>
          <w:rFonts w:ascii="Times New Roman" w:hAnsi="Times New Roman" w:cs="Times New Roman"/>
          <w:sz w:val="24"/>
          <w:szCs w:val="24"/>
        </w:rPr>
        <w:t>The general theme</w:t>
      </w:r>
      <w:r w:rsidR="008F2CB0">
        <w:rPr>
          <w:rFonts w:ascii="Times New Roman" w:hAnsi="Times New Roman" w:cs="Times New Roman"/>
          <w:sz w:val="24"/>
          <w:szCs w:val="24"/>
        </w:rPr>
        <w:t>s</w:t>
      </w:r>
      <w:r>
        <w:rPr>
          <w:rFonts w:ascii="Times New Roman" w:hAnsi="Times New Roman" w:cs="Times New Roman"/>
          <w:sz w:val="24"/>
          <w:szCs w:val="24"/>
        </w:rPr>
        <w:t xml:space="preserve"> of C7 </w:t>
      </w:r>
      <w:r w:rsidR="008F2CB0">
        <w:rPr>
          <w:rFonts w:ascii="Times New Roman" w:hAnsi="Times New Roman" w:cs="Times New Roman"/>
          <w:sz w:val="24"/>
          <w:szCs w:val="24"/>
        </w:rPr>
        <w:t>point the reader toward</w:t>
      </w:r>
      <w:r>
        <w:rPr>
          <w:rFonts w:ascii="Times New Roman" w:hAnsi="Times New Roman" w:cs="Times New Roman"/>
          <w:sz w:val="24"/>
          <w:szCs w:val="24"/>
        </w:rPr>
        <w:t xml:space="preserve"> ownership, governance and management restructuring and it is perhaps best summarised by a passage on page 150 where it is said:  </w:t>
      </w:r>
      <w:r>
        <w:rPr>
          <w:rFonts w:ascii="Times New Roman" w:hAnsi="Times New Roman" w:cs="Times New Roman"/>
          <w:i/>
          <w:sz w:val="24"/>
          <w:szCs w:val="24"/>
        </w:rPr>
        <w:t xml:space="preserve">“One response </w:t>
      </w:r>
      <w:r>
        <w:rPr>
          <w:rFonts w:ascii="Times New Roman" w:hAnsi="Times New Roman" w:cs="Times New Roman"/>
          <w:sz w:val="24"/>
          <w:szCs w:val="24"/>
        </w:rPr>
        <w:t xml:space="preserve">[to technological change] </w:t>
      </w:r>
      <w:r>
        <w:rPr>
          <w:rFonts w:ascii="Times New Roman" w:hAnsi="Times New Roman" w:cs="Times New Roman"/>
          <w:i/>
          <w:sz w:val="24"/>
          <w:szCs w:val="24"/>
        </w:rPr>
        <w:t xml:space="preserve">would be to pursue a programme of amalgamations. Fewer, larger distributors may be better placed to harness potential economies of scale to achieve more efficient investment and operational outcomes. … … Ultimately, a more consolidated sector </w:t>
      </w:r>
      <w:r w:rsidRPr="005A5D6E">
        <w:rPr>
          <w:rFonts w:ascii="Times New Roman" w:hAnsi="Times New Roman" w:cs="Times New Roman"/>
          <w:i/>
          <w:sz w:val="24"/>
          <w:szCs w:val="24"/>
          <w:u w:val="single"/>
        </w:rPr>
        <w:t>would</w:t>
      </w:r>
      <w:r>
        <w:rPr>
          <w:rFonts w:ascii="Times New Roman" w:hAnsi="Times New Roman" w:cs="Times New Roman"/>
          <w:i/>
          <w:sz w:val="24"/>
          <w:szCs w:val="24"/>
          <w:u w:val="single"/>
        </w:rPr>
        <w:t xml:space="preserve"> </w:t>
      </w:r>
      <w:r>
        <w:rPr>
          <w:rFonts w:ascii="Times New Roman" w:hAnsi="Times New Roman" w:cs="Times New Roman"/>
          <w:sz w:val="24"/>
          <w:szCs w:val="24"/>
        </w:rPr>
        <w:t xml:space="preserve">[my emphasis] </w:t>
      </w:r>
      <w:r w:rsidRPr="005A5D6E">
        <w:rPr>
          <w:rFonts w:ascii="Times New Roman" w:hAnsi="Times New Roman" w:cs="Times New Roman"/>
          <w:i/>
          <w:sz w:val="24"/>
          <w:szCs w:val="24"/>
        </w:rPr>
        <w:t>lend itself</w:t>
      </w:r>
      <w:r>
        <w:rPr>
          <w:rFonts w:ascii="Times New Roman" w:hAnsi="Times New Roman" w:cs="Times New Roman"/>
          <w:i/>
          <w:sz w:val="24"/>
          <w:szCs w:val="24"/>
        </w:rPr>
        <w:t xml:space="preserve"> to more comprehensive and effective regulatory supervision, which prima facie would be in the public interest.”</w:t>
      </w:r>
    </w:p>
    <w:p w14:paraId="674B0D31" w14:textId="639D0E84" w:rsidR="00483660" w:rsidRPr="008800A9"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The familiar, unwarranted elision from possibilities to a conclu</w:t>
      </w:r>
      <w:r w:rsidR="0022774E">
        <w:rPr>
          <w:rFonts w:ascii="Times New Roman" w:hAnsi="Times New Roman" w:cs="Times New Roman"/>
          <w:sz w:val="24"/>
          <w:szCs w:val="24"/>
        </w:rPr>
        <w:t>ding</w:t>
      </w:r>
      <w:r>
        <w:rPr>
          <w:rFonts w:ascii="Times New Roman" w:hAnsi="Times New Roman" w:cs="Times New Roman"/>
          <w:sz w:val="24"/>
          <w:szCs w:val="24"/>
        </w:rPr>
        <w:t xml:space="preserve"> statement can again be noted, but here we have extras:  the claim is more definite (there are no </w:t>
      </w:r>
      <w:proofErr w:type="spellStart"/>
      <w:r>
        <w:rPr>
          <w:rFonts w:ascii="Times New Roman" w:hAnsi="Times New Roman" w:cs="Times New Roman"/>
          <w:sz w:val="24"/>
          <w:szCs w:val="24"/>
        </w:rPr>
        <w:t>mights</w:t>
      </w:r>
      <w:proofErr w:type="spellEnd"/>
      <w:r>
        <w:rPr>
          <w:rFonts w:ascii="Times New Roman" w:hAnsi="Times New Roman" w:cs="Times New Roman"/>
          <w:sz w:val="24"/>
          <w:szCs w:val="24"/>
        </w:rPr>
        <w:t xml:space="preserve"> or mays) </w:t>
      </w:r>
      <w:r w:rsidR="00BC1F2C">
        <w:rPr>
          <w:rFonts w:ascii="Times New Roman" w:hAnsi="Times New Roman" w:cs="Times New Roman"/>
          <w:sz w:val="24"/>
          <w:szCs w:val="24"/>
        </w:rPr>
        <w:t xml:space="preserve">and </w:t>
      </w:r>
      <w:r w:rsidR="00140411">
        <w:rPr>
          <w:rFonts w:ascii="Times New Roman" w:hAnsi="Times New Roman" w:cs="Times New Roman"/>
          <w:sz w:val="24"/>
          <w:szCs w:val="24"/>
        </w:rPr>
        <w:t xml:space="preserve">there is the </w:t>
      </w:r>
      <w:r>
        <w:rPr>
          <w:rFonts w:ascii="Times New Roman" w:hAnsi="Times New Roman" w:cs="Times New Roman"/>
          <w:sz w:val="24"/>
          <w:szCs w:val="24"/>
        </w:rPr>
        <w:t xml:space="preserve">additional claim that the regulatory effects of more comprehensive regulatory supervision </w:t>
      </w:r>
      <w:r w:rsidR="00140411" w:rsidRPr="00140411">
        <w:rPr>
          <w:rFonts w:ascii="Times New Roman" w:hAnsi="Times New Roman" w:cs="Times New Roman"/>
          <w:i/>
          <w:sz w:val="24"/>
          <w:szCs w:val="24"/>
        </w:rPr>
        <w:t>“</w:t>
      </w:r>
      <w:r>
        <w:rPr>
          <w:rFonts w:ascii="Times New Roman" w:hAnsi="Times New Roman" w:cs="Times New Roman"/>
          <w:i/>
          <w:sz w:val="24"/>
          <w:szCs w:val="24"/>
        </w:rPr>
        <w:t xml:space="preserve">prima facie would be in the public interest”.  </w:t>
      </w:r>
      <w:r>
        <w:rPr>
          <w:rFonts w:ascii="Times New Roman" w:hAnsi="Times New Roman" w:cs="Times New Roman"/>
          <w:sz w:val="24"/>
          <w:szCs w:val="24"/>
        </w:rPr>
        <w:t xml:space="preserve">The immediate question is: where did that come from?  </w:t>
      </w:r>
      <w:r w:rsidR="008F2CB0">
        <w:rPr>
          <w:rFonts w:ascii="Times New Roman" w:hAnsi="Times New Roman" w:cs="Times New Roman"/>
          <w:sz w:val="24"/>
          <w:szCs w:val="24"/>
        </w:rPr>
        <w:t>And the immediate answer is: from nowhere</w:t>
      </w:r>
      <w:r>
        <w:rPr>
          <w:rFonts w:ascii="Times New Roman" w:hAnsi="Times New Roman" w:cs="Times New Roman"/>
          <w:sz w:val="24"/>
          <w:szCs w:val="24"/>
        </w:rPr>
        <w:t>.</w:t>
      </w:r>
    </w:p>
    <w:p w14:paraId="2C0A04E8" w14:textId="0A1BC7EC" w:rsidR="00483660" w:rsidRDefault="008F2CB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w:t>
      </w:r>
      <w:r w:rsidR="00483660">
        <w:rPr>
          <w:rFonts w:ascii="Times New Roman" w:hAnsi="Times New Roman" w:cs="Times New Roman"/>
          <w:sz w:val="24"/>
          <w:szCs w:val="24"/>
        </w:rPr>
        <w:t xml:space="preserve">he claim is immediately followed by statements that </w:t>
      </w:r>
      <w:r>
        <w:rPr>
          <w:rFonts w:ascii="Times New Roman" w:hAnsi="Times New Roman" w:cs="Times New Roman"/>
          <w:sz w:val="24"/>
          <w:szCs w:val="24"/>
        </w:rPr>
        <w:t xml:space="preserve">should </w:t>
      </w:r>
      <w:r w:rsidR="00F4025E">
        <w:rPr>
          <w:rFonts w:ascii="Times New Roman" w:hAnsi="Times New Roman" w:cs="Times New Roman"/>
          <w:sz w:val="24"/>
          <w:szCs w:val="24"/>
        </w:rPr>
        <w:t>instantly</w:t>
      </w:r>
      <w:r>
        <w:rPr>
          <w:rFonts w:ascii="Times New Roman" w:hAnsi="Times New Roman" w:cs="Times New Roman"/>
          <w:sz w:val="24"/>
          <w:szCs w:val="24"/>
        </w:rPr>
        <w:t xml:space="preserve"> </w:t>
      </w:r>
      <w:r w:rsidR="00F4025E">
        <w:rPr>
          <w:rFonts w:ascii="Times New Roman" w:hAnsi="Times New Roman" w:cs="Times New Roman"/>
          <w:sz w:val="24"/>
          <w:szCs w:val="24"/>
        </w:rPr>
        <w:t>induce</w:t>
      </w:r>
      <w:r>
        <w:rPr>
          <w:rFonts w:ascii="Times New Roman" w:hAnsi="Times New Roman" w:cs="Times New Roman"/>
          <w:sz w:val="24"/>
          <w:szCs w:val="24"/>
        </w:rPr>
        <w:t xml:space="preserve"> scepticism.  It is noted by the C7 authors that</w:t>
      </w:r>
      <w:r w:rsidR="00483660">
        <w:rPr>
          <w:rFonts w:ascii="Times New Roman" w:hAnsi="Times New Roman" w:cs="Times New Roman"/>
          <w:sz w:val="24"/>
          <w:szCs w:val="24"/>
        </w:rPr>
        <w:t xml:space="preserve">: </w:t>
      </w:r>
    </w:p>
    <w:p w14:paraId="00F3A8D4" w14:textId="77777777" w:rsidR="00483660" w:rsidRDefault="00483660" w:rsidP="001B195F">
      <w:pPr>
        <w:pStyle w:val="ListParagraph"/>
        <w:numPr>
          <w:ilvl w:val="0"/>
          <w:numId w:val="4"/>
        </w:numPr>
        <w:autoSpaceDE w:val="0"/>
        <w:autoSpaceDN w:val="0"/>
        <w:adjustRightInd w:val="0"/>
        <w:spacing w:line="276" w:lineRule="auto"/>
        <w:rPr>
          <w:rFonts w:ascii="Times New Roman" w:hAnsi="Times New Roman" w:cs="Times New Roman"/>
          <w:sz w:val="24"/>
          <w:szCs w:val="24"/>
        </w:rPr>
      </w:pPr>
      <w:r w:rsidRPr="008800A9">
        <w:rPr>
          <w:rFonts w:ascii="Times New Roman" w:hAnsi="Times New Roman" w:cs="Times New Roman"/>
          <w:sz w:val="24"/>
          <w:szCs w:val="24"/>
        </w:rPr>
        <w:t>no official empirical analysis of economies of scale among EDBs has been undertaken and there is little evidence that small firms are less innovative or perform less well than large firms,</w:t>
      </w:r>
      <w:r>
        <w:rPr>
          <w:rFonts w:ascii="Times New Roman" w:hAnsi="Times New Roman" w:cs="Times New Roman"/>
          <w:sz w:val="24"/>
          <w:szCs w:val="24"/>
        </w:rPr>
        <w:t xml:space="preserve"> and</w:t>
      </w:r>
    </w:p>
    <w:p w14:paraId="1EA06EE3" w14:textId="77777777" w:rsidR="00483660" w:rsidRPr="00710BCF" w:rsidRDefault="00483660" w:rsidP="001B195F">
      <w:pPr>
        <w:pStyle w:val="ListParagraph"/>
        <w:numPr>
          <w:ilvl w:val="0"/>
          <w:numId w:val="4"/>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a programme of sponsored amalgamations would likely be highly contentious and problematic to implement in practice, because community owned trusts appear to have strong support throughout the community, especially in rural areas. </w:t>
      </w:r>
      <w:r>
        <w:rPr>
          <w:rFonts w:ascii="Times New Roman" w:hAnsi="Times New Roman" w:cs="Times New Roman"/>
          <w:i/>
          <w:sz w:val="24"/>
          <w:szCs w:val="24"/>
        </w:rPr>
        <w:t xml:space="preserve">“Unilateral moves to </w:t>
      </w:r>
      <w:proofErr w:type="spellStart"/>
      <w:r>
        <w:rPr>
          <w:rFonts w:ascii="Times New Roman" w:hAnsi="Times New Roman" w:cs="Times New Roman"/>
          <w:i/>
          <w:sz w:val="24"/>
          <w:szCs w:val="24"/>
        </w:rPr>
        <w:t>corporatise</w:t>
      </w:r>
      <w:proofErr w:type="spellEnd"/>
      <w:r>
        <w:rPr>
          <w:rFonts w:ascii="Times New Roman" w:hAnsi="Times New Roman" w:cs="Times New Roman"/>
          <w:i/>
          <w:sz w:val="24"/>
          <w:szCs w:val="24"/>
        </w:rPr>
        <w:t xml:space="preserve"> and privatise are therefore likely to be strongly resisted and potentially counterproductive at this time.”</w:t>
      </w:r>
    </w:p>
    <w:p w14:paraId="5D62B22E" w14:textId="7089F833" w:rsidR="00483660"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Clearly, the authors are frustrated at the prospect that consumer sovereignty and local democracy might stand in the way of plans to ‘rationalise’ a supply system.  Reading </w:t>
      </w:r>
      <w:r w:rsidR="00F4025E">
        <w:rPr>
          <w:rFonts w:ascii="Times New Roman" w:hAnsi="Times New Roman" w:cs="Times New Roman"/>
          <w:sz w:val="24"/>
          <w:szCs w:val="24"/>
        </w:rPr>
        <w:t>this</w:t>
      </w:r>
      <w:r>
        <w:rPr>
          <w:rFonts w:ascii="Times New Roman" w:hAnsi="Times New Roman" w:cs="Times New Roman"/>
          <w:sz w:val="24"/>
          <w:szCs w:val="24"/>
        </w:rPr>
        <w:t xml:space="preserve"> brought to mind a famous passage in Adam Smith’s </w:t>
      </w:r>
      <w:r>
        <w:rPr>
          <w:rFonts w:ascii="Times New Roman" w:hAnsi="Times New Roman" w:cs="Times New Roman"/>
          <w:i/>
          <w:sz w:val="24"/>
          <w:szCs w:val="24"/>
        </w:rPr>
        <w:t xml:space="preserve">The Theory of Moral Sentiments </w:t>
      </w:r>
      <w:r>
        <w:rPr>
          <w:rFonts w:ascii="Times New Roman" w:hAnsi="Times New Roman" w:cs="Times New Roman"/>
          <w:sz w:val="24"/>
          <w:szCs w:val="24"/>
        </w:rPr>
        <w:t>on what he called the ‘man of system’, who today we would call a central planner.</w:t>
      </w:r>
      <w:r w:rsidR="008F2CB0">
        <w:rPr>
          <w:rFonts w:ascii="Times New Roman" w:hAnsi="Times New Roman" w:cs="Times New Roman"/>
          <w:sz w:val="24"/>
          <w:szCs w:val="24"/>
        </w:rPr>
        <w:t xml:space="preserve">  Such a person:</w:t>
      </w:r>
      <w:r w:rsidR="00922A72">
        <w:rPr>
          <w:rFonts w:ascii="Times New Roman" w:hAnsi="Times New Roman" w:cs="Times New Roman"/>
          <w:sz w:val="24"/>
          <w:szCs w:val="24"/>
        </w:rPr>
        <w:t xml:space="preserve"> “…. </w:t>
      </w:r>
      <w:r w:rsidRPr="00202B34">
        <w:rPr>
          <w:rFonts w:ascii="Times New Roman" w:hAnsi="Times New Roman" w:cs="Times New Roman"/>
          <w:i/>
          <w:color w:val="222222"/>
          <w:sz w:val="24"/>
          <w:szCs w:val="24"/>
        </w:rPr>
        <w:t xml:space="preserve">is often so enamoured with the supposed beauty of his own ideal plan of government, that he cannot suffer the smallest deviation from any part of it. He goes on to establish it completely and in all its parts, without any regard either to the great interests, or to the strong prejudices which may oppose it. He seems to imagine that he can arrange the different members of a great society with as much ease as the hand arranges the different pieces upon a chess-board. He does not consider that the pieces upon the chess-board have no other principle of motion besides that which the hand impresses upon them; but that, in the great chess-board of human society, every single piece </w:t>
      </w:r>
      <w:r>
        <w:rPr>
          <w:rFonts w:ascii="Times New Roman" w:hAnsi="Times New Roman" w:cs="Times New Roman"/>
          <w:i/>
          <w:color w:val="222222"/>
          <w:sz w:val="24"/>
          <w:szCs w:val="24"/>
        </w:rPr>
        <w:t xml:space="preserve">has a principle of motion of its own, altogether different from that which the legislature might choose </w:t>
      </w:r>
      <w:r w:rsidRPr="00202B34">
        <w:rPr>
          <w:rFonts w:ascii="Times New Roman" w:hAnsi="Times New Roman" w:cs="Times New Roman"/>
          <w:i/>
          <w:color w:val="222222"/>
          <w:sz w:val="24"/>
          <w:szCs w:val="24"/>
        </w:rPr>
        <w:t>to impress upon it.</w:t>
      </w:r>
      <w:r w:rsidR="002D0A31">
        <w:rPr>
          <w:rFonts w:ascii="Times New Roman" w:hAnsi="Times New Roman" w:cs="Times New Roman"/>
          <w:i/>
          <w:color w:val="222222"/>
          <w:sz w:val="24"/>
          <w:szCs w:val="24"/>
        </w:rPr>
        <w:t>”</w:t>
      </w:r>
      <w:r w:rsidRPr="00202B34">
        <w:rPr>
          <w:rFonts w:ascii="Times New Roman" w:hAnsi="Times New Roman" w:cs="Times New Roman"/>
          <w:i/>
          <w:color w:val="222222"/>
          <w:sz w:val="24"/>
          <w:szCs w:val="24"/>
        </w:rPr>
        <w:t xml:space="preserve"> </w:t>
      </w:r>
    </w:p>
    <w:p w14:paraId="5E2A523A" w14:textId="6D59E9CD" w:rsidR="00483660"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2D0A31">
        <w:rPr>
          <w:rFonts w:ascii="Times New Roman" w:hAnsi="Times New Roman" w:cs="Times New Roman"/>
          <w:sz w:val="24"/>
          <w:szCs w:val="24"/>
        </w:rPr>
        <w:t xml:space="preserve">relevant </w:t>
      </w:r>
      <w:r>
        <w:rPr>
          <w:rFonts w:ascii="Times New Roman" w:hAnsi="Times New Roman" w:cs="Times New Roman"/>
          <w:sz w:val="24"/>
          <w:szCs w:val="24"/>
        </w:rPr>
        <w:t>NZ legislation is centred on the notion of the long-term interests of consumers and</w:t>
      </w:r>
      <w:r w:rsidR="00140411">
        <w:rPr>
          <w:rFonts w:ascii="Times New Roman" w:hAnsi="Times New Roman" w:cs="Times New Roman"/>
          <w:sz w:val="24"/>
          <w:szCs w:val="24"/>
        </w:rPr>
        <w:t xml:space="preserve"> </w:t>
      </w:r>
      <w:r>
        <w:rPr>
          <w:rFonts w:ascii="Times New Roman" w:hAnsi="Times New Roman" w:cs="Times New Roman"/>
          <w:sz w:val="24"/>
          <w:szCs w:val="24"/>
        </w:rPr>
        <w:t xml:space="preserve">it </w:t>
      </w:r>
      <w:r w:rsidR="00140411">
        <w:rPr>
          <w:rFonts w:ascii="Times New Roman" w:hAnsi="Times New Roman" w:cs="Times New Roman"/>
          <w:sz w:val="24"/>
          <w:szCs w:val="24"/>
        </w:rPr>
        <w:t>is normally</w:t>
      </w:r>
      <w:r>
        <w:rPr>
          <w:rFonts w:ascii="Times New Roman" w:hAnsi="Times New Roman" w:cs="Times New Roman"/>
          <w:sz w:val="24"/>
          <w:szCs w:val="24"/>
        </w:rPr>
        <w:t xml:space="preserve"> presumed that in most, but not all, circumstances those interests are best judged by consumers themselves.  One implication of that is that, although economic textbooks may, for their own teaching purposes, </w:t>
      </w:r>
      <w:r>
        <w:rPr>
          <w:rFonts w:ascii="Times New Roman" w:hAnsi="Times New Roman" w:cs="Times New Roman"/>
          <w:i/>
          <w:sz w:val="24"/>
          <w:szCs w:val="24"/>
        </w:rPr>
        <w:t>assume</w:t>
      </w:r>
      <w:r>
        <w:rPr>
          <w:rFonts w:ascii="Times New Roman" w:hAnsi="Times New Roman" w:cs="Times New Roman"/>
          <w:sz w:val="24"/>
          <w:szCs w:val="24"/>
        </w:rPr>
        <w:t xml:space="preserve"> that consumers are interested only in prices and quality of supply, those assumptions are not determinative of what a regulator or policymaker needs to take into account when assessing consumer interests.  The </w:t>
      </w:r>
      <w:r w:rsidRPr="00496306">
        <w:rPr>
          <w:rFonts w:ascii="Times New Roman" w:hAnsi="Times New Roman" w:cs="Times New Roman"/>
          <w:i/>
          <w:sz w:val="24"/>
          <w:szCs w:val="24"/>
        </w:rPr>
        <w:t>actual</w:t>
      </w:r>
      <w:r>
        <w:rPr>
          <w:rFonts w:ascii="Times New Roman" w:hAnsi="Times New Roman" w:cs="Times New Roman"/>
          <w:sz w:val="24"/>
          <w:szCs w:val="24"/>
        </w:rPr>
        <w:t xml:space="preserve">, rather than the </w:t>
      </w:r>
      <w:r>
        <w:rPr>
          <w:rFonts w:ascii="Times New Roman" w:hAnsi="Times New Roman" w:cs="Times New Roman"/>
          <w:i/>
          <w:sz w:val="24"/>
          <w:szCs w:val="24"/>
        </w:rPr>
        <w:t>assumed</w:t>
      </w:r>
      <w:r>
        <w:rPr>
          <w:rFonts w:ascii="Times New Roman" w:hAnsi="Times New Roman" w:cs="Times New Roman"/>
          <w:sz w:val="24"/>
          <w:szCs w:val="24"/>
        </w:rPr>
        <w:t xml:space="preserve">, preferences of consumers </w:t>
      </w:r>
      <w:r w:rsidR="00140411">
        <w:rPr>
          <w:rFonts w:ascii="Times New Roman" w:hAnsi="Times New Roman" w:cs="Times New Roman"/>
          <w:sz w:val="24"/>
          <w:szCs w:val="24"/>
        </w:rPr>
        <w:t xml:space="preserve">are what </w:t>
      </w:r>
      <w:r>
        <w:rPr>
          <w:rFonts w:ascii="Times New Roman" w:hAnsi="Times New Roman" w:cs="Times New Roman"/>
          <w:sz w:val="24"/>
          <w:szCs w:val="24"/>
        </w:rPr>
        <w:t>matter</w:t>
      </w:r>
      <w:r w:rsidR="00140411">
        <w:rPr>
          <w:rFonts w:ascii="Times New Roman" w:hAnsi="Times New Roman" w:cs="Times New Roman"/>
          <w:sz w:val="24"/>
          <w:szCs w:val="24"/>
        </w:rPr>
        <w:t xml:space="preserve">, or what </w:t>
      </w:r>
      <w:r w:rsidR="00140411" w:rsidRPr="00F4025E">
        <w:rPr>
          <w:rFonts w:ascii="Times New Roman" w:hAnsi="Times New Roman" w:cs="Times New Roman"/>
          <w:i/>
          <w:sz w:val="24"/>
          <w:szCs w:val="24"/>
        </w:rPr>
        <w:t>should</w:t>
      </w:r>
      <w:r w:rsidR="00140411">
        <w:rPr>
          <w:rFonts w:ascii="Times New Roman" w:hAnsi="Times New Roman" w:cs="Times New Roman"/>
          <w:sz w:val="24"/>
          <w:szCs w:val="24"/>
        </w:rPr>
        <w:t xml:space="preserve"> matter</w:t>
      </w:r>
      <w:r>
        <w:rPr>
          <w:rFonts w:ascii="Times New Roman" w:hAnsi="Times New Roman" w:cs="Times New Roman"/>
          <w:sz w:val="24"/>
          <w:szCs w:val="24"/>
        </w:rPr>
        <w:t>.</w:t>
      </w:r>
    </w:p>
    <w:p w14:paraId="1CE07177" w14:textId="77777777" w:rsidR="002D0A31"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In practice, consumers take things </w:t>
      </w:r>
      <w:r w:rsidR="00140411">
        <w:rPr>
          <w:rFonts w:ascii="Times New Roman" w:hAnsi="Times New Roman" w:cs="Times New Roman"/>
          <w:sz w:val="24"/>
          <w:szCs w:val="24"/>
        </w:rPr>
        <w:t xml:space="preserve">other than price and quality of product/service </w:t>
      </w:r>
      <w:r>
        <w:rPr>
          <w:rFonts w:ascii="Times New Roman" w:hAnsi="Times New Roman" w:cs="Times New Roman"/>
          <w:sz w:val="24"/>
          <w:szCs w:val="24"/>
        </w:rPr>
        <w:t xml:space="preserve">into account. In purchasing foodstuffs, we may be concerned that animals have been humanely treated </w:t>
      </w:r>
      <w:r w:rsidR="002D0A31">
        <w:rPr>
          <w:rFonts w:ascii="Times New Roman" w:hAnsi="Times New Roman" w:cs="Times New Roman"/>
          <w:sz w:val="24"/>
          <w:szCs w:val="24"/>
        </w:rPr>
        <w:t xml:space="preserve">in </w:t>
      </w:r>
      <w:r>
        <w:rPr>
          <w:rFonts w:ascii="Times New Roman" w:hAnsi="Times New Roman" w:cs="Times New Roman"/>
          <w:sz w:val="24"/>
          <w:szCs w:val="24"/>
        </w:rPr>
        <w:t xml:space="preserve">its production or that significant environmental damage has not been caused.  For manufactured goods, we may be deterred from purchasing the products of a particular company by virtue of its reputation for bad labour practices or because it is perceived that it is run by crooks. </w:t>
      </w:r>
      <w:r w:rsidR="00140411">
        <w:rPr>
          <w:rFonts w:ascii="Times New Roman" w:hAnsi="Times New Roman" w:cs="Times New Roman"/>
          <w:sz w:val="24"/>
          <w:szCs w:val="24"/>
        </w:rPr>
        <w:t xml:space="preserve">We buy from a particular supplier, even though </w:t>
      </w:r>
      <w:r w:rsidR="002D0A31">
        <w:rPr>
          <w:rFonts w:ascii="Times New Roman" w:hAnsi="Times New Roman" w:cs="Times New Roman"/>
          <w:sz w:val="24"/>
          <w:szCs w:val="24"/>
        </w:rPr>
        <w:t>the supplier’s</w:t>
      </w:r>
      <w:r w:rsidR="00140411">
        <w:rPr>
          <w:rFonts w:ascii="Times New Roman" w:hAnsi="Times New Roman" w:cs="Times New Roman"/>
          <w:sz w:val="24"/>
          <w:szCs w:val="24"/>
        </w:rPr>
        <w:t xml:space="preserve"> prices may not be the lowest</w:t>
      </w:r>
      <w:r w:rsidR="002D0A31">
        <w:rPr>
          <w:rFonts w:ascii="Times New Roman" w:hAnsi="Times New Roman" w:cs="Times New Roman"/>
          <w:sz w:val="24"/>
          <w:szCs w:val="24"/>
        </w:rPr>
        <w:t xml:space="preserve"> available</w:t>
      </w:r>
      <w:r w:rsidR="00140411">
        <w:rPr>
          <w:rFonts w:ascii="Times New Roman" w:hAnsi="Times New Roman" w:cs="Times New Roman"/>
          <w:sz w:val="24"/>
          <w:szCs w:val="24"/>
        </w:rPr>
        <w:t xml:space="preserve">, because good service </w:t>
      </w:r>
      <w:r w:rsidR="002D0A31">
        <w:rPr>
          <w:rFonts w:ascii="Times New Roman" w:hAnsi="Times New Roman" w:cs="Times New Roman"/>
          <w:sz w:val="24"/>
          <w:szCs w:val="24"/>
        </w:rPr>
        <w:t xml:space="preserve">has been provided </w:t>
      </w:r>
      <w:r w:rsidR="00140411">
        <w:rPr>
          <w:rFonts w:ascii="Times New Roman" w:hAnsi="Times New Roman" w:cs="Times New Roman"/>
          <w:sz w:val="24"/>
          <w:szCs w:val="24"/>
        </w:rPr>
        <w:t xml:space="preserve">in the past (and not just because that is taken as a signal of </w:t>
      </w:r>
      <w:r w:rsidR="002D0A31">
        <w:rPr>
          <w:rFonts w:ascii="Times New Roman" w:hAnsi="Times New Roman" w:cs="Times New Roman"/>
          <w:sz w:val="24"/>
          <w:szCs w:val="24"/>
        </w:rPr>
        <w:t xml:space="preserve">likely </w:t>
      </w:r>
      <w:r w:rsidR="00140411">
        <w:rPr>
          <w:rFonts w:ascii="Times New Roman" w:hAnsi="Times New Roman" w:cs="Times New Roman"/>
          <w:sz w:val="24"/>
          <w:szCs w:val="24"/>
        </w:rPr>
        <w:t xml:space="preserve">good service in the future, although that will also be a significant factor). </w:t>
      </w:r>
    </w:p>
    <w:p w14:paraId="625CC7DB" w14:textId="77777777" w:rsidR="002D0A31"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In promoting the interests of consumers of electricity, the</w:t>
      </w:r>
      <w:r w:rsidR="00140411">
        <w:rPr>
          <w:rFonts w:ascii="Times New Roman" w:hAnsi="Times New Roman" w:cs="Times New Roman"/>
          <w:sz w:val="24"/>
          <w:szCs w:val="24"/>
        </w:rPr>
        <w:t>n</w:t>
      </w:r>
      <w:r>
        <w:rPr>
          <w:rFonts w:ascii="Times New Roman" w:hAnsi="Times New Roman" w:cs="Times New Roman"/>
          <w:sz w:val="24"/>
          <w:szCs w:val="24"/>
        </w:rPr>
        <w:t>, it is reasonable, and arguably it is entailed, that all factors that influence consumption decisions be taken into account.  This point is highly relevant when it comes to assessing the significance of economies of scale.</w:t>
      </w:r>
      <w:r w:rsidR="002D0A31">
        <w:rPr>
          <w:rFonts w:ascii="Times New Roman" w:hAnsi="Times New Roman" w:cs="Times New Roman"/>
          <w:sz w:val="24"/>
          <w:szCs w:val="24"/>
        </w:rPr>
        <w:t xml:space="preserve"> </w:t>
      </w:r>
      <w:r>
        <w:rPr>
          <w:rFonts w:ascii="Times New Roman" w:hAnsi="Times New Roman" w:cs="Times New Roman"/>
          <w:sz w:val="24"/>
          <w:szCs w:val="24"/>
        </w:rPr>
        <w:t>Even if</w:t>
      </w:r>
      <w:r w:rsidR="002D0A31">
        <w:rPr>
          <w:rFonts w:ascii="Times New Roman" w:hAnsi="Times New Roman" w:cs="Times New Roman"/>
          <w:sz w:val="24"/>
          <w:szCs w:val="24"/>
        </w:rPr>
        <w:t>, contrary to the evidence,</w:t>
      </w:r>
      <w:r>
        <w:rPr>
          <w:rFonts w:ascii="Times New Roman" w:hAnsi="Times New Roman" w:cs="Times New Roman"/>
          <w:sz w:val="24"/>
          <w:szCs w:val="24"/>
        </w:rPr>
        <w:t xml:space="preserve"> there were significant economies of scale it is perfectly rational for consumers in a local area to prefer </w:t>
      </w:r>
      <w:r w:rsidR="002F5C6A">
        <w:rPr>
          <w:rFonts w:ascii="Times New Roman" w:hAnsi="Times New Roman" w:cs="Times New Roman"/>
          <w:sz w:val="24"/>
          <w:szCs w:val="24"/>
        </w:rPr>
        <w:t>a</w:t>
      </w:r>
      <w:r>
        <w:rPr>
          <w:rFonts w:ascii="Times New Roman" w:hAnsi="Times New Roman" w:cs="Times New Roman"/>
          <w:sz w:val="24"/>
          <w:szCs w:val="24"/>
        </w:rPr>
        <w:t xml:space="preserve"> higher cost alternative</w:t>
      </w:r>
      <w:r w:rsidR="002F5C6A">
        <w:rPr>
          <w:rFonts w:ascii="Times New Roman" w:hAnsi="Times New Roman" w:cs="Times New Roman"/>
          <w:sz w:val="24"/>
          <w:szCs w:val="24"/>
        </w:rPr>
        <w:t xml:space="preserve"> method of supply</w:t>
      </w:r>
      <w:r>
        <w:rPr>
          <w:rFonts w:ascii="Times New Roman" w:hAnsi="Times New Roman" w:cs="Times New Roman"/>
          <w:sz w:val="24"/>
          <w:szCs w:val="24"/>
        </w:rPr>
        <w:t xml:space="preserve">, </w:t>
      </w:r>
      <w:r w:rsidRPr="002F5C6A">
        <w:rPr>
          <w:rFonts w:ascii="Times New Roman" w:hAnsi="Times New Roman" w:cs="Times New Roman"/>
          <w:i/>
          <w:sz w:val="24"/>
          <w:szCs w:val="24"/>
        </w:rPr>
        <w:t>if it comes bundled with more control over the EDB</w:t>
      </w:r>
      <w:r>
        <w:rPr>
          <w:rFonts w:ascii="Times New Roman" w:hAnsi="Times New Roman" w:cs="Times New Roman"/>
          <w:sz w:val="24"/>
          <w:szCs w:val="24"/>
        </w:rPr>
        <w:t xml:space="preserve">.  </w:t>
      </w:r>
    </w:p>
    <w:p w14:paraId="7B6FCE45" w14:textId="4760895E" w:rsidR="00483660" w:rsidRDefault="002D0A31"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 factor that is very frequently ignored by analysts is that c</w:t>
      </w:r>
      <w:r w:rsidR="00483660">
        <w:rPr>
          <w:rFonts w:ascii="Times New Roman" w:hAnsi="Times New Roman" w:cs="Times New Roman"/>
          <w:sz w:val="24"/>
          <w:szCs w:val="24"/>
        </w:rPr>
        <w:t xml:space="preserve">ontrol has </w:t>
      </w:r>
      <w:r w:rsidR="00483660" w:rsidRPr="002D0A31">
        <w:rPr>
          <w:rFonts w:ascii="Times New Roman" w:hAnsi="Times New Roman" w:cs="Times New Roman"/>
          <w:i/>
          <w:sz w:val="24"/>
          <w:szCs w:val="24"/>
        </w:rPr>
        <w:t>economic</w:t>
      </w:r>
      <w:r w:rsidR="00483660">
        <w:rPr>
          <w:rFonts w:ascii="Times New Roman" w:hAnsi="Times New Roman" w:cs="Times New Roman"/>
          <w:sz w:val="24"/>
          <w:szCs w:val="24"/>
        </w:rPr>
        <w:t xml:space="preserve"> value</w:t>
      </w:r>
      <w:r>
        <w:rPr>
          <w:rFonts w:ascii="Times New Roman" w:hAnsi="Times New Roman" w:cs="Times New Roman"/>
          <w:sz w:val="24"/>
          <w:szCs w:val="24"/>
        </w:rPr>
        <w:t xml:space="preserve">.  Technically </w:t>
      </w:r>
      <w:r w:rsidR="00483660">
        <w:rPr>
          <w:rFonts w:ascii="Times New Roman" w:hAnsi="Times New Roman" w:cs="Times New Roman"/>
          <w:sz w:val="24"/>
          <w:szCs w:val="24"/>
        </w:rPr>
        <w:t>speaking it is an option value, deriving from an ability to influence decisions that might</w:t>
      </w:r>
      <w:r w:rsidR="00F4025E">
        <w:rPr>
          <w:rFonts w:ascii="Times New Roman" w:hAnsi="Times New Roman" w:cs="Times New Roman"/>
          <w:sz w:val="24"/>
          <w:szCs w:val="24"/>
        </w:rPr>
        <w:t>, in an EDB context,</w:t>
      </w:r>
      <w:r w:rsidR="00483660">
        <w:rPr>
          <w:rFonts w:ascii="Times New Roman" w:hAnsi="Times New Roman" w:cs="Times New Roman"/>
          <w:sz w:val="24"/>
          <w:szCs w:val="24"/>
        </w:rPr>
        <w:t xml:space="preserve"> affect consumer welfare.  The value tends to be higher (a) the greater the impact of a potential decision on consumer welfare, (b) the greater </w:t>
      </w:r>
      <w:r>
        <w:rPr>
          <w:rFonts w:ascii="Times New Roman" w:hAnsi="Times New Roman" w:cs="Times New Roman"/>
          <w:sz w:val="24"/>
          <w:szCs w:val="24"/>
        </w:rPr>
        <w:t xml:space="preserve">the degree of </w:t>
      </w:r>
      <w:r w:rsidR="00483660">
        <w:rPr>
          <w:rFonts w:ascii="Times New Roman" w:hAnsi="Times New Roman" w:cs="Times New Roman"/>
          <w:sz w:val="24"/>
          <w:szCs w:val="24"/>
        </w:rPr>
        <w:t xml:space="preserve">influence </w:t>
      </w:r>
      <w:r>
        <w:rPr>
          <w:rFonts w:ascii="Times New Roman" w:hAnsi="Times New Roman" w:cs="Times New Roman"/>
          <w:sz w:val="24"/>
          <w:szCs w:val="24"/>
        </w:rPr>
        <w:t xml:space="preserve">over decisions that </w:t>
      </w:r>
      <w:r w:rsidR="00F4025E">
        <w:rPr>
          <w:rFonts w:ascii="Times New Roman" w:hAnsi="Times New Roman" w:cs="Times New Roman"/>
          <w:sz w:val="24"/>
          <w:szCs w:val="24"/>
        </w:rPr>
        <w:t xml:space="preserve">might </w:t>
      </w:r>
      <w:r>
        <w:rPr>
          <w:rFonts w:ascii="Times New Roman" w:hAnsi="Times New Roman" w:cs="Times New Roman"/>
          <w:sz w:val="24"/>
          <w:szCs w:val="24"/>
        </w:rPr>
        <w:t>affect consumer welfare,</w:t>
      </w:r>
      <w:r w:rsidR="00483660">
        <w:rPr>
          <w:rFonts w:ascii="Times New Roman" w:hAnsi="Times New Roman" w:cs="Times New Roman"/>
          <w:sz w:val="24"/>
          <w:szCs w:val="24"/>
        </w:rPr>
        <w:t xml:space="preserve"> and (c) the greater the level of uncertainty about future, relevant business decisions.  </w:t>
      </w:r>
      <w:r>
        <w:rPr>
          <w:rFonts w:ascii="Times New Roman" w:hAnsi="Times New Roman" w:cs="Times New Roman"/>
          <w:sz w:val="24"/>
          <w:szCs w:val="24"/>
        </w:rPr>
        <w:t>Factor</w:t>
      </w:r>
      <w:r w:rsidR="00483660">
        <w:rPr>
          <w:rFonts w:ascii="Times New Roman" w:hAnsi="Times New Roman" w:cs="Times New Roman"/>
          <w:sz w:val="24"/>
          <w:szCs w:val="24"/>
        </w:rPr>
        <w:t xml:space="preserve"> (a) tends to be greater when the effects are closer to home</w:t>
      </w:r>
      <w:r>
        <w:rPr>
          <w:rFonts w:ascii="Times New Roman" w:hAnsi="Times New Roman" w:cs="Times New Roman"/>
          <w:sz w:val="24"/>
          <w:szCs w:val="24"/>
        </w:rPr>
        <w:t xml:space="preserve">, factor </w:t>
      </w:r>
      <w:r w:rsidR="00483660">
        <w:rPr>
          <w:rFonts w:ascii="Times New Roman" w:hAnsi="Times New Roman" w:cs="Times New Roman"/>
          <w:sz w:val="24"/>
          <w:szCs w:val="24"/>
        </w:rPr>
        <w:t xml:space="preserve">(b) tends to be greater at smaller scale, and </w:t>
      </w:r>
      <w:r>
        <w:rPr>
          <w:rFonts w:ascii="Times New Roman" w:hAnsi="Times New Roman" w:cs="Times New Roman"/>
          <w:sz w:val="24"/>
          <w:szCs w:val="24"/>
        </w:rPr>
        <w:t xml:space="preserve">factor </w:t>
      </w:r>
      <w:r w:rsidR="00483660">
        <w:rPr>
          <w:rFonts w:ascii="Times New Roman" w:hAnsi="Times New Roman" w:cs="Times New Roman"/>
          <w:sz w:val="24"/>
          <w:szCs w:val="24"/>
        </w:rPr>
        <w:t xml:space="preserve">(c) </w:t>
      </w:r>
      <w:r>
        <w:rPr>
          <w:rFonts w:ascii="Times New Roman" w:hAnsi="Times New Roman" w:cs="Times New Roman"/>
          <w:sz w:val="24"/>
          <w:szCs w:val="24"/>
        </w:rPr>
        <w:t xml:space="preserve">tends to be greater the higher the level of uncertainty </w:t>
      </w:r>
      <w:r w:rsidR="00F4025E">
        <w:rPr>
          <w:rFonts w:ascii="Times New Roman" w:hAnsi="Times New Roman" w:cs="Times New Roman"/>
          <w:sz w:val="24"/>
          <w:szCs w:val="24"/>
        </w:rPr>
        <w:t>about what future decisions might be required</w:t>
      </w:r>
      <w:r w:rsidR="00483660">
        <w:rPr>
          <w:rFonts w:ascii="Times New Roman" w:hAnsi="Times New Roman" w:cs="Times New Roman"/>
          <w:sz w:val="24"/>
          <w:szCs w:val="24"/>
        </w:rPr>
        <w:t>.  Putting these together, control is more valuable when EDB decisions have localised effects, EDBs are small</w:t>
      </w:r>
      <w:r w:rsidR="002F5C6A">
        <w:rPr>
          <w:rFonts w:ascii="Times New Roman" w:hAnsi="Times New Roman" w:cs="Times New Roman"/>
          <w:sz w:val="24"/>
          <w:szCs w:val="24"/>
        </w:rPr>
        <w:t>,</w:t>
      </w:r>
      <w:r w:rsidR="00483660">
        <w:rPr>
          <w:rFonts w:ascii="Times New Roman" w:hAnsi="Times New Roman" w:cs="Times New Roman"/>
          <w:sz w:val="24"/>
          <w:szCs w:val="24"/>
        </w:rPr>
        <w:t xml:space="preserve"> and change is in the air.</w:t>
      </w:r>
      <w:r w:rsidR="00594DC1">
        <w:rPr>
          <w:rFonts w:ascii="Times New Roman" w:hAnsi="Times New Roman" w:cs="Times New Roman"/>
          <w:sz w:val="24"/>
          <w:szCs w:val="24"/>
        </w:rPr>
        <w:t xml:space="preserve">  </w:t>
      </w:r>
    </w:p>
    <w:p w14:paraId="2DAC9D61" w14:textId="1C79CFBD" w:rsidR="00483660"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There is an important lesson here that generalises </w:t>
      </w:r>
      <w:r w:rsidR="00AB753C">
        <w:rPr>
          <w:rFonts w:ascii="Times New Roman" w:hAnsi="Times New Roman" w:cs="Times New Roman"/>
          <w:sz w:val="24"/>
          <w:szCs w:val="24"/>
        </w:rPr>
        <w:t>far</w:t>
      </w:r>
      <w:r>
        <w:rPr>
          <w:rFonts w:ascii="Times New Roman" w:hAnsi="Times New Roman" w:cs="Times New Roman"/>
          <w:sz w:val="24"/>
          <w:szCs w:val="24"/>
        </w:rPr>
        <w:t xml:space="preserve"> beyond electricity distribution.  When consumers don’t behave in the ways that conform to the assumptions of economic models, it is unwise to attribute that to irrationality, stubbornness, ideology, inertia, stupidity or to any other factor that is beyond the pale for economic analysis.  Much more often than not, it just means that the theorising is wrong.  In the case of C7, </w:t>
      </w:r>
      <w:r w:rsidR="002F5C6A">
        <w:rPr>
          <w:rFonts w:ascii="Times New Roman" w:hAnsi="Times New Roman" w:cs="Times New Roman"/>
          <w:sz w:val="24"/>
          <w:szCs w:val="24"/>
        </w:rPr>
        <w:t>an</w:t>
      </w:r>
      <w:r>
        <w:rPr>
          <w:rFonts w:ascii="Times New Roman" w:hAnsi="Times New Roman" w:cs="Times New Roman"/>
          <w:sz w:val="24"/>
          <w:szCs w:val="24"/>
        </w:rPr>
        <w:t xml:space="preserve"> underlying flaw is that the conceptual framework has no room for uncertainty</w:t>
      </w:r>
      <w:r w:rsidR="00AB753C">
        <w:rPr>
          <w:rFonts w:ascii="Times New Roman" w:hAnsi="Times New Roman" w:cs="Times New Roman"/>
          <w:sz w:val="24"/>
          <w:szCs w:val="24"/>
        </w:rPr>
        <w:t>, change and adaptation</w:t>
      </w:r>
      <w:r>
        <w:rPr>
          <w:rFonts w:ascii="Times New Roman" w:hAnsi="Times New Roman" w:cs="Times New Roman"/>
          <w:sz w:val="24"/>
          <w:szCs w:val="24"/>
        </w:rPr>
        <w:t>.  In consequence it is unsuitable for assessing problems in context where uncertainty and change are major features, and where option values are an important factor that needs to be taken into account.</w:t>
      </w:r>
    </w:p>
    <w:p w14:paraId="3AEA8627" w14:textId="7D8589EB" w:rsidR="00362910"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My general view is that the NZ structures are rather well adapted to the relevant economic context.  Even in conditions of uncertainty, in a major city such as Auckland it is difficult to afford smaller sub-communities a substantial degree of control, because decisions will tend to have affects which </w:t>
      </w:r>
      <w:r w:rsidR="00AB753C">
        <w:rPr>
          <w:rFonts w:ascii="Times New Roman" w:hAnsi="Times New Roman" w:cs="Times New Roman"/>
          <w:sz w:val="24"/>
          <w:szCs w:val="24"/>
        </w:rPr>
        <w:t>go beyond local neighbourhoods</w:t>
      </w:r>
      <w:r>
        <w:rPr>
          <w:rFonts w:ascii="Times New Roman" w:hAnsi="Times New Roman" w:cs="Times New Roman"/>
          <w:sz w:val="24"/>
          <w:szCs w:val="24"/>
        </w:rPr>
        <w:t>.  Here large scale is usually the preferred structure, not because of</w:t>
      </w:r>
      <w:r w:rsidR="002F5C6A">
        <w:rPr>
          <w:rFonts w:ascii="Times New Roman" w:hAnsi="Times New Roman" w:cs="Times New Roman"/>
          <w:sz w:val="24"/>
          <w:szCs w:val="24"/>
        </w:rPr>
        <w:t xml:space="preserve"> </w:t>
      </w:r>
      <w:r>
        <w:rPr>
          <w:rFonts w:ascii="Times New Roman" w:hAnsi="Times New Roman" w:cs="Times New Roman"/>
          <w:sz w:val="24"/>
          <w:szCs w:val="24"/>
        </w:rPr>
        <w:t xml:space="preserve">economies of scale, </w:t>
      </w:r>
      <w:r w:rsidR="002F5C6A">
        <w:rPr>
          <w:rFonts w:ascii="Times New Roman" w:hAnsi="Times New Roman" w:cs="Times New Roman"/>
          <w:sz w:val="24"/>
          <w:szCs w:val="24"/>
        </w:rPr>
        <w:t>bu</w:t>
      </w:r>
      <w:r w:rsidR="00362910">
        <w:rPr>
          <w:rFonts w:ascii="Times New Roman" w:hAnsi="Times New Roman" w:cs="Times New Roman"/>
          <w:sz w:val="24"/>
          <w:szCs w:val="24"/>
        </w:rPr>
        <w:t>t</w:t>
      </w:r>
      <w:r>
        <w:rPr>
          <w:rFonts w:ascii="Times New Roman" w:hAnsi="Times New Roman" w:cs="Times New Roman"/>
          <w:sz w:val="24"/>
          <w:szCs w:val="24"/>
        </w:rPr>
        <w:t xml:space="preserve"> because of ‘network externalities’. </w:t>
      </w:r>
    </w:p>
    <w:p w14:paraId="713EC4E8" w14:textId="252C8ED6" w:rsidR="002F5C6A" w:rsidRDefault="00483660"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For smaller communities, the effects of decisions are more ‘localised’ and consumer </w:t>
      </w:r>
      <w:r w:rsidR="00362910">
        <w:rPr>
          <w:rFonts w:ascii="Times New Roman" w:hAnsi="Times New Roman" w:cs="Times New Roman"/>
          <w:sz w:val="24"/>
          <w:szCs w:val="24"/>
        </w:rPr>
        <w:t>i</w:t>
      </w:r>
      <w:r>
        <w:rPr>
          <w:rFonts w:ascii="Times New Roman" w:hAnsi="Times New Roman" w:cs="Times New Roman"/>
          <w:sz w:val="24"/>
          <w:szCs w:val="24"/>
        </w:rPr>
        <w:t xml:space="preserve">nfluence or control is easier to establish.  As in Germany and the Nordic countries (but not in the UK as things currently stand), municipal or community ownership makes more sense.  A significant number of EDBs, coupled with diversity in their ownership and corporate governance arrangements is also positive for the </w:t>
      </w:r>
      <w:r w:rsidR="002F5C6A">
        <w:rPr>
          <w:rFonts w:ascii="Times New Roman" w:hAnsi="Times New Roman" w:cs="Times New Roman"/>
          <w:sz w:val="24"/>
          <w:szCs w:val="24"/>
        </w:rPr>
        <w:t xml:space="preserve">kinds of </w:t>
      </w:r>
      <w:r>
        <w:rPr>
          <w:rFonts w:ascii="Times New Roman" w:hAnsi="Times New Roman" w:cs="Times New Roman"/>
          <w:sz w:val="24"/>
          <w:szCs w:val="24"/>
        </w:rPr>
        <w:t>supervise</w:t>
      </w:r>
      <w:r w:rsidR="002F5C6A">
        <w:rPr>
          <w:rFonts w:ascii="Times New Roman" w:hAnsi="Times New Roman" w:cs="Times New Roman"/>
          <w:sz w:val="24"/>
          <w:szCs w:val="24"/>
        </w:rPr>
        <w:t>d</w:t>
      </w:r>
      <w:r>
        <w:rPr>
          <w:rFonts w:ascii="Times New Roman" w:hAnsi="Times New Roman" w:cs="Times New Roman"/>
          <w:sz w:val="24"/>
          <w:szCs w:val="24"/>
        </w:rPr>
        <w:t xml:space="preserve"> experimentation likely to be conducive to innovation and adaptation as circumstances change.</w:t>
      </w:r>
    </w:p>
    <w:p w14:paraId="6FCC9EFC" w14:textId="0DF6E405" w:rsidR="00483660" w:rsidRDefault="002F5C6A"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Small scale and community or municipal ownership naturally give</w:t>
      </w:r>
      <w:r w:rsidR="00AB753C">
        <w:rPr>
          <w:rFonts w:ascii="Times New Roman" w:hAnsi="Times New Roman" w:cs="Times New Roman"/>
          <w:sz w:val="24"/>
          <w:szCs w:val="24"/>
        </w:rPr>
        <w:t>s</w:t>
      </w:r>
      <w:r>
        <w:rPr>
          <w:rFonts w:ascii="Times New Roman" w:hAnsi="Times New Roman" w:cs="Times New Roman"/>
          <w:sz w:val="24"/>
          <w:szCs w:val="24"/>
        </w:rPr>
        <w:t xml:space="preserve"> rise to questions about </w:t>
      </w:r>
      <w:r w:rsidR="00AB753C">
        <w:rPr>
          <w:rFonts w:ascii="Times New Roman" w:hAnsi="Times New Roman" w:cs="Times New Roman"/>
          <w:sz w:val="24"/>
          <w:szCs w:val="24"/>
        </w:rPr>
        <w:t xml:space="preserve">the </w:t>
      </w:r>
      <w:r>
        <w:rPr>
          <w:rFonts w:ascii="Times New Roman" w:hAnsi="Times New Roman" w:cs="Times New Roman"/>
          <w:sz w:val="24"/>
          <w:szCs w:val="24"/>
        </w:rPr>
        <w:t>effectiveness of corporate governance and it is eas</w:t>
      </w:r>
      <w:r w:rsidR="00AB753C">
        <w:rPr>
          <w:rFonts w:ascii="Times New Roman" w:hAnsi="Times New Roman" w:cs="Times New Roman"/>
          <w:sz w:val="24"/>
          <w:szCs w:val="24"/>
        </w:rPr>
        <w:t>y</w:t>
      </w:r>
      <w:r>
        <w:rPr>
          <w:rFonts w:ascii="Times New Roman" w:hAnsi="Times New Roman" w:cs="Times New Roman"/>
          <w:sz w:val="24"/>
          <w:szCs w:val="24"/>
        </w:rPr>
        <w:t xml:space="preserve"> enough to</w:t>
      </w:r>
      <w:r w:rsidR="00AB753C">
        <w:rPr>
          <w:rFonts w:ascii="Times New Roman" w:hAnsi="Times New Roman" w:cs="Times New Roman"/>
          <w:sz w:val="24"/>
          <w:szCs w:val="24"/>
        </w:rPr>
        <w:t xml:space="preserve"> find</w:t>
      </w:r>
      <w:r w:rsidR="00741253">
        <w:rPr>
          <w:rFonts w:ascii="Times New Roman" w:hAnsi="Times New Roman" w:cs="Times New Roman"/>
          <w:sz w:val="24"/>
          <w:szCs w:val="24"/>
        </w:rPr>
        <w:t xml:space="preserve"> </w:t>
      </w:r>
      <w:r>
        <w:rPr>
          <w:rFonts w:ascii="Times New Roman" w:hAnsi="Times New Roman" w:cs="Times New Roman"/>
          <w:sz w:val="24"/>
          <w:szCs w:val="24"/>
        </w:rPr>
        <w:t>examples</w:t>
      </w:r>
      <w:r w:rsidR="00AB753C">
        <w:rPr>
          <w:rFonts w:ascii="Times New Roman" w:hAnsi="Times New Roman" w:cs="Times New Roman"/>
          <w:sz w:val="24"/>
          <w:szCs w:val="24"/>
        </w:rPr>
        <w:t xml:space="preserve">, across many contexts, </w:t>
      </w:r>
      <w:r>
        <w:rPr>
          <w:rFonts w:ascii="Times New Roman" w:hAnsi="Times New Roman" w:cs="Times New Roman"/>
          <w:sz w:val="24"/>
          <w:szCs w:val="24"/>
        </w:rPr>
        <w:t xml:space="preserve">where </w:t>
      </w:r>
      <w:r w:rsidR="00741253">
        <w:rPr>
          <w:rFonts w:ascii="Times New Roman" w:hAnsi="Times New Roman" w:cs="Times New Roman"/>
          <w:sz w:val="24"/>
          <w:szCs w:val="24"/>
        </w:rPr>
        <w:t>a</w:t>
      </w:r>
      <w:r>
        <w:rPr>
          <w:rFonts w:ascii="Times New Roman" w:hAnsi="Times New Roman" w:cs="Times New Roman"/>
          <w:sz w:val="24"/>
          <w:szCs w:val="24"/>
        </w:rPr>
        <w:t xml:space="preserve"> lack of strong incentives</w:t>
      </w:r>
      <w:r w:rsidR="00741253">
        <w:rPr>
          <w:rFonts w:ascii="Times New Roman" w:hAnsi="Times New Roman" w:cs="Times New Roman"/>
          <w:sz w:val="24"/>
          <w:szCs w:val="24"/>
        </w:rPr>
        <w:t xml:space="preserve"> (such as might be provided by a profit motive) has led to poor governance and performance in organisations.  There is an established literature on such problems.  However, this point alone can only be part of any analysis.  Policy decisions always involve choices between </w:t>
      </w:r>
      <w:r w:rsidR="00CD1456">
        <w:rPr>
          <w:rFonts w:ascii="Times New Roman" w:hAnsi="Times New Roman" w:cs="Times New Roman"/>
          <w:sz w:val="24"/>
          <w:szCs w:val="24"/>
        </w:rPr>
        <w:t>one thing</w:t>
      </w:r>
      <w:r w:rsidR="00741253">
        <w:rPr>
          <w:rFonts w:ascii="Times New Roman" w:hAnsi="Times New Roman" w:cs="Times New Roman"/>
          <w:sz w:val="24"/>
          <w:szCs w:val="24"/>
        </w:rPr>
        <w:t xml:space="preserve"> and </w:t>
      </w:r>
      <w:r w:rsidR="00AB753C">
        <w:rPr>
          <w:rFonts w:ascii="Times New Roman" w:hAnsi="Times New Roman" w:cs="Times New Roman"/>
          <w:sz w:val="24"/>
          <w:szCs w:val="24"/>
        </w:rPr>
        <w:t>an alternative</w:t>
      </w:r>
      <w:r w:rsidR="00741253">
        <w:rPr>
          <w:rFonts w:ascii="Times New Roman" w:hAnsi="Times New Roman" w:cs="Times New Roman"/>
          <w:sz w:val="24"/>
          <w:szCs w:val="24"/>
        </w:rPr>
        <w:t xml:space="preserve">: there is always a counterfactual </w:t>
      </w:r>
      <w:r w:rsidR="00AB753C">
        <w:rPr>
          <w:rFonts w:ascii="Times New Roman" w:hAnsi="Times New Roman" w:cs="Times New Roman"/>
          <w:sz w:val="24"/>
          <w:szCs w:val="24"/>
        </w:rPr>
        <w:t>to consider</w:t>
      </w:r>
      <w:r w:rsidR="00741253">
        <w:rPr>
          <w:rFonts w:ascii="Times New Roman" w:hAnsi="Times New Roman" w:cs="Times New Roman"/>
          <w:sz w:val="24"/>
          <w:szCs w:val="24"/>
        </w:rPr>
        <w:t xml:space="preserve">.  As indicated </w:t>
      </w:r>
      <w:r w:rsidR="00AB753C">
        <w:rPr>
          <w:rFonts w:ascii="Times New Roman" w:hAnsi="Times New Roman" w:cs="Times New Roman"/>
          <w:sz w:val="24"/>
          <w:szCs w:val="24"/>
        </w:rPr>
        <w:t>earlier</w:t>
      </w:r>
      <w:r w:rsidR="00741253">
        <w:rPr>
          <w:rFonts w:ascii="Times New Roman" w:hAnsi="Times New Roman" w:cs="Times New Roman"/>
          <w:sz w:val="24"/>
          <w:szCs w:val="24"/>
        </w:rPr>
        <w:t xml:space="preserve">, it is a central flaw in C7 that, to the extent that it operates with any counterfactual at all, </w:t>
      </w:r>
      <w:r w:rsidR="00CD1456">
        <w:rPr>
          <w:rFonts w:ascii="Times New Roman" w:hAnsi="Times New Roman" w:cs="Times New Roman"/>
          <w:sz w:val="24"/>
          <w:szCs w:val="24"/>
        </w:rPr>
        <w:t>the alternative</w:t>
      </w:r>
      <w:r w:rsidR="00741253">
        <w:rPr>
          <w:rFonts w:ascii="Times New Roman" w:hAnsi="Times New Roman" w:cs="Times New Roman"/>
          <w:sz w:val="24"/>
          <w:szCs w:val="24"/>
        </w:rPr>
        <w:t xml:space="preserve"> is unexamined and unexplored.   </w:t>
      </w:r>
      <w:r>
        <w:rPr>
          <w:rFonts w:ascii="Times New Roman" w:hAnsi="Times New Roman" w:cs="Times New Roman"/>
          <w:sz w:val="24"/>
          <w:szCs w:val="24"/>
        </w:rPr>
        <w:t xml:space="preserve"> </w:t>
      </w:r>
    </w:p>
    <w:p w14:paraId="0EFC680A" w14:textId="4BD2616B" w:rsidR="00A6154E" w:rsidRDefault="00A6154E" w:rsidP="001B195F">
      <w:pPr>
        <w:spacing w:line="276" w:lineRule="auto"/>
        <w:rPr>
          <w:rFonts w:ascii="Times New Roman" w:hAnsi="Times New Roman" w:cs="Times New Roman"/>
          <w:sz w:val="24"/>
          <w:szCs w:val="24"/>
        </w:rPr>
      </w:pPr>
      <w:r>
        <w:rPr>
          <w:rFonts w:ascii="Times New Roman" w:hAnsi="Times New Roman" w:cs="Times New Roman"/>
          <w:sz w:val="24"/>
          <w:szCs w:val="24"/>
        </w:rPr>
        <w:t>C7</w:t>
      </w:r>
      <w:r w:rsidR="00984095">
        <w:rPr>
          <w:rFonts w:ascii="Times New Roman" w:hAnsi="Times New Roman" w:cs="Times New Roman"/>
          <w:sz w:val="24"/>
          <w:szCs w:val="24"/>
        </w:rPr>
        <w:t xml:space="preserve"> draws attention to </w:t>
      </w:r>
      <w:r>
        <w:rPr>
          <w:rFonts w:ascii="Times New Roman" w:hAnsi="Times New Roman" w:cs="Times New Roman"/>
          <w:sz w:val="24"/>
          <w:szCs w:val="24"/>
        </w:rPr>
        <w:t xml:space="preserve">‘concerns’ about community trust </w:t>
      </w:r>
      <w:r w:rsidR="00440888">
        <w:rPr>
          <w:rFonts w:ascii="Times New Roman" w:hAnsi="Times New Roman" w:cs="Times New Roman"/>
          <w:sz w:val="24"/>
          <w:szCs w:val="24"/>
        </w:rPr>
        <w:t>governance but</w:t>
      </w:r>
      <w:r w:rsidR="00984095">
        <w:rPr>
          <w:rFonts w:ascii="Times New Roman" w:hAnsi="Times New Roman" w:cs="Times New Roman"/>
          <w:sz w:val="24"/>
          <w:szCs w:val="24"/>
        </w:rPr>
        <w:t xml:space="preserve"> pays no attention to the corresponding potential weaknesses in the governance of for-profit businesses.  What </w:t>
      </w:r>
      <w:r>
        <w:rPr>
          <w:rFonts w:ascii="Times New Roman" w:hAnsi="Times New Roman" w:cs="Times New Roman"/>
          <w:sz w:val="24"/>
          <w:szCs w:val="24"/>
        </w:rPr>
        <w:t xml:space="preserve">it provides is </w:t>
      </w:r>
      <w:r w:rsidR="00984095">
        <w:rPr>
          <w:rFonts w:ascii="Times New Roman" w:hAnsi="Times New Roman" w:cs="Times New Roman"/>
          <w:sz w:val="24"/>
          <w:szCs w:val="24"/>
        </w:rPr>
        <w:t>an analysis that implicitly assumes that any identified governance weaknesses in community trusts can be corrected by recourse to</w:t>
      </w:r>
      <w:r w:rsidR="001C734E">
        <w:rPr>
          <w:rFonts w:ascii="Times New Roman" w:hAnsi="Times New Roman" w:cs="Times New Roman"/>
          <w:sz w:val="24"/>
          <w:szCs w:val="24"/>
        </w:rPr>
        <w:t xml:space="preserve"> some</w:t>
      </w:r>
      <w:r>
        <w:rPr>
          <w:rFonts w:ascii="Times New Roman" w:hAnsi="Times New Roman" w:cs="Times New Roman"/>
          <w:sz w:val="24"/>
          <w:szCs w:val="24"/>
        </w:rPr>
        <w:t xml:space="preserve"> </w:t>
      </w:r>
      <w:r w:rsidR="00984095">
        <w:rPr>
          <w:rFonts w:ascii="Times New Roman" w:hAnsi="Times New Roman" w:cs="Times New Roman"/>
          <w:sz w:val="24"/>
          <w:szCs w:val="24"/>
        </w:rPr>
        <w:t>alternative</w:t>
      </w:r>
      <w:r w:rsidR="001C734E">
        <w:rPr>
          <w:rFonts w:ascii="Times New Roman" w:hAnsi="Times New Roman" w:cs="Times New Roman"/>
          <w:sz w:val="24"/>
          <w:szCs w:val="24"/>
        </w:rPr>
        <w:t>, idealised</w:t>
      </w:r>
      <w:r w:rsidR="00984095">
        <w:rPr>
          <w:rFonts w:ascii="Times New Roman" w:hAnsi="Times New Roman" w:cs="Times New Roman"/>
          <w:sz w:val="24"/>
          <w:szCs w:val="24"/>
        </w:rPr>
        <w:t xml:space="preserve"> form of corporate governance</w:t>
      </w:r>
      <w:r>
        <w:rPr>
          <w:rFonts w:ascii="Times New Roman" w:hAnsi="Times New Roman" w:cs="Times New Roman"/>
          <w:sz w:val="24"/>
          <w:szCs w:val="24"/>
        </w:rPr>
        <w:t xml:space="preserve">.  That is an </w:t>
      </w:r>
      <w:r w:rsidRPr="001C734E">
        <w:rPr>
          <w:rFonts w:ascii="Times New Roman" w:hAnsi="Times New Roman" w:cs="Times New Roman"/>
          <w:i/>
          <w:sz w:val="24"/>
          <w:szCs w:val="24"/>
        </w:rPr>
        <w:t>assumption</w:t>
      </w:r>
      <w:r>
        <w:rPr>
          <w:rFonts w:ascii="Times New Roman" w:hAnsi="Times New Roman" w:cs="Times New Roman"/>
          <w:sz w:val="24"/>
          <w:szCs w:val="24"/>
        </w:rPr>
        <w:t xml:space="preserve">:  it does not follow from any comparative analysis of the strengths and weaknesses of different ways of doing things.  At bottom it is ‘magical thinking’. </w:t>
      </w:r>
    </w:p>
    <w:p w14:paraId="243E5D95" w14:textId="0EF83057" w:rsidR="00B55A34" w:rsidRDefault="00984095" w:rsidP="001B195F">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A6154E">
        <w:rPr>
          <w:rFonts w:ascii="Times New Roman" w:hAnsi="Times New Roman" w:cs="Times New Roman"/>
          <w:sz w:val="24"/>
          <w:szCs w:val="24"/>
        </w:rPr>
        <w:t xml:space="preserve">one </w:t>
      </w:r>
      <w:r>
        <w:rPr>
          <w:rFonts w:ascii="Times New Roman" w:hAnsi="Times New Roman" w:cs="Times New Roman"/>
          <w:sz w:val="24"/>
          <w:szCs w:val="24"/>
        </w:rPr>
        <w:t xml:space="preserve">concrete </w:t>
      </w:r>
      <w:r w:rsidR="009C4635">
        <w:rPr>
          <w:rFonts w:ascii="Times New Roman" w:hAnsi="Times New Roman" w:cs="Times New Roman"/>
          <w:sz w:val="24"/>
          <w:szCs w:val="24"/>
        </w:rPr>
        <w:t xml:space="preserve">case raised in </w:t>
      </w:r>
      <w:r w:rsidR="005C0EF9">
        <w:rPr>
          <w:rFonts w:ascii="Times New Roman" w:hAnsi="Times New Roman" w:cs="Times New Roman"/>
          <w:sz w:val="24"/>
          <w:szCs w:val="24"/>
        </w:rPr>
        <w:t>C7 that involves an exempt EDB is that of the Marlborough Lines ‘conglomerate’ diversification into wine production</w:t>
      </w:r>
      <w:r w:rsidR="001C734E">
        <w:rPr>
          <w:rFonts w:ascii="Times New Roman" w:hAnsi="Times New Roman" w:cs="Times New Roman"/>
          <w:sz w:val="24"/>
          <w:szCs w:val="24"/>
        </w:rPr>
        <w:t xml:space="preserve">, via </w:t>
      </w:r>
      <w:r w:rsidR="005C0EF9">
        <w:rPr>
          <w:rFonts w:ascii="Times New Roman" w:hAnsi="Times New Roman" w:cs="Times New Roman"/>
          <w:sz w:val="24"/>
          <w:szCs w:val="24"/>
        </w:rPr>
        <w:t xml:space="preserve">an acquisition of an 80% stake in </w:t>
      </w:r>
      <w:proofErr w:type="spellStart"/>
      <w:r w:rsidR="005C0EF9">
        <w:rPr>
          <w:rFonts w:ascii="Times New Roman" w:hAnsi="Times New Roman" w:cs="Times New Roman"/>
          <w:sz w:val="24"/>
          <w:szCs w:val="24"/>
        </w:rPr>
        <w:t>Yealands</w:t>
      </w:r>
      <w:proofErr w:type="spellEnd"/>
      <w:r w:rsidR="005C0EF9">
        <w:rPr>
          <w:rFonts w:ascii="Times New Roman" w:hAnsi="Times New Roman" w:cs="Times New Roman"/>
          <w:sz w:val="24"/>
          <w:szCs w:val="24"/>
        </w:rPr>
        <w:t xml:space="preserve"> Wine Group, the largest local producer.</w:t>
      </w:r>
      <w:r w:rsidR="009F721D">
        <w:rPr>
          <w:rStyle w:val="FootnoteReference"/>
          <w:rFonts w:ascii="Times New Roman" w:hAnsi="Times New Roman" w:cs="Times New Roman"/>
          <w:sz w:val="24"/>
          <w:szCs w:val="24"/>
        </w:rPr>
        <w:footnoteReference w:id="8"/>
      </w:r>
      <w:r w:rsidR="005C0EF9">
        <w:rPr>
          <w:rFonts w:ascii="Times New Roman" w:hAnsi="Times New Roman" w:cs="Times New Roman"/>
          <w:sz w:val="24"/>
          <w:szCs w:val="24"/>
        </w:rPr>
        <w:t xml:space="preserve"> </w:t>
      </w:r>
      <w:r w:rsidR="00B55A34">
        <w:rPr>
          <w:rFonts w:ascii="Times New Roman" w:hAnsi="Times New Roman" w:cs="Times New Roman"/>
          <w:sz w:val="24"/>
          <w:szCs w:val="24"/>
        </w:rPr>
        <w:t xml:space="preserve"> By conglomerate diversification is meant </w:t>
      </w:r>
      <w:r w:rsidR="001C734E">
        <w:rPr>
          <w:rFonts w:ascii="Times New Roman" w:hAnsi="Times New Roman" w:cs="Times New Roman"/>
          <w:sz w:val="24"/>
          <w:szCs w:val="24"/>
        </w:rPr>
        <w:t>expansion into</w:t>
      </w:r>
      <w:r w:rsidR="00B55A34">
        <w:rPr>
          <w:rFonts w:ascii="Times New Roman" w:hAnsi="Times New Roman" w:cs="Times New Roman"/>
          <w:sz w:val="24"/>
          <w:szCs w:val="24"/>
        </w:rPr>
        <w:t xml:space="preserve"> activities that are only very loosely connected, if at all, with an EDBs core business.  It does not encompass the kinds of diversification that characterise, say, the Public Utility Districts (PUDs) of Washington State in the USA, where </w:t>
      </w:r>
      <w:r w:rsidR="000A0B3E">
        <w:rPr>
          <w:rFonts w:ascii="Times New Roman" w:hAnsi="Times New Roman" w:cs="Times New Roman"/>
          <w:sz w:val="24"/>
          <w:szCs w:val="24"/>
        </w:rPr>
        <w:t xml:space="preserve">community-run </w:t>
      </w:r>
      <w:r w:rsidR="00B55A34">
        <w:rPr>
          <w:rFonts w:ascii="Times New Roman" w:hAnsi="Times New Roman" w:cs="Times New Roman"/>
          <w:sz w:val="24"/>
          <w:szCs w:val="24"/>
        </w:rPr>
        <w:t>electricity distribution is to be found bundled with one or both of local telecoms and water services, but not</w:t>
      </w:r>
      <w:r w:rsidR="000A0B3E">
        <w:rPr>
          <w:rFonts w:ascii="Times New Roman" w:hAnsi="Times New Roman" w:cs="Times New Roman"/>
          <w:sz w:val="24"/>
          <w:szCs w:val="24"/>
        </w:rPr>
        <w:t xml:space="preserve"> (so far as I know)</w:t>
      </w:r>
      <w:r w:rsidR="00B55A34">
        <w:rPr>
          <w:rFonts w:ascii="Times New Roman" w:hAnsi="Times New Roman" w:cs="Times New Roman"/>
          <w:sz w:val="24"/>
          <w:szCs w:val="24"/>
        </w:rPr>
        <w:t xml:space="preserve"> with apple growing</w:t>
      </w:r>
      <w:r w:rsidR="000A0B3E">
        <w:rPr>
          <w:rFonts w:ascii="Times New Roman" w:hAnsi="Times New Roman" w:cs="Times New Roman"/>
          <w:sz w:val="24"/>
          <w:szCs w:val="24"/>
        </w:rPr>
        <w:t>.</w:t>
      </w:r>
    </w:p>
    <w:p w14:paraId="5EF7553E" w14:textId="28E73B3C" w:rsidR="00A6154E" w:rsidRDefault="005C0EF9" w:rsidP="001B195F">
      <w:pPr>
        <w:spacing w:line="276" w:lineRule="auto"/>
        <w:rPr>
          <w:rFonts w:ascii="Times New Roman" w:hAnsi="Times New Roman" w:cs="Times New Roman"/>
          <w:i/>
          <w:sz w:val="24"/>
          <w:szCs w:val="24"/>
        </w:rPr>
      </w:pPr>
      <w:r>
        <w:rPr>
          <w:rFonts w:ascii="Times New Roman" w:hAnsi="Times New Roman" w:cs="Times New Roman"/>
          <w:sz w:val="24"/>
          <w:szCs w:val="24"/>
        </w:rPr>
        <w:t xml:space="preserve">There can be little doubt that diversification </w:t>
      </w:r>
      <w:r w:rsidR="00B55A34">
        <w:rPr>
          <w:rFonts w:ascii="Times New Roman" w:hAnsi="Times New Roman" w:cs="Times New Roman"/>
          <w:sz w:val="24"/>
          <w:szCs w:val="24"/>
        </w:rPr>
        <w:t xml:space="preserve">into unrelated activities </w:t>
      </w:r>
      <w:r>
        <w:rPr>
          <w:rFonts w:ascii="Times New Roman" w:hAnsi="Times New Roman" w:cs="Times New Roman"/>
          <w:sz w:val="24"/>
          <w:szCs w:val="24"/>
        </w:rPr>
        <w:t xml:space="preserve">is often linked to weaknesses </w:t>
      </w:r>
      <w:r w:rsidR="00362910">
        <w:rPr>
          <w:rFonts w:ascii="Times New Roman" w:hAnsi="Times New Roman" w:cs="Times New Roman"/>
          <w:sz w:val="24"/>
          <w:szCs w:val="24"/>
        </w:rPr>
        <w:t xml:space="preserve">in </w:t>
      </w:r>
      <w:r>
        <w:rPr>
          <w:rFonts w:ascii="Times New Roman" w:hAnsi="Times New Roman" w:cs="Times New Roman"/>
          <w:sz w:val="24"/>
          <w:szCs w:val="24"/>
        </w:rPr>
        <w:t xml:space="preserve">corporate governance, but the reason for the confidence </w:t>
      </w:r>
      <w:r w:rsidR="001C734E">
        <w:rPr>
          <w:rFonts w:ascii="Times New Roman" w:hAnsi="Times New Roman" w:cs="Times New Roman"/>
          <w:sz w:val="24"/>
          <w:szCs w:val="24"/>
        </w:rPr>
        <w:t xml:space="preserve">expressed by </w:t>
      </w:r>
      <w:r>
        <w:rPr>
          <w:rFonts w:ascii="Times New Roman" w:hAnsi="Times New Roman" w:cs="Times New Roman"/>
          <w:sz w:val="24"/>
          <w:szCs w:val="24"/>
        </w:rPr>
        <w:t xml:space="preserve">that statement is the existence of a significant body </w:t>
      </w:r>
      <w:r w:rsidR="00362910">
        <w:rPr>
          <w:rFonts w:ascii="Times New Roman" w:hAnsi="Times New Roman" w:cs="Times New Roman"/>
          <w:sz w:val="24"/>
          <w:szCs w:val="24"/>
        </w:rPr>
        <w:t xml:space="preserve">of </w:t>
      </w:r>
      <w:r>
        <w:rPr>
          <w:rFonts w:ascii="Times New Roman" w:hAnsi="Times New Roman" w:cs="Times New Roman"/>
          <w:sz w:val="24"/>
          <w:szCs w:val="24"/>
        </w:rPr>
        <w:t>evidence</w:t>
      </w:r>
      <w:r w:rsidR="000A0B3E">
        <w:rPr>
          <w:rFonts w:ascii="Times New Roman" w:hAnsi="Times New Roman" w:cs="Times New Roman"/>
          <w:sz w:val="24"/>
          <w:szCs w:val="24"/>
        </w:rPr>
        <w:t xml:space="preserve"> on the issue that is </w:t>
      </w:r>
      <w:r>
        <w:rPr>
          <w:rFonts w:ascii="Times New Roman" w:hAnsi="Times New Roman" w:cs="Times New Roman"/>
          <w:sz w:val="24"/>
          <w:szCs w:val="24"/>
        </w:rPr>
        <w:t xml:space="preserve">drawn from a wide range of different </w:t>
      </w:r>
      <w:r w:rsidR="000A0B3E">
        <w:rPr>
          <w:rFonts w:ascii="Times New Roman" w:hAnsi="Times New Roman" w:cs="Times New Roman"/>
          <w:sz w:val="24"/>
          <w:szCs w:val="24"/>
        </w:rPr>
        <w:t xml:space="preserve">market </w:t>
      </w:r>
      <w:r>
        <w:rPr>
          <w:rFonts w:ascii="Times New Roman" w:hAnsi="Times New Roman" w:cs="Times New Roman"/>
          <w:sz w:val="24"/>
          <w:szCs w:val="24"/>
        </w:rPr>
        <w:t xml:space="preserve">contexts, including contexts involving different types of ownership and business structures.  </w:t>
      </w:r>
      <w:r w:rsidRPr="00B55A34">
        <w:rPr>
          <w:rFonts w:ascii="Times New Roman" w:hAnsi="Times New Roman" w:cs="Times New Roman"/>
          <w:i/>
          <w:sz w:val="24"/>
          <w:szCs w:val="24"/>
        </w:rPr>
        <w:t>It is a generic issue, not specifically tied to any one form of business organisation</w:t>
      </w:r>
      <w:r w:rsidR="00B55A34">
        <w:rPr>
          <w:rFonts w:ascii="Times New Roman" w:hAnsi="Times New Roman" w:cs="Times New Roman"/>
          <w:i/>
          <w:sz w:val="24"/>
          <w:szCs w:val="24"/>
        </w:rPr>
        <w:t xml:space="preserve"> or type of ownership.</w:t>
      </w:r>
    </w:p>
    <w:p w14:paraId="124E72C1" w14:textId="77777777" w:rsidR="001C734E" w:rsidRDefault="000A0B3E" w:rsidP="001B195F">
      <w:pPr>
        <w:spacing w:line="276" w:lineRule="auto"/>
        <w:rPr>
          <w:rFonts w:ascii="Times New Roman" w:hAnsi="Times New Roman" w:cs="Times New Roman"/>
          <w:sz w:val="24"/>
          <w:szCs w:val="24"/>
        </w:rPr>
      </w:pPr>
      <w:r>
        <w:rPr>
          <w:rFonts w:ascii="Times New Roman" w:hAnsi="Times New Roman" w:cs="Times New Roman"/>
          <w:sz w:val="24"/>
          <w:szCs w:val="24"/>
        </w:rPr>
        <w:t xml:space="preserve">There are many illustrations of this point, but three cases should suffice to establish the point: Carillion, which is a UK political scandal of the moment </w:t>
      </w:r>
      <w:r w:rsidR="001C734E">
        <w:rPr>
          <w:rFonts w:ascii="Times New Roman" w:hAnsi="Times New Roman" w:cs="Times New Roman"/>
          <w:sz w:val="24"/>
          <w:szCs w:val="24"/>
        </w:rPr>
        <w:t xml:space="preserve">whose corporate governance entrails </w:t>
      </w:r>
      <w:r>
        <w:rPr>
          <w:rFonts w:ascii="Times New Roman" w:hAnsi="Times New Roman" w:cs="Times New Roman"/>
          <w:sz w:val="24"/>
          <w:szCs w:val="24"/>
        </w:rPr>
        <w:t>are still being picked through</w:t>
      </w:r>
      <w:r w:rsidR="001C734E">
        <w:rPr>
          <w:rFonts w:ascii="Times New Roman" w:hAnsi="Times New Roman" w:cs="Times New Roman"/>
          <w:sz w:val="24"/>
          <w:szCs w:val="24"/>
        </w:rPr>
        <w:t xml:space="preserve"> by Parliament;</w:t>
      </w:r>
      <w:r>
        <w:rPr>
          <w:rFonts w:ascii="Times New Roman" w:hAnsi="Times New Roman" w:cs="Times New Roman"/>
          <w:sz w:val="24"/>
          <w:szCs w:val="24"/>
        </w:rPr>
        <w:t xml:space="preserve"> the Royal Bank of Scotland, whose governance failures were a contributory factor to the fallout from the financial crash in 2008</w:t>
      </w:r>
      <w:r w:rsidR="001C734E">
        <w:rPr>
          <w:rFonts w:ascii="Times New Roman" w:hAnsi="Times New Roman" w:cs="Times New Roman"/>
          <w:sz w:val="24"/>
          <w:szCs w:val="24"/>
        </w:rPr>
        <w:t>;</w:t>
      </w:r>
      <w:r>
        <w:rPr>
          <w:rFonts w:ascii="Times New Roman" w:hAnsi="Times New Roman" w:cs="Times New Roman"/>
          <w:sz w:val="24"/>
          <w:szCs w:val="24"/>
        </w:rPr>
        <w:t xml:space="preserve"> and the collapse of Enron, which kept </w:t>
      </w:r>
      <w:r w:rsidR="004D721B">
        <w:rPr>
          <w:rFonts w:ascii="Times New Roman" w:hAnsi="Times New Roman" w:cs="Times New Roman"/>
          <w:sz w:val="24"/>
          <w:szCs w:val="24"/>
        </w:rPr>
        <w:t xml:space="preserve">regulators at Ofgem working late nights in the office fifteen or so years ago.  The common factor was a </w:t>
      </w:r>
      <w:r w:rsidR="001C734E">
        <w:rPr>
          <w:rFonts w:ascii="Times New Roman" w:hAnsi="Times New Roman" w:cs="Times New Roman"/>
          <w:sz w:val="24"/>
          <w:szCs w:val="24"/>
        </w:rPr>
        <w:t xml:space="preserve">very </w:t>
      </w:r>
      <w:r w:rsidR="004D721B">
        <w:rPr>
          <w:rFonts w:ascii="Times New Roman" w:hAnsi="Times New Roman" w:cs="Times New Roman"/>
          <w:sz w:val="24"/>
          <w:szCs w:val="24"/>
        </w:rPr>
        <w:t xml:space="preserve">strong drive to increase financial returns accompanied with a strategy of diversification that over-stretched management capacities.  </w:t>
      </w:r>
    </w:p>
    <w:p w14:paraId="1189BD86" w14:textId="4B16DEE3" w:rsidR="00975311" w:rsidRDefault="00975311" w:rsidP="001B195F">
      <w:pPr>
        <w:spacing w:line="276" w:lineRule="auto"/>
        <w:rPr>
          <w:rFonts w:ascii="Times New Roman" w:hAnsi="Times New Roman" w:cs="Times New Roman"/>
          <w:sz w:val="24"/>
          <w:szCs w:val="24"/>
        </w:rPr>
      </w:pPr>
      <w:r>
        <w:rPr>
          <w:rFonts w:ascii="Times New Roman" w:hAnsi="Times New Roman" w:cs="Times New Roman"/>
          <w:sz w:val="24"/>
          <w:szCs w:val="24"/>
        </w:rPr>
        <w:t xml:space="preserve">In an example closer to </w:t>
      </w:r>
      <w:r w:rsidR="001C734E">
        <w:rPr>
          <w:rFonts w:ascii="Times New Roman" w:hAnsi="Times New Roman" w:cs="Times New Roman"/>
          <w:sz w:val="24"/>
          <w:szCs w:val="24"/>
        </w:rPr>
        <w:t>utilities regulation</w:t>
      </w:r>
      <w:r>
        <w:rPr>
          <w:rFonts w:ascii="Times New Roman" w:hAnsi="Times New Roman" w:cs="Times New Roman"/>
          <w:sz w:val="24"/>
          <w:szCs w:val="24"/>
        </w:rPr>
        <w:t xml:space="preserve">, conglomerate diversification became an issue in the water industry in the UK only after privatisation, when managers freed from intrusive political supervision suddenly found that their large numbers of private shareholders were not a force to be reckoned with when deciding what to do with their cash flows.  Subsequent ring fencing provisions introduced by the regulator, </w:t>
      </w:r>
      <w:proofErr w:type="spellStart"/>
      <w:r>
        <w:rPr>
          <w:rFonts w:ascii="Times New Roman" w:hAnsi="Times New Roman" w:cs="Times New Roman"/>
          <w:sz w:val="24"/>
          <w:szCs w:val="24"/>
        </w:rPr>
        <w:t>Ofwat</w:t>
      </w:r>
      <w:proofErr w:type="spellEnd"/>
      <w:r>
        <w:rPr>
          <w:rFonts w:ascii="Times New Roman" w:hAnsi="Times New Roman" w:cs="Times New Roman"/>
          <w:sz w:val="24"/>
          <w:szCs w:val="24"/>
        </w:rPr>
        <w:t xml:space="preserve">, were motivated by the desire to retain the cash flows within the sector </w:t>
      </w:r>
      <w:r w:rsidR="00440888">
        <w:rPr>
          <w:rFonts w:ascii="Times New Roman" w:hAnsi="Times New Roman" w:cs="Times New Roman"/>
          <w:sz w:val="24"/>
          <w:szCs w:val="24"/>
        </w:rPr>
        <w:t>to</w:t>
      </w:r>
      <w:r>
        <w:rPr>
          <w:rFonts w:ascii="Times New Roman" w:hAnsi="Times New Roman" w:cs="Times New Roman"/>
          <w:sz w:val="24"/>
          <w:szCs w:val="24"/>
        </w:rPr>
        <w:t xml:space="preserve"> secure compliance with company duties to ensure that they were always </w:t>
      </w:r>
      <w:r w:rsidR="00440888">
        <w:rPr>
          <w:rFonts w:ascii="Times New Roman" w:hAnsi="Times New Roman" w:cs="Times New Roman"/>
          <w:sz w:val="24"/>
          <w:szCs w:val="24"/>
        </w:rPr>
        <w:t>able</w:t>
      </w:r>
      <w:r>
        <w:rPr>
          <w:rFonts w:ascii="Times New Roman" w:hAnsi="Times New Roman" w:cs="Times New Roman"/>
          <w:sz w:val="24"/>
          <w:szCs w:val="24"/>
        </w:rPr>
        <w:t xml:space="preserve"> to finance their regulated activities (it was not motivated by competition concerns, since there was little or no competition, or prospect of competition, to speak of at the time). </w:t>
      </w:r>
    </w:p>
    <w:p w14:paraId="3A244339" w14:textId="71F64D95" w:rsidR="00984095" w:rsidRDefault="00984095" w:rsidP="001B195F">
      <w:pPr>
        <w:spacing w:line="276" w:lineRule="auto"/>
        <w:rPr>
          <w:rFonts w:ascii="Times New Roman" w:hAnsi="Times New Roman" w:cs="Times New Roman"/>
          <w:sz w:val="24"/>
          <w:szCs w:val="24"/>
        </w:rPr>
      </w:pPr>
      <w:r>
        <w:rPr>
          <w:rFonts w:ascii="Times New Roman" w:hAnsi="Times New Roman" w:cs="Times New Roman"/>
          <w:sz w:val="24"/>
          <w:szCs w:val="24"/>
        </w:rPr>
        <w:t xml:space="preserve">It can safely be concluded then that increasing the size and changing the objectives of businesses offers no panacea for corporate governance problems.  Indeed, in respect of the ‘separation of ownership and control’ aspect of the more general governance problems, smaller size can be expected to give rise to lesser problems.  </w:t>
      </w:r>
    </w:p>
    <w:p w14:paraId="110B5221" w14:textId="2C10F737" w:rsidR="00975311" w:rsidRDefault="00975311" w:rsidP="001B195F">
      <w:pPr>
        <w:spacing w:line="276" w:lineRule="auto"/>
        <w:rPr>
          <w:rFonts w:ascii="Times New Roman" w:hAnsi="Times New Roman" w:cs="Times New Roman"/>
          <w:sz w:val="24"/>
          <w:szCs w:val="24"/>
        </w:rPr>
      </w:pPr>
      <w:r>
        <w:rPr>
          <w:rFonts w:ascii="Times New Roman" w:hAnsi="Times New Roman" w:cs="Times New Roman"/>
          <w:sz w:val="24"/>
          <w:szCs w:val="24"/>
        </w:rPr>
        <w:t xml:space="preserve">C7 fails to address these realities, </w:t>
      </w:r>
      <w:r w:rsidR="00956851">
        <w:rPr>
          <w:rFonts w:ascii="Times New Roman" w:hAnsi="Times New Roman" w:cs="Times New Roman"/>
          <w:sz w:val="24"/>
          <w:szCs w:val="24"/>
        </w:rPr>
        <w:t xml:space="preserve">simply </w:t>
      </w:r>
      <w:r>
        <w:rPr>
          <w:rFonts w:ascii="Times New Roman" w:hAnsi="Times New Roman" w:cs="Times New Roman"/>
          <w:sz w:val="24"/>
          <w:szCs w:val="24"/>
        </w:rPr>
        <w:t xml:space="preserve">assuming that amalgamation, privatisation, corporatisation and its other suggestions and </w:t>
      </w:r>
      <w:r w:rsidR="00956851">
        <w:rPr>
          <w:rFonts w:ascii="Times New Roman" w:hAnsi="Times New Roman" w:cs="Times New Roman"/>
          <w:sz w:val="24"/>
          <w:szCs w:val="24"/>
        </w:rPr>
        <w:t xml:space="preserve">recommendations would almost necessarily improve EDB governance. </w:t>
      </w:r>
      <w:r w:rsidR="000B7953">
        <w:rPr>
          <w:rFonts w:ascii="Times New Roman" w:hAnsi="Times New Roman" w:cs="Times New Roman"/>
          <w:sz w:val="24"/>
          <w:szCs w:val="24"/>
        </w:rPr>
        <w:t xml:space="preserve"> No reason is given to think it would.</w:t>
      </w:r>
      <w:r w:rsidR="00956851">
        <w:rPr>
          <w:rFonts w:ascii="Times New Roman" w:hAnsi="Times New Roman" w:cs="Times New Roman"/>
          <w:sz w:val="24"/>
          <w:szCs w:val="24"/>
        </w:rPr>
        <w:t xml:space="preserve">   </w:t>
      </w:r>
    </w:p>
    <w:p w14:paraId="39E16DE4" w14:textId="693BC1A4" w:rsidR="0022126F" w:rsidRPr="001C734E" w:rsidRDefault="00736695" w:rsidP="001B195F">
      <w:pPr>
        <w:pStyle w:val="ListParagraph"/>
        <w:numPr>
          <w:ilvl w:val="0"/>
          <w:numId w:val="9"/>
        </w:numPr>
        <w:autoSpaceDE w:val="0"/>
        <w:autoSpaceDN w:val="0"/>
        <w:adjustRightInd w:val="0"/>
        <w:spacing w:line="276" w:lineRule="auto"/>
        <w:rPr>
          <w:rFonts w:ascii="Times New Roman" w:hAnsi="Times New Roman" w:cs="Times New Roman"/>
          <w:sz w:val="24"/>
          <w:szCs w:val="24"/>
        </w:rPr>
      </w:pPr>
      <w:r w:rsidRPr="001C734E">
        <w:rPr>
          <w:rFonts w:ascii="Times New Roman" w:hAnsi="Times New Roman" w:cs="Times New Roman"/>
          <w:sz w:val="24"/>
          <w:szCs w:val="24"/>
        </w:rPr>
        <w:t>L</w:t>
      </w:r>
      <w:r w:rsidRPr="001C734E">
        <w:rPr>
          <w:rFonts w:ascii="Times New Roman" w:hAnsi="Times New Roman" w:cs="Times New Roman"/>
          <w:b/>
          <w:sz w:val="24"/>
          <w:szCs w:val="24"/>
        </w:rPr>
        <w:t xml:space="preserve">ooking to the past vs looking to the future: the German example </w:t>
      </w:r>
    </w:p>
    <w:p w14:paraId="253F7DD8" w14:textId="76382954"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Eurelectric</w:t>
      </w:r>
      <w:proofErr w:type="spellEnd"/>
      <w:r>
        <w:rPr>
          <w:rFonts w:ascii="Times New Roman" w:hAnsi="Times New Roman" w:cs="Times New Roman"/>
          <w:sz w:val="24"/>
          <w:szCs w:val="24"/>
        </w:rPr>
        <w:t xml:space="preserve"> statistics used are the best available, comprehensive collection of statistics on distribution companies </w:t>
      </w:r>
      <w:r w:rsidR="001C734E">
        <w:rPr>
          <w:rFonts w:ascii="Times New Roman" w:hAnsi="Times New Roman" w:cs="Times New Roman"/>
          <w:sz w:val="24"/>
          <w:szCs w:val="24"/>
        </w:rPr>
        <w:t>in</w:t>
      </w:r>
      <w:r>
        <w:rPr>
          <w:rFonts w:ascii="Times New Roman" w:hAnsi="Times New Roman" w:cs="Times New Roman"/>
          <w:sz w:val="24"/>
          <w:szCs w:val="24"/>
        </w:rPr>
        <w:t xml:space="preserve"> Europe, but 2010 is some years ago now and economic contexts are changing rapidly.  Moreover, precisely because of these changes, the past is not necessarily a good guide to the future.</w:t>
      </w:r>
    </w:p>
    <w:p w14:paraId="0CCB00FE" w14:textId="5D54814A"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Looking backwards from 2010, it appear</w:t>
      </w:r>
      <w:r w:rsidR="00956851">
        <w:rPr>
          <w:rFonts w:ascii="Times New Roman" w:hAnsi="Times New Roman" w:cs="Times New Roman"/>
          <w:sz w:val="24"/>
          <w:szCs w:val="24"/>
        </w:rPr>
        <w:t>s</w:t>
      </w:r>
      <w:r>
        <w:rPr>
          <w:rFonts w:ascii="Times New Roman" w:hAnsi="Times New Roman" w:cs="Times New Roman"/>
          <w:sz w:val="24"/>
          <w:szCs w:val="24"/>
        </w:rPr>
        <w:t xml:space="preserve"> that there was a slow but steady trend toward consolidation of smaller </w:t>
      </w:r>
      <w:r w:rsidR="00956851">
        <w:rPr>
          <w:rFonts w:ascii="Times New Roman" w:hAnsi="Times New Roman" w:cs="Times New Roman"/>
          <w:sz w:val="24"/>
          <w:szCs w:val="24"/>
        </w:rPr>
        <w:t xml:space="preserve">electricity distribution companies across </w:t>
      </w:r>
      <w:r w:rsidR="00440888">
        <w:rPr>
          <w:rFonts w:ascii="Times New Roman" w:hAnsi="Times New Roman" w:cs="Times New Roman"/>
          <w:sz w:val="24"/>
          <w:szCs w:val="24"/>
        </w:rPr>
        <w:t>several</w:t>
      </w:r>
      <w:r w:rsidR="00956851">
        <w:rPr>
          <w:rFonts w:ascii="Times New Roman" w:hAnsi="Times New Roman" w:cs="Times New Roman"/>
          <w:sz w:val="24"/>
          <w:szCs w:val="24"/>
        </w:rPr>
        <w:t xml:space="preserve"> jurisdictions</w:t>
      </w:r>
      <w:r>
        <w:rPr>
          <w:rFonts w:ascii="Times New Roman" w:hAnsi="Times New Roman" w:cs="Times New Roman"/>
          <w:sz w:val="24"/>
          <w:szCs w:val="24"/>
        </w:rPr>
        <w:t>.  Sometimes this was a result of bottom-up amalgamation</w:t>
      </w:r>
      <w:r w:rsidR="001C734E">
        <w:rPr>
          <w:rFonts w:ascii="Times New Roman" w:hAnsi="Times New Roman" w:cs="Times New Roman"/>
          <w:sz w:val="24"/>
          <w:szCs w:val="24"/>
        </w:rPr>
        <w:t>s</w:t>
      </w:r>
      <w:r>
        <w:rPr>
          <w:rFonts w:ascii="Times New Roman" w:hAnsi="Times New Roman" w:cs="Times New Roman"/>
          <w:sz w:val="24"/>
          <w:szCs w:val="24"/>
        </w:rPr>
        <w:t xml:space="preserve"> and sometimes a result of top-down regulatory pressures – although European regulators have generally not been to the fore in applying </w:t>
      </w:r>
      <w:r w:rsidR="001C734E">
        <w:rPr>
          <w:rFonts w:ascii="Times New Roman" w:hAnsi="Times New Roman" w:cs="Times New Roman"/>
          <w:sz w:val="24"/>
          <w:szCs w:val="24"/>
        </w:rPr>
        <w:t>pressures to amalgamate</w:t>
      </w:r>
      <w:r>
        <w:rPr>
          <w:rFonts w:ascii="Times New Roman" w:hAnsi="Times New Roman" w:cs="Times New Roman"/>
          <w:sz w:val="24"/>
          <w:szCs w:val="24"/>
        </w:rPr>
        <w:t xml:space="preserve"> and it is necessary to look across the Atlantic for very active policy-induced restructuring. </w:t>
      </w:r>
      <w:r w:rsidR="00440888">
        <w:rPr>
          <w:rFonts w:ascii="Times New Roman" w:hAnsi="Times New Roman" w:cs="Times New Roman"/>
          <w:sz w:val="24"/>
          <w:szCs w:val="24"/>
        </w:rPr>
        <w:t>Ontario</w:t>
      </w:r>
      <w:r>
        <w:rPr>
          <w:rFonts w:ascii="Times New Roman" w:hAnsi="Times New Roman" w:cs="Times New Roman"/>
          <w:sz w:val="24"/>
          <w:szCs w:val="24"/>
        </w:rPr>
        <w:t xml:space="preserve"> is perhaps the most obvious example.</w:t>
      </w:r>
    </w:p>
    <w:p w14:paraId="72DDACAA" w14:textId="1A8AA3F2"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It seems likely that the authors of C7 had this past trend in mind as they relentlessly sought to nudge the NZ authorities in the direction of a top-down restructuring of electricity distribution, but </w:t>
      </w:r>
      <w:r w:rsidR="00956851">
        <w:rPr>
          <w:rFonts w:ascii="Times New Roman" w:hAnsi="Times New Roman" w:cs="Times New Roman"/>
          <w:sz w:val="24"/>
          <w:szCs w:val="24"/>
        </w:rPr>
        <w:t xml:space="preserve">in times of change the future rarely turns out to be an extrapolation of the past.  Notwithstanding </w:t>
      </w:r>
      <w:r w:rsidR="001C734E">
        <w:rPr>
          <w:rFonts w:ascii="Times New Roman" w:hAnsi="Times New Roman" w:cs="Times New Roman"/>
          <w:sz w:val="24"/>
          <w:szCs w:val="24"/>
        </w:rPr>
        <w:t>the existence of B</w:t>
      </w:r>
      <w:r w:rsidR="00956851">
        <w:rPr>
          <w:rFonts w:ascii="Times New Roman" w:hAnsi="Times New Roman" w:cs="Times New Roman"/>
          <w:sz w:val="24"/>
          <w:szCs w:val="24"/>
        </w:rPr>
        <w:t>ox 7</w:t>
      </w:r>
      <w:r w:rsidR="001C734E">
        <w:rPr>
          <w:rFonts w:ascii="Times New Roman" w:hAnsi="Times New Roman" w:cs="Times New Roman"/>
          <w:sz w:val="24"/>
          <w:szCs w:val="24"/>
        </w:rPr>
        <w:t>.1</w:t>
      </w:r>
      <w:r w:rsidR="00956851">
        <w:rPr>
          <w:rFonts w:ascii="Times New Roman" w:hAnsi="Times New Roman" w:cs="Times New Roman"/>
          <w:sz w:val="24"/>
          <w:szCs w:val="24"/>
        </w:rPr>
        <w:t xml:space="preserve">, C7 does not offer any detailed consideration of more recent developments in distribution networks, which </w:t>
      </w:r>
      <w:r w:rsidRPr="00B03758">
        <w:rPr>
          <w:rFonts w:ascii="Times New Roman" w:hAnsi="Times New Roman" w:cs="Times New Roman"/>
          <w:i/>
          <w:sz w:val="24"/>
          <w:szCs w:val="24"/>
        </w:rPr>
        <w:t>prima facie</w:t>
      </w:r>
      <w:r>
        <w:rPr>
          <w:rFonts w:ascii="Times New Roman" w:hAnsi="Times New Roman" w:cs="Times New Roman"/>
          <w:sz w:val="24"/>
          <w:szCs w:val="24"/>
        </w:rPr>
        <w:t xml:space="preserve"> are likely to be more informative about the future than </w:t>
      </w:r>
      <w:r w:rsidR="00463039">
        <w:rPr>
          <w:rFonts w:ascii="Times New Roman" w:hAnsi="Times New Roman" w:cs="Times New Roman"/>
          <w:sz w:val="24"/>
          <w:szCs w:val="24"/>
        </w:rPr>
        <w:t xml:space="preserve">are </w:t>
      </w:r>
      <w:r>
        <w:rPr>
          <w:rFonts w:ascii="Times New Roman" w:hAnsi="Times New Roman" w:cs="Times New Roman"/>
          <w:sz w:val="24"/>
          <w:szCs w:val="24"/>
        </w:rPr>
        <w:t>trends in an era before recent technological changes started to have any very material impact on distribution systems.</w:t>
      </w:r>
    </w:p>
    <w:p w14:paraId="59E1D36C" w14:textId="35887A59" w:rsidR="0022126F"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Even </w:t>
      </w:r>
      <w:r w:rsidR="00463039">
        <w:rPr>
          <w:rFonts w:ascii="Times New Roman" w:hAnsi="Times New Roman" w:cs="Times New Roman"/>
          <w:sz w:val="24"/>
          <w:szCs w:val="24"/>
        </w:rPr>
        <w:t xml:space="preserve">in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Eurelectric</w:t>
      </w:r>
      <w:proofErr w:type="spellEnd"/>
      <w:r>
        <w:rPr>
          <w:rFonts w:ascii="Times New Roman" w:hAnsi="Times New Roman" w:cs="Times New Roman"/>
          <w:sz w:val="24"/>
          <w:szCs w:val="24"/>
        </w:rPr>
        <w:t xml:space="preserve"> statistics, which end in 2011 with an incomplete set of numbers, there are one of two straws in the wind.  Up to 2010, the number of distributors in Norway and Sweden was falling, but the 2011 numbers show a slight increase over 2010.  </w:t>
      </w:r>
      <w:r w:rsidR="00956851">
        <w:rPr>
          <w:rFonts w:ascii="Times New Roman" w:hAnsi="Times New Roman" w:cs="Times New Roman"/>
          <w:sz w:val="24"/>
          <w:szCs w:val="24"/>
        </w:rPr>
        <w:t>However</w:t>
      </w:r>
      <w:r>
        <w:rPr>
          <w:rFonts w:ascii="Times New Roman" w:hAnsi="Times New Roman" w:cs="Times New Roman"/>
          <w:sz w:val="24"/>
          <w:szCs w:val="24"/>
        </w:rPr>
        <w:t xml:space="preserve">, whilst Norway and Sweden were pioneers in wholesale and retail market liberalisation, the European leader in general adaptation to disruptive change in the electricity sector has been Germany, with its </w:t>
      </w:r>
      <w:proofErr w:type="spellStart"/>
      <w:r w:rsidRPr="00E424E9">
        <w:rPr>
          <w:rFonts w:ascii="Times New Roman" w:hAnsi="Times New Roman" w:cs="Times New Roman"/>
          <w:i/>
          <w:sz w:val="24"/>
          <w:szCs w:val="24"/>
        </w:rPr>
        <w:t>Energiewende</w:t>
      </w:r>
      <w:proofErr w:type="spellEnd"/>
      <w:r>
        <w:rPr>
          <w:rFonts w:ascii="Times New Roman" w:hAnsi="Times New Roman" w:cs="Times New Roman"/>
          <w:sz w:val="24"/>
          <w:szCs w:val="24"/>
        </w:rPr>
        <w:t xml:space="preserve"> (energy transition – to a lower-carbon economy)</w:t>
      </w:r>
      <w:r w:rsidR="00956851">
        <w:rPr>
          <w:rFonts w:ascii="Times New Roman" w:hAnsi="Times New Roman" w:cs="Times New Roman"/>
          <w:sz w:val="24"/>
          <w:szCs w:val="24"/>
        </w:rPr>
        <w:t>;</w:t>
      </w:r>
      <w:r>
        <w:rPr>
          <w:rFonts w:ascii="Times New Roman" w:hAnsi="Times New Roman" w:cs="Times New Roman"/>
          <w:sz w:val="24"/>
          <w:szCs w:val="24"/>
        </w:rPr>
        <w:t xml:space="preserve"> and Germany is interesting.</w:t>
      </w:r>
    </w:p>
    <w:p w14:paraId="7C3E381D" w14:textId="3A8FBCE4" w:rsidR="0022126F" w:rsidRDefault="00407F95"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Eurelectric</w:t>
      </w:r>
      <w:proofErr w:type="spellEnd"/>
      <w:r>
        <w:rPr>
          <w:rFonts w:ascii="Times New Roman" w:hAnsi="Times New Roman" w:cs="Times New Roman"/>
          <w:sz w:val="24"/>
          <w:szCs w:val="24"/>
        </w:rPr>
        <w:t xml:space="preserve"> statistics indicate that </w:t>
      </w:r>
      <w:r w:rsidR="0022126F">
        <w:rPr>
          <w:rFonts w:ascii="Times New Roman" w:hAnsi="Times New Roman" w:cs="Times New Roman"/>
          <w:sz w:val="24"/>
          <w:szCs w:val="24"/>
        </w:rPr>
        <w:t xml:space="preserve">Germany </w:t>
      </w:r>
      <w:r>
        <w:rPr>
          <w:rFonts w:ascii="Times New Roman" w:hAnsi="Times New Roman" w:cs="Times New Roman"/>
          <w:sz w:val="24"/>
          <w:szCs w:val="24"/>
        </w:rPr>
        <w:t xml:space="preserve">had 896 distributors in 2010, with an average connection level of 31,200 (less than half the NZ average).  The system </w:t>
      </w:r>
      <w:r w:rsidR="0022126F">
        <w:rPr>
          <w:rFonts w:ascii="Times New Roman" w:hAnsi="Times New Roman" w:cs="Times New Roman"/>
          <w:sz w:val="24"/>
          <w:szCs w:val="24"/>
        </w:rPr>
        <w:t xml:space="preserve">is characterised by </w:t>
      </w:r>
      <w:r>
        <w:rPr>
          <w:rFonts w:ascii="Times New Roman" w:hAnsi="Times New Roman" w:cs="Times New Roman"/>
          <w:sz w:val="24"/>
          <w:szCs w:val="24"/>
        </w:rPr>
        <w:t xml:space="preserve">extensive </w:t>
      </w:r>
      <w:r w:rsidR="0022126F">
        <w:rPr>
          <w:rFonts w:ascii="Times New Roman" w:hAnsi="Times New Roman" w:cs="Times New Roman"/>
          <w:sz w:val="24"/>
          <w:szCs w:val="24"/>
        </w:rPr>
        <w:t xml:space="preserve">municipal ownership of local distribution networks, but </w:t>
      </w:r>
      <w:r>
        <w:rPr>
          <w:rFonts w:ascii="Times New Roman" w:hAnsi="Times New Roman" w:cs="Times New Roman"/>
          <w:sz w:val="24"/>
          <w:szCs w:val="24"/>
        </w:rPr>
        <w:t xml:space="preserve">from the early 1980s </w:t>
      </w:r>
      <w:r w:rsidR="00463039">
        <w:rPr>
          <w:rFonts w:ascii="Times New Roman" w:hAnsi="Times New Roman" w:cs="Times New Roman"/>
          <w:sz w:val="24"/>
          <w:szCs w:val="24"/>
        </w:rPr>
        <w:t xml:space="preserve">until the early 1990s </w:t>
      </w:r>
      <w:r w:rsidR="0022126F">
        <w:rPr>
          <w:rFonts w:ascii="Times New Roman" w:hAnsi="Times New Roman" w:cs="Times New Roman"/>
          <w:sz w:val="24"/>
          <w:szCs w:val="24"/>
        </w:rPr>
        <w:t xml:space="preserve">increasingly large numbers of these </w:t>
      </w:r>
      <w:r w:rsidR="00463039">
        <w:rPr>
          <w:rFonts w:ascii="Times New Roman" w:hAnsi="Times New Roman" w:cs="Times New Roman"/>
          <w:sz w:val="24"/>
          <w:szCs w:val="24"/>
        </w:rPr>
        <w:t>came</w:t>
      </w:r>
      <w:r w:rsidR="0022126F">
        <w:rPr>
          <w:rFonts w:ascii="Times New Roman" w:hAnsi="Times New Roman" w:cs="Times New Roman"/>
          <w:sz w:val="24"/>
          <w:szCs w:val="24"/>
        </w:rPr>
        <w:t xml:space="preserve"> to be operated on long-term concession contracts </w:t>
      </w:r>
      <w:r>
        <w:rPr>
          <w:rFonts w:ascii="Times New Roman" w:hAnsi="Times New Roman" w:cs="Times New Roman"/>
          <w:sz w:val="24"/>
          <w:szCs w:val="24"/>
        </w:rPr>
        <w:t xml:space="preserve">by </w:t>
      </w:r>
      <w:r w:rsidR="0022126F">
        <w:rPr>
          <w:rFonts w:ascii="Times New Roman" w:hAnsi="Times New Roman" w:cs="Times New Roman"/>
          <w:sz w:val="24"/>
          <w:szCs w:val="24"/>
        </w:rPr>
        <w:t>private companies</w:t>
      </w:r>
      <w:r>
        <w:rPr>
          <w:rFonts w:ascii="Times New Roman" w:hAnsi="Times New Roman" w:cs="Times New Roman"/>
          <w:sz w:val="24"/>
          <w:szCs w:val="24"/>
        </w:rPr>
        <w:t>.  In effect, responsibility</w:t>
      </w:r>
      <w:r w:rsidR="0022126F">
        <w:rPr>
          <w:rFonts w:ascii="Times New Roman" w:hAnsi="Times New Roman" w:cs="Times New Roman"/>
          <w:sz w:val="24"/>
          <w:szCs w:val="24"/>
        </w:rPr>
        <w:t xml:space="preserve"> for distribution fell into the hands of </w:t>
      </w:r>
      <w:r>
        <w:rPr>
          <w:rFonts w:ascii="Times New Roman" w:hAnsi="Times New Roman" w:cs="Times New Roman"/>
          <w:sz w:val="24"/>
          <w:szCs w:val="24"/>
        </w:rPr>
        <w:t>private companies, including the much larger</w:t>
      </w:r>
      <w:r w:rsidR="0022126F">
        <w:rPr>
          <w:rFonts w:ascii="Times New Roman" w:hAnsi="Times New Roman" w:cs="Times New Roman"/>
          <w:sz w:val="24"/>
          <w:szCs w:val="24"/>
        </w:rPr>
        <w:t xml:space="preserve"> </w:t>
      </w:r>
      <w:r w:rsidR="00463039">
        <w:rPr>
          <w:rFonts w:ascii="Times New Roman" w:hAnsi="Times New Roman" w:cs="Times New Roman"/>
          <w:sz w:val="24"/>
          <w:szCs w:val="24"/>
        </w:rPr>
        <w:t xml:space="preserve">German </w:t>
      </w:r>
      <w:r w:rsidR="0022126F">
        <w:rPr>
          <w:rFonts w:ascii="Times New Roman" w:hAnsi="Times New Roman" w:cs="Times New Roman"/>
          <w:sz w:val="24"/>
          <w:szCs w:val="24"/>
        </w:rPr>
        <w:t>electricity companies</w:t>
      </w:r>
      <w:r w:rsidR="00463039">
        <w:rPr>
          <w:rFonts w:ascii="Times New Roman" w:hAnsi="Times New Roman" w:cs="Times New Roman"/>
          <w:sz w:val="24"/>
          <w:szCs w:val="24"/>
        </w:rPr>
        <w:t xml:space="preserve">.  </w:t>
      </w:r>
      <w:r w:rsidR="0022126F">
        <w:rPr>
          <w:rFonts w:ascii="Times New Roman" w:hAnsi="Times New Roman" w:cs="Times New Roman"/>
          <w:sz w:val="24"/>
          <w:szCs w:val="24"/>
        </w:rPr>
        <w:t>It was an example of privatisation-through-concessions, and where a private company acquired multiple concessions there was a concomitant consolidation/concentration in control. The authors of C7 could therefore have pointed to this evolution</w:t>
      </w:r>
      <w:r>
        <w:rPr>
          <w:rFonts w:ascii="Times New Roman" w:hAnsi="Times New Roman" w:cs="Times New Roman"/>
          <w:sz w:val="24"/>
          <w:szCs w:val="24"/>
        </w:rPr>
        <w:t xml:space="preserve">, using it to cross check the assertions made about </w:t>
      </w:r>
      <w:r w:rsidR="0022126F">
        <w:rPr>
          <w:rFonts w:ascii="Times New Roman" w:hAnsi="Times New Roman" w:cs="Times New Roman"/>
          <w:sz w:val="24"/>
          <w:szCs w:val="24"/>
        </w:rPr>
        <w:t>the advantages that such consolidation</w:t>
      </w:r>
      <w:r w:rsidR="00FE5587">
        <w:rPr>
          <w:rFonts w:ascii="Times New Roman" w:hAnsi="Times New Roman" w:cs="Times New Roman"/>
          <w:sz w:val="24"/>
          <w:szCs w:val="24"/>
        </w:rPr>
        <w:t xml:space="preserve"> would yield.  </w:t>
      </w:r>
      <w:r w:rsidR="0022126F">
        <w:rPr>
          <w:rFonts w:ascii="Times New Roman" w:hAnsi="Times New Roman" w:cs="Times New Roman"/>
          <w:sz w:val="24"/>
          <w:szCs w:val="24"/>
        </w:rPr>
        <w:t xml:space="preserve"> </w:t>
      </w:r>
    </w:p>
    <w:p w14:paraId="5EFA7A1F" w14:textId="3B0ECA95" w:rsidR="00775B83"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The expansion in the number of such concession contracts from the beginning of the 1980s meant that a</w:t>
      </w:r>
      <w:r w:rsidR="00407F95">
        <w:rPr>
          <w:rFonts w:ascii="Times New Roman" w:hAnsi="Times New Roman" w:cs="Times New Roman"/>
          <w:sz w:val="24"/>
          <w:szCs w:val="24"/>
        </w:rPr>
        <w:t xml:space="preserve"> </w:t>
      </w:r>
      <w:r w:rsidR="00FE5587">
        <w:rPr>
          <w:rFonts w:ascii="Times New Roman" w:hAnsi="Times New Roman" w:cs="Times New Roman"/>
          <w:sz w:val="24"/>
          <w:szCs w:val="24"/>
        </w:rPr>
        <w:t>significant</w:t>
      </w:r>
      <w:r w:rsidR="00407F95">
        <w:rPr>
          <w:rFonts w:ascii="Times New Roman" w:hAnsi="Times New Roman" w:cs="Times New Roman"/>
          <w:sz w:val="24"/>
          <w:szCs w:val="24"/>
        </w:rPr>
        <w:t xml:space="preserve"> number of</w:t>
      </w:r>
      <w:r>
        <w:rPr>
          <w:rFonts w:ascii="Times New Roman" w:hAnsi="Times New Roman" w:cs="Times New Roman"/>
          <w:sz w:val="24"/>
          <w:szCs w:val="24"/>
        </w:rPr>
        <w:t xml:space="preserve"> the</w:t>
      </w:r>
      <w:r w:rsidR="00FE5587">
        <w:rPr>
          <w:rFonts w:ascii="Times New Roman" w:hAnsi="Times New Roman" w:cs="Times New Roman"/>
          <w:sz w:val="24"/>
          <w:szCs w:val="24"/>
        </w:rPr>
        <w:t>m were</w:t>
      </w:r>
      <w:r>
        <w:rPr>
          <w:rFonts w:ascii="Times New Roman" w:hAnsi="Times New Roman" w:cs="Times New Roman"/>
          <w:sz w:val="24"/>
          <w:szCs w:val="24"/>
        </w:rPr>
        <w:t xml:space="preserve"> set for expiry between 2005 and 2016.  Decisions therefore had to be made afresh about the appropriate ownership, management and governance of these distribution systems</w:t>
      </w:r>
      <w:r w:rsidR="00211E3B">
        <w:rPr>
          <w:rFonts w:ascii="Times New Roman" w:hAnsi="Times New Roman" w:cs="Times New Roman"/>
          <w:sz w:val="24"/>
          <w:szCs w:val="24"/>
        </w:rPr>
        <w:t>, and t</w:t>
      </w:r>
      <w:r>
        <w:rPr>
          <w:rFonts w:ascii="Times New Roman" w:hAnsi="Times New Roman" w:cs="Times New Roman"/>
          <w:sz w:val="24"/>
          <w:szCs w:val="24"/>
        </w:rPr>
        <w:t>he upshot has been a s</w:t>
      </w:r>
      <w:r w:rsidR="00407F95">
        <w:rPr>
          <w:rFonts w:ascii="Times New Roman" w:hAnsi="Times New Roman" w:cs="Times New Roman"/>
          <w:sz w:val="24"/>
          <w:szCs w:val="24"/>
        </w:rPr>
        <w:t>ignificant</w:t>
      </w:r>
      <w:r>
        <w:rPr>
          <w:rFonts w:ascii="Times New Roman" w:hAnsi="Times New Roman" w:cs="Times New Roman"/>
          <w:sz w:val="24"/>
          <w:szCs w:val="24"/>
        </w:rPr>
        <w:t xml:space="preserve"> movement toward ‘re-municipalisation’:  between 2005 and 2012, 72 new </w:t>
      </w:r>
      <w:r w:rsidR="00463039">
        <w:rPr>
          <w:rFonts w:ascii="Times New Roman" w:hAnsi="Times New Roman" w:cs="Times New Roman"/>
          <w:sz w:val="24"/>
          <w:szCs w:val="24"/>
        </w:rPr>
        <w:t>municipal</w:t>
      </w:r>
      <w:r>
        <w:rPr>
          <w:rFonts w:ascii="Times New Roman" w:hAnsi="Times New Roman" w:cs="Times New Roman"/>
          <w:sz w:val="24"/>
          <w:szCs w:val="24"/>
        </w:rPr>
        <w:t xml:space="preserve"> power </w:t>
      </w:r>
      <w:r w:rsidR="00463039">
        <w:rPr>
          <w:rFonts w:ascii="Times New Roman" w:hAnsi="Times New Roman" w:cs="Times New Roman"/>
          <w:sz w:val="24"/>
          <w:szCs w:val="24"/>
        </w:rPr>
        <w:t>entities</w:t>
      </w:r>
      <w:r>
        <w:rPr>
          <w:rFonts w:ascii="Times New Roman" w:hAnsi="Times New Roman" w:cs="Times New Roman"/>
          <w:sz w:val="24"/>
          <w:szCs w:val="24"/>
        </w:rPr>
        <w:t xml:space="preserve"> were created</w:t>
      </w:r>
      <w:r w:rsidR="00463039">
        <w:rPr>
          <w:rFonts w:ascii="Times New Roman" w:hAnsi="Times New Roman" w:cs="Times New Roman"/>
          <w:sz w:val="24"/>
          <w:szCs w:val="24"/>
        </w:rPr>
        <w:t xml:space="preserve"> to replace existing concession contracts</w:t>
      </w:r>
      <w:r>
        <w:rPr>
          <w:rFonts w:ascii="Times New Roman" w:hAnsi="Times New Roman" w:cs="Times New Roman"/>
          <w:sz w:val="24"/>
          <w:szCs w:val="24"/>
        </w:rPr>
        <w:t>.</w:t>
      </w:r>
      <w:r w:rsidR="00B10713">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With two exceptions (Hamburg and Stuttgart), these were all small systems. </w:t>
      </w:r>
    </w:p>
    <w:p w14:paraId="476A77D3" w14:textId="4C70D476" w:rsidR="0022126F" w:rsidRDefault="00775B83"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Data on numbers of connections are not available to me, but population statistics for the relevant local government areas are.  Across Germany </w:t>
      </w:r>
      <w:r w:rsidR="00440888">
        <w:rPr>
          <w:rFonts w:ascii="Times New Roman" w:hAnsi="Times New Roman" w:cs="Times New Roman"/>
          <w:sz w:val="24"/>
          <w:szCs w:val="24"/>
        </w:rPr>
        <w:t>the</w:t>
      </w:r>
      <w:r>
        <w:rPr>
          <w:rFonts w:ascii="Times New Roman" w:hAnsi="Times New Roman" w:cs="Times New Roman"/>
          <w:sz w:val="24"/>
          <w:szCs w:val="24"/>
        </w:rPr>
        <w:t xml:space="preserve"> number of connections per capita is close to 0.6.  If applied to the local populations, this gives a usable estimate of the number of connections.  On this basis, the newly municipalised entities (excepting Hamburg and Stuttgart) vary in size from 870 connections to 73,800 connections.  </w:t>
      </w:r>
      <w:r w:rsidR="0022126F">
        <w:rPr>
          <w:rFonts w:ascii="Times New Roman" w:hAnsi="Times New Roman" w:cs="Times New Roman"/>
          <w:sz w:val="24"/>
          <w:szCs w:val="24"/>
        </w:rPr>
        <w:t xml:space="preserve">Sixteen of the </w:t>
      </w:r>
      <w:r w:rsidR="00303189">
        <w:rPr>
          <w:rFonts w:ascii="Times New Roman" w:hAnsi="Times New Roman" w:cs="Times New Roman"/>
          <w:sz w:val="24"/>
          <w:szCs w:val="24"/>
        </w:rPr>
        <w:t xml:space="preserve">all the 72 entities </w:t>
      </w:r>
      <w:r w:rsidR="0022126F">
        <w:rPr>
          <w:rFonts w:ascii="Times New Roman" w:hAnsi="Times New Roman" w:cs="Times New Roman"/>
          <w:sz w:val="24"/>
          <w:szCs w:val="24"/>
        </w:rPr>
        <w:t xml:space="preserve">(i.e. around 22%) had fewer than 6,000 connections and forty-two (i.e. around 58%) had fewer than 15,000 connections.  </w:t>
      </w:r>
    </w:p>
    <w:p w14:paraId="7653C6E9" w14:textId="7A4C026C" w:rsidR="00CD1456"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 establishment of the new companies did not imply an across-the-board switch from fully private control to fully municipal control, although that did happen in eighteen (25%) of the cases (see </w:t>
      </w:r>
      <w:r w:rsidR="00B10713">
        <w:rPr>
          <w:rFonts w:ascii="Times New Roman" w:hAnsi="Times New Roman" w:cs="Times New Roman"/>
          <w:sz w:val="24"/>
          <w:szCs w:val="24"/>
        </w:rPr>
        <w:t>the chart below</w:t>
      </w:r>
      <w:r>
        <w:rPr>
          <w:rFonts w:ascii="Times New Roman" w:hAnsi="Times New Roman" w:cs="Times New Roman"/>
          <w:sz w:val="24"/>
          <w:szCs w:val="24"/>
        </w:rPr>
        <w:t>, taken from</w:t>
      </w:r>
      <w:r w:rsidR="00B10713">
        <w:rPr>
          <w:rFonts w:ascii="Times New Roman" w:hAnsi="Times New Roman" w:cs="Times New Roman"/>
          <w:sz w:val="24"/>
          <w:szCs w:val="24"/>
        </w:rPr>
        <w:t xml:space="preserve"> Wagner and Belo</w:t>
      </w:r>
      <w:r>
        <w:rPr>
          <w:rFonts w:ascii="Times New Roman" w:hAnsi="Times New Roman" w:cs="Times New Roman"/>
          <w:sz w:val="24"/>
          <w:szCs w:val="24"/>
        </w:rPr>
        <w:t>, which indicates the shareholder structures).  In most cases private interests retained a minority stake, and in eleven instances an equal or majority stake.</w:t>
      </w:r>
    </w:p>
    <w:p w14:paraId="085F05E5" w14:textId="77777777" w:rsidR="0022126F" w:rsidRDefault="0022126F" w:rsidP="001B195F">
      <w:pPr>
        <w:autoSpaceDE w:val="0"/>
        <w:autoSpaceDN w:val="0"/>
        <w:adjustRightInd w:val="0"/>
        <w:spacing w:line="276" w:lineRule="auto"/>
        <w:rPr>
          <w:rFonts w:ascii="Times New Roman" w:hAnsi="Times New Roman" w:cs="Times New Roman"/>
          <w:sz w:val="24"/>
          <w:szCs w:val="24"/>
        </w:rPr>
      </w:pPr>
      <w:r w:rsidRPr="00860DB3">
        <w:rPr>
          <w:rFonts w:ascii="Times New Roman" w:hAnsi="Times New Roman" w:cs="Times New Roman"/>
          <w:noProof/>
          <w:sz w:val="24"/>
          <w:szCs w:val="24"/>
          <w:lang w:val="en-US"/>
        </w:rPr>
        <w:drawing>
          <wp:inline distT="0" distB="0" distL="0" distR="0" wp14:anchorId="6CB3F50C" wp14:editId="1C3840B4">
            <wp:extent cx="4847380" cy="29562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4010" cy="2984647"/>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p>
    <w:p w14:paraId="3AC417BD" w14:textId="3B22194E" w:rsidR="008828B3" w:rsidRDefault="0022126F"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We therefore observe a mix of different arrangements being tried out, and this, I think, is the kind of experimental approach that is called for in the face of uncertainty about the future. </w:t>
      </w:r>
      <w:r w:rsidR="00463039">
        <w:rPr>
          <w:rFonts w:ascii="Times New Roman" w:hAnsi="Times New Roman" w:cs="Times New Roman"/>
          <w:sz w:val="24"/>
          <w:szCs w:val="24"/>
        </w:rPr>
        <w:t xml:space="preserve"> It is pretty much the opposite direction of travel to that favoured by C7 and it was</w:t>
      </w:r>
      <w:r>
        <w:rPr>
          <w:rFonts w:ascii="Times New Roman" w:hAnsi="Times New Roman" w:cs="Times New Roman"/>
          <w:sz w:val="24"/>
          <w:szCs w:val="24"/>
        </w:rPr>
        <w:t xml:space="preserve"> feasible</w:t>
      </w:r>
      <w:r w:rsidR="00463039">
        <w:rPr>
          <w:rFonts w:ascii="Times New Roman" w:hAnsi="Times New Roman" w:cs="Times New Roman"/>
          <w:sz w:val="24"/>
          <w:szCs w:val="24"/>
        </w:rPr>
        <w:t xml:space="preserve"> in Germany</w:t>
      </w:r>
      <w:r>
        <w:rPr>
          <w:rFonts w:ascii="Times New Roman" w:hAnsi="Times New Roman" w:cs="Times New Roman"/>
          <w:sz w:val="24"/>
          <w:szCs w:val="24"/>
        </w:rPr>
        <w:t xml:space="preserve"> because of the multiplicity of distribut</w:t>
      </w:r>
      <w:r w:rsidR="00F31A8F">
        <w:rPr>
          <w:rFonts w:ascii="Times New Roman" w:hAnsi="Times New Roman" w:cs="Times New Roman"/>
          <w:sz w:val="24"/>
          <w:szCs w:val="24"/>
        </w:rPr>
        <w:t>ors</w:t>
      </w:r>
      <w:r>
        <w:rPr>
          <w:rFonts w:ascii="Times New Roman" w:hAnsi="Times New Roman" w:cs="Times New Roman"/>
          <w:sz w:val="24"/>
          <w:szCs w:val="24"/>
        </w:rPr>
        <w:t xml:space="preserve">.  </w:t>
      </w:r>
      <w:r w:rsidR="008828B3">
        <w:rPr>
          <w:rFonts w:ascii="Times New Roman" w:hAnsi="Times New Roman" w:cs="Times New Roman"/>
          <w:sz w:val="24"/>
          <w:szCs w:val="24"/>
        </w:rPr>
        <w:t xml:space="preserve">In competitive market contexts </w:t>
      </w:r>
      <w:r>
        <w:rPr>
          <w:rFonts w:ascii="Times New Roman" w:hAnsi="Times New Roman" w:cs="Times New Roman"/>
          <w:sz w:val="24"/>
          <w:szCs w:val="24"/>
        </w:rPr>
        <w:t>Professor John Kay has called i</w:t>
      </w:r>
      <w:r w:rsidR="008828B3">
        <w:rPr>
          <w:rFonts w:ascii="Times New Roman" w:hAnsi="Times New Roman" w:cs="Times New Roman"/>
          <w:sz w:val="24"/>
          <w:szCs w:val="24"/>
        </w:rPr>
        <w:t>t</w:t>
      </w:r>
      <w:r>
        <w:rPr>
          <w:rFonts w:ascii="Times New Roman" w:hAnsi="Times New Roman" w:cs="Times New Roman"/>
          <w:sz w:val="24"/>
          <w:szCs w:val="24"/>
        </w:rPr>
        <w:t xml:space="preserve"> “disciplined pluralism” (decentralised c</w:t>
      </w:r>
      <w:r w:rsidR="00463039">
        <w:rPr>
          <w:rFonts w:ascii="Times New Roman" w:hAnsi="Times New Roman" w:cs="Times New Roman"/>
          <w:sz w:val="24"/>
          <w:szCs w:val="24"/>
        </w:rPr>
        <w:t>ontrol</w:t>
      </w:r>
      <w:r w:rsidR="00FE5587">
        <w:rPr>
          <w:rFonts w:ascii="Times New Roman" w:hAnsi="Times New Roman" w:cs="Times New Roman"/>
          <w:sz w:val="24"/>
          <w:szCs w:val="24"/>
        </w:rPr>
        <w:t xml:space="preserve">, </w:t>
      </w:r>
      <w:r>
        <w:rPr>
          <w:rFonts w:ascii="Times New Roman" w:hAnsi="Times New Roman" w:cs="Times New Roman"/>
          <w:sz w:val="24"/>
          <w:szCs w:val="24"/>
        </w:rPr>
        <w:t xml:space="preserve">with accountability) and </w:t>
      </w:r>
      <w:r w:rsidR="00463039">
        <w:rPr>
          <w:rFonts w:ascii="Times New Roman" w:hAnsi="Times New Roman" w:cs="Times New Roman"/>
          <w:sz w:val="24"/>
          <w:szCs w:val="24"/>
        </w:rPr>
        <w:t xml:space="preserve">has </w:t>
      </w:r>
      <w:r>
        <w:rPr>
          <w:rFonts w:ascii="Times New Roman" w:hAnsi="Times New Roman" w:cs="Times New Roman"/>
          <w:sz w:val="24"/>
          <w:szCs w:val="24"/>
        </w:rPr>
        <w:t>argue</w:t>
      </w:r>
      <w:r w:rsidR="00463039">
        <w:rPr>
          <w:rFonts w:ascii="Times New Roman" w:hAnsi="Times New Roman" w:cs="Times New Roman"/>
          <w:sz w:val="24"/>
          <w:szCs w:val="24"/>
        </w:rPr>
        <w:t>d</w:t>
      </w:r>
      <w:r>
        <w:rPr>
          <w:rFonts w:ascii="Times New Roman" w:hAnsi="Times New Roman" w:cs="Times New Roman"/>
          <w:sz w:val="24"/>
          <w:szCs w:val="24"/>
        </w:rPr>
        <w:t xml:space="preserve"> that </w:t>
      </w:r>
      <w:r w:rsidR="00FE5587">
        <w:rPr>
          <w:rFonts w:ascii="Times New Roman" w:hAnsi="Times New Roman" w:cs="Times New Roman"/>
          <w:sz w:val="24"/>
          <w:szCs w:val="24"/>
        </w:rPr>
        <w:t xml:space="preserve">it </w:t>
      </w:r>
      <w:r>
        <w:rPr>
          <w:rFonts w:ascii="Times New Roman" w:hAnsi="Times New Roman" w:cs="Times New Roman"/>
          <w:sz w:val="24"/>
          <w:szCs w:val="24"/>
        </w:rPr>
        <w:t>is conducive to innovation, adding</w:t>
      </w:r>
      <w:r w:rsidR="00B10713">
        <w:rPr>
          <w:rFonts w:ascii="Times New Roman" w:hAnsi="Times New Roman" w:cs="Times New Roman"/>
          <w:sz w:val="24"/>
          <w:szCs w:val="24"/>
        </w:rPr>
        <w:t>,</w:t>
      </w:r>
      <w:r>
        <w:rPr>
          <w:rFonts w:ascii="Times New Roman" w:hAnsi="Times New Roman" w:cs="Times New Roman"/>
          <w:sz w:val="24"/>
          <w:szCs w:val="24"/>
        </w:rPr>
        <w:t xml:space="preserve"> </w:t>
      </w:r>
      <w:r w:rsidR="00B10713">
        <w:rPr>
          <w:rFonts w:ascii="Times New Roman" w:hAnsi="Times New Roman" w:cs="Times New Roman"/>
          <w:sz w:val="24"/>
          <w:szCs w:val="24"/>
        </w:rPr>
        <w:t xml:space="preserve">in his usual no-nonsense way, </w:t>
      </w:r>
      <w:r>
        <w:rPr>
          <w:rFonts w:ascii="Times New Roman" w:hAnsi="Times New Roman" w:cs="Times New Roman"/>
          <w:sz w:val="24"/>
          <w:szCs w:val="24"/>
        </w:rPr>
        <w:t xml:space="preserve">that </w:t>
      </w:r>
      <w:r w:rsidRPr="00463039">
        <w:rPr>
          <w:rFonts w:ascii="Times New Roman" w:hAnsi="Times New Roman" w:cs="Times New Roman"/>
          <w:i/>
          <w:sz w:val="24"/>
          <w:szCs w:val="24"/>
        </w:rPr>
        <w:t>“rationalist bureaucracies tend to detest such pluralism</w:t>
      </w:r>
      <w:r w:rsidR="00B10713" w:rsidRPr="00463039">
        <w:rPr>
          <w:rFonts w:ascii="Times New Roman" w:hAnsi="Times New Roman" w:cs="Times New Roman"/>
          <w:i/>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B10713">
        <w:rPr>
          <w:rFonts w:ascii="Times New Roman" w:hAnsi="Times New Roman" w:cs="Times New Roman"/>
          <w:sz w:val="24"/>
          <w:szCs w:val="24"/>
        </w:rPr>
        <w:t xml:space="preserve"> </w:t>
      </w:r>
      <w:r w:rsidR="008413C7">
        <w:rPr>
          <w:rFonts w:ascii="Times New Roman" w:hAnsi="Times New Roman" w:cs="Times New Roman"/>
          <w:sz w:val="24"/>
          <w:szCs w:val="24"/>
        </w:rPr>
        <w:t xml:space="preserve"> </w:t>
      </w:r>
      <w:r w:rsidR="008828B3">
        <w:rPr>
          <w:rFonts w:ascii="Times New Roman" w:hAnsi="Times New Roman" w:cs="Times New Roman"/>
          <w:sz w:val="24"/>
          <w:szCs w:val="24"/>
        </w:rPr>
        <w:t xml:space="preserve">My own experience </w:t>
      </w:r>
      <w:r w:rsidR="00FE5587">
        <w:rPr>
          <w:rFonts w:ascii="Times New Roman" w:hAnsi="Times New Roman" w:cs="Times New Roman"/>
          <w:sz w:val="24"/>
          <w:szCs w:val="24"/>
        </w:rPr>
        <w:t xml:space="preserve">in regulatory contexts </w:t>
      </w:r>
      <w:r w:rsidR="008828B3">
        <w:rPr>
          <w:rFonts w:ascii="Times New Roman" w:hAnsi="Times New Roman" w:cs="Times New Roman"/>
          <w:sz w:val="24"/>
          <w:szCs w:val="24"/>
        </w:rPr>
        <w:t>is not so much that the approach is detested, more that it is ignored – which is precisely what C7 ha</w:t>
      </w:r>
      <w:r w:rsidR="00303189">
        <w:rPr>
          <w:rFonts w:ascii="Times New Roman" w:hAnsi="Times New Roman" w:cs="Times New Roman"/>
          <w:sz w:val="24"/>
          <w:szCs w:val="24"/>
        </w:rPr>
        <w:t>s</w:t>
      </w:r>
      <w:r w:rsidR="008828B3">
        <w:rPr>
          <w:rFonts w:ascii="Times New Roman" w:hAnsi="Times New Roman" w:cs="Times New Roman"/>
          <w:sz w:val="24"/>
          <w:szCs w:val="24"/>
        </w:rPr>
        <w:t xml:space="preserve"> done.  </w:t>
      </w:r>
    </w:p>
    <w:p w14:paraId="66FDD881" w14:textId="3A1D1F3C" w:rsidR="00400216" w:rsidRPr="00BF5560" w:rsidRDefault="00400216" w:rsidP="001B195F">
      <w:pPr>
        <w:pStyle w:val="ListParagraph"/>
        <w:numPr>
          <w:ilvl w:val="0"/>
          <w:numId w:val="9"/>
        </w:numPr>
        <w:autoSpaceDE w:val="0"/>
        <w:autoSpaceDN w:val="0"/>
        <w:adjustRightInd w:val="0"/>
        <w:spacing w:line="276" w:lineRule="auto"/>
        <w:rPr>
          <w:rFonts w:ascii="Times New Roman" w:hAnsi="Times New Roman" w:cs="Times New Roman"/>
          <w:b/>
          <w:sz w:val="24"/>
          <w:szCs w:val="24"/>
        </w:rPr>
      </w:pPr>
      <w:r w:rsidRPr="00BF5560">
        <w:rPr>
          <w:rFonts w:ascii="Times New Roman" w:hAnsi="Times New Roman" w:cs="Times New Roman"/>
          <w:b/>
          <w:sz w:val="24"/>
          <w:szCs w:val="24"/>
        </w:rPr>
        <w:t>Conclu</w:t>
      </w:r>
      <w:r w:rsidR="0062211A" w:rsidRPr="00BF5560">
        <w:rPr>
          <w:rFonts w:ascii="Times New Roman" w:hAnsi="Times New Roman" w:cs="Times New Roman"/>
          <w:b/>
          <w:sz w:val="24"/>
          <w:szCs w:val="24"/>
        </w:rPr>
        <w:t>d</w:t>
      </w:r>
      <w:r w:rsidR="008B5A47" w:rsidRPr="00BF5560">
        <w:rPr>
          <w:rFonts w:ascii="Times New Roman" w:hAnsi="Times New Roman" w:cs="Times New Roman"/>
          <w:b/>
          <w:sz w:val="24"/>
          <w:szCs w:val="24"/>
        </w:rPr>
        <w:t>ing thoughts</w:t>
      </w:r>
    </w:p>
    <w:p w14:paraId="1C9A189D" w14:textId="0CA650F7" w:rsidR="00400216" w:rsidRDefault="00400216"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It should be </w:t>
      </w:r>
      <w:r w:rsidR="00440888">
        <w:rPr>
          <w:rFonts w:ascii="Times New Roman" w:hAnsi="Times New Roman" w:cs="Times New Roman"/>
          <w:sz w:val="24"/>
          <w:szCs w:val="24"/>
        </w:rPr>
        <w:t>clear</w:t>
      </w:r>
      <w:r>
        <w:rPr>
          <w:rFonts w:ascii="Times New Roman" w:hAnsi="Times New Roman" w:cs="Times New Roman"/>
          <w:sz w:val="24"/>
          <w:szCs w:val="24"/>
        </w:rPr>
        <w:t xml:space="preserve"> from the above that I do not have a high opinion of C7.  The IEA is barking up the wrong trees in the first place and </w:t>
      </w:r>
      <w:r w:rsidR="000F32F5">
        <w:rPr>
          <w:rFonts w:ascii="Times New Roman" w:hAnsi="Times New Roman" w:cs="Times New Roman"/>
          <w:sz w:val="24"/>
          <w:szCs w:val="24"/>
        </w:rPr>
        <w:t xml:space="preserve">it </w:t>
      </w:r>
      <w:r>
        <w:rPr>
          <w:rFonts w:ascii="Times New Roman" w:hAnsi="Times New Roman" w:cs="Times New Roman"/>
          <w:sz w:val="24"/>
          <w:szCs w:val="24"/>
        </w:rPr>
        <w:t xml:space="preserve">is clearly no fan of </w:t>
      </w:r>
      <w:r w:rsidR="000F32F5">
        <w:rPr>
          <w:rFonts w:ascii="Times New Roman" w:hAnsi="Times New Roman" w:cs="Times New Roman"/>
          <w:sz w:val="24"/>
          <w:szCs w:val="24"/>
        </w:rPr>
        <w:t>diversity and experimentation</w:t>
      </w:r>
      <w:r>
        <w:rPr>
          <w:rFonts w:ascii="Times New Roman" w:hAnsi="Times New Roman" w:cs="Times New Roman"/>
          <w:sz w:val="24"/>
          <w:szCs w:val="24"/>
        </w:rPr>
        <w:t>.  I would</w:t>
      </w:r>
      <w:r w:rsidR="00872CC2">
        <w:rPr>
          <w:rFonts w:ascii="Times New Roman" w:hAnsi="Times New Roman" w:cs="Times New Roman"/>
          <w:sz w:val="24"/>
          <w:szCs w:val="24"/>
        </w:rPr>
        <w:t xml:space="preserve"> not</w:t>
      </w:r>
      <w:r w:rsidR="00E8783B">
        <w:rPr>
          <w:rFonts w:ascii="Times New Roman" w:hAnsi="Times New Roman" w:cs="Times New Roman"/>
          <w:sz w:val="24"/>
          <w:szCs w:val="24"/>
        </w:rPr>
        <w:t>, however,</w:t>
      </w:r>
      <w:r>
        <w:rPr>
          <w:rFonts w:ascii="Times New Roman" w:hAnsi="Times New Roman" w:cs="Times New Roman"/>
          <w:sz w:val="24"/>
          <w:szCs w:val="24"/>
        </w:rPr>
        <w:t xml:space="preserve"> use Kay’s label of </w:t>
      </w:r>
      <w:r>
        <w:rPr>
          <w:rFonts w:ascii="Times New Roman" w:hAnsi="Times New Roman" w:cs="Times New Roman"/>
          <w:i/>
          <w:sz w:val="24"/>
          <w:szCs w:val="24"/>
        </w:rPr>
        <w:t>rational</w:t>
      </w:r>
      <w:r>
        <w:rPr>
          <w:rFonts w:ascii="Times New Roman" w:hAnsi="Times New Roman" w:cs="Times New Roman"/>
          <w:sz w:val="24"/>
          <w:szCs w:val="24"/>
        </w:rPr>
        <w:t xml:space="preserve"> bureaucrats</w:t>
      </w:r>
      <w:r w:rsidR="000F32F5">
        <w:rPr>
          <w:rFonts w:ascii="Times New Roman" w:hAnsi="Times New Roman" w:cs="Times New Roman"/>
          <w:sz w:val="24"/>
          <w:szCs w:val="24"/>
        </w:rPr>
        <w:t xml:space="preserve"> </w:t>
      </w:r>
      <w:r w:rsidR="00E8783B">
        <w:rPr>
          <w:rFonts w:ascii="Times New Roman" w:hAnsi="Times New Roman" w:cs="Times New Roman"/>
          <w:sz w:val="24"/>
          <w:szCs w:val="24"/>
        </w:rPr>
        <w:t>as a label for its agents</w:t>
      </w:r>
      <w:r>
        <w:rPr>
          <w:rFonts w:ascii="Times New Roman" w:hAnsi="Times New Roman" w:cs="Times New Roman"/>
          <w:sz w:val="24"/>
          <w:szCs w:val="24"/>
        </w:rPr>
        <w:t>, because there is</w:t>
      </w:r>
      <w:r w:rsidR="00FE5587">
        <w:rPr>
          <w:rFonts w:ascii="Times New Roman" w:hAnsi="Times New Roman" w:cs="Times New Roman"/>
          <w:sz w:val="24"/>
          <w:szCs w:val="24"/>
        </w:rPr>
        <w:t xml:space="preserve"> </w:t>
      </w:r>
      <w:r w:rsidR="00440888">
        <w:rPr>
          <w:rFonts w:ascii="Times New Roman" w:hAnsi="Times New Roman" w:cs="Times New Roman"/>
          <w:sz w:val="24"/>
          <w:szCs w:val="24"/>
        </w:rPr>
        <w:t>little</w:t>
      </w:r>
      <w:r>
        <w:rPr>
          <w:rFonts w:ascii="Times New Roman" w:hAnsi="Times New Roman" w:cs="Times New Roman"/>
          <w:sz w:val="24"/>
          <w:szCs w:val="24"/>
        </w:rPr>
        <w:t xml:space="preserve"> that </w:t>
      </w:r>
      <w:r w:rsidR="00872CC2">
        <w:rPr>
          <w:rFonts w:ascii="Times New Roman" w:hAnsi="Times New Roman" w:cs="Times New Roman"/>
          <w:sz w:val="24"/>
          <w:szCs w:val="24"/>
        </w:rPr>
        <w:t xml:space="preserve">is </w:t>
      </w:r>
      <w:r>
        <w:rPr>
          <w:rFonts w:ascii="Times New Roman" w:hAnsi="Times New Roman" w:cs="Times New Roman"/>
          <w:sz w:val="24"/>
          <w:szCs w:val="24"/>
        </w:rPr>
        <w:t>rational about moving from ‘concerns’ to recommendations with minimal contact with evidence and reasoning on the</w:t>
      </w:r>
      <w:r w:rsidR="00F31A8F">
        <w:rPr>
          <w:rFonts w:ascii="Times New Roman" w:hAnsi="Times New Roman" w:cs="Times New Roman"/>
          <w:sz w:val="24"/>
          <w:szCs w:val="24"/>
        </w:rPr>
        <w:t xml:space="preserve"> journey between the two</w:t>
      </w:r>
      <w:r>
        <w:rPr>
          <w:rFonts w:ascii="Times New Roman" w:hAnsi="Times New Roman" w:cs="Times New Roman"/>
          <w:sz w:val="24"/>
          <w:szCs w:val="24"/>
        </w:rPr>
        <w:t>.</w:t>
      </w:r>
    </w:p>
    <w:p w14:paraId="7CB0AB74" w14:textId="0B88BB60" w:rsidR="00B6535E" w:rsidRDefault="00B6535E"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Nevertheless, there are always things to be learned</w:t>
      </w:r>
      <w:r w:rsidR="00E8783B">
        <w:rPr>
          <w:rFonts w:ascii="Times New Roman" w:hAnsi="Times New Roman" w:cs="Times New Roman"/>
          <w:sz w:val="24"/>
          <w:szCs w:val="24"/>
        </w:rPr>
        <w:t xml:space="preserve"> from these exercises</w:t>
      </w:r>
      <w:r>
        <w:rPr>
          <w:rFonts w:ascii="Times New Roman" w:hAnsi="Times New Roman" w:cs="Times New Roman"/>
          <w:sz w:val="24"/>
          <w:szCs w:val="24"/>
        </w:rPr>
        <w:t>.  To the NZ Government I would say that, if resources are to be expended on th</w:t>
      </w:r>
      <w:r w:rsidR="00A27F02">
        <w:rPr>
          <w:rFonts w:ascii="Times New Roman" w:hAnsi="Times New Roman" w:cs="Times New Roman"/>
          <w:sz w:val="24"/>
          <w:szCs w:val="24"/>
        </w:rPr>
        <w:t>is</w:t>
      </w:r>
      <w:r>
        <w:rPr>
          <w:rFonts w:ascii="Times New Roman" w:hAnsi="Times New Roman" w:cs="Times New Roman"/>
          <w:sz w:val="24"/>
          <w:szCs w:val="24"/>
        </w:rPr>
        <w:t xml:space="preserve"> type of exercise in the future, there would be merit in seeking to </w:t>
      </w:r>
      <w:r w:rsidR="00E8783B">
        <w:rPr>
          <w:rFonts w:ascii="Times New Roman" w:hAnsi="Times New Roman" w:cs="Times New Roman"/>
          <w:sz w:val="24"/>
          <w:szCs w:val="24"/>
        </w:rPr>
        <w:t xml:space="preserve">exert more </w:t>
      </w:r>
      <w:r>
        <w:rPr>
          <w:rFonts w:ascii="Times New Roman" w:hAnsi="Times New Roman" w:cs="Times New Roman"/>
          <w:sz w:val="24"/>
          <w:szCs w:val="24"/>
        </w:rPr>
        <w:t xml:space="preserve">influence </w:t>
      </w:r>
      <w:r w:rsidR="00872CC2">
        <w:rPr>
          <w:rFonts w:ascii="Times New Roman" w:hAnsi="Times New Roman" w:cs="Times New Roman"/>
          <w:sz w:val="24"/>
          <w:szCs w:val="24"/>
        </w:rPr>
        <w:t>on what is done</w:t>
      </w:r>
      <w:r w:rsidR="00303189">
        <w:rPr>
          <w:rFonts w:ascii="Times New Roman" w:hAnsi="Times New Roman" w:cs="Times New Roman"/>
          <w:sz w:val="24"/>
          <w:szCs w:val="24"/>
        </w:rPr>
        <w:t>, e.g.</w:t>
      </w:r>
      <w:r>
        <w:rPr>
          <w:rFonts w:ascii="Times New Roman" w:hAnsi="Times New Roman" w:cs="Times New Roman"/>
          <w:sz w:val="24"/>
          <w:szCs w:val="24"/>
        </w:rPr>
        <w:t xml:space="preserve"> </w:t>
      </w:r>
      <w:r w:rsidR="00E8783B">
        <w:rPr>
          <w:rFonts w:ascii="Times New Roman" w:hAnsi="Times New Roman" w:cs="Times New Roman"/>
          <w:sz w:val="24"/>
          <w:szCs w:val="24"/>
        </w:rPr>
        <w:t>by pressing for</w:t>
      </w:r>
      <w:r>
        <w:rPr>
          <w:rFonts w:ascii="Times New Roman" w:hAnsi="Times New Roman" w:cs="Times New Roman"/>
          <w:sz w:val="24"/>
          <w:szCs w:val="24"/>
        </w:rPr>
        <w:t xml:space="preserve"> more </w:t>
      </w:r>
      <w:r w:rsidR="00A27F02">
        <w:rPr>
          <w:rFonts w:ascii="Times New Roman" w:hAnsi="Times New Roman" w:cs="Times New Roman"/>
          <w:sz w:val="24"/>
          <w:szCs w:val="24"/>
        </w:rPr>
        <w:t xml:space="preserve">specific, more </w:t>
      </w:r>
      <w:r>
        <w:rPr>
          <w:rFonts w:ascii="Times New Roman" w:hAnsi="Times New Roman" w:cs="Times New Roman"/>
          <w:sz w:val="24"/>
          <w:szCs w:val="24"/>
        </w:rPr>
        <w:t>interesting questions</w:t>
      </w:r>
      <w:r w:rsidR="00F31A8F">
        <w:rPr>
          <w:rFonts w:ascii="Times New Roman" w:hAnsi="Times New Roman" w:cs="Times New Roman"/>
          <w:sz w:val="24"/>
          <w:szCs w:val="24"/>
        </w:rPr>
        <w:t xml:space="preserve"> to be addressed</w:t>
      </w:r>
      <w:r>
        <w:rPr>
          <w:rFonts w:ascii="Times New Roman" w:hAnsi="Times New Roman" w:cs="Times New Roman"/>
          <w:sz w:val="24"/>
          <w:szCs w:val="24"/>
        </w:rPr>
        <w:t xml:space="preserve">.  </w:t>
      </w:r>
      <w:r w:rsidR="00FE5587">
        <w:rPr>
          <w:rFonts w:ascii="Times New Roman" w:hAnsi="Times New Roman" w:cs="Times New Roman"/>
          <w:sz w:val="24"/>
          <w:szCs w:val="24"/>
        </w:rPr>
        <w:t>As indicated earlier</w:t>
      </w:r>
      <w:r w:rsidR="00A27F02">
        <w:rPr>
          <w:rFonts w:ascii="Times New Roman" w:hAnsi="Times New Roman" w:cs="Times New Roman"/>
          <w:sz w:val="24"/>
          <w:szCs w:val="24"/>
        </w:rPr>
        <w:t>, t</w:t>
      </w:r>
      <w:r>
        <w:rPr>
          <w:rFonts w:ascii="Times New Roman" w:hAnsi="Times New Roman" w:cs="Times New Roman"/>
          <w:sz w:val="24"/>
          <w:szCs w:val="24"/>
        </w:rPr>
        <w:t xml:space="preserve">here are lots of ‘experiments’ in electricity distribution </w:t>
      </w:r>
      <w:r w:rsidR="00872CC2">
        <w:rPr>
          <w:rFonts w:ascii="Times New Roman" w:hAnsi="Times New Roman" w:cs="Times New Roman"/>
          <w:sz w:val="24"/>
          <w:szCs w:val="24"/>
        </w:rPr>
        <w:t>underway</w:t>
      </w:r>
      <w:r>
        <w:rPr>
          <w:rFonts w:ascii="Times New Roman" w:hAnsi="Times New Roman" w:cs="Times New Roman"/>
          <w:sz w:val="24"/>
          <w:szCs w:val="24"/>
        </w:rPr>
        <w:t xml:space="preserve"> elsewhere in the world and a progress report on those </w:t>
      </w:r>
      <w:r w:rsidR="00872CC2">
        <w:rPr>
          <w:rFonts w:ascii="Times New Roman" w:hAnsi="Times New Roman" w:cs="Times New Roman"/>
          <w:sz w:val="24"/>
          <w:szCs w:val="24"/>
        </w:rPr>
        <w:t xml:space="preserve">considered to have the greatest information content for NZ policy </w:t>
      </w:r>
      <w:r>
        <w:rPr>
          <w:rFonts w:ascii="Times New Roman" w:hAnsi="Times New Roman" w:cs="Times New Roman"/>
          <w:sz w:val="24"/>
          <w:szCs w:val="24"/>
        </w:rPr>
        <w:t xml:space="preserve">would </w:t>
      </w:r>
      <w:r w:rsidR="00E8783B">
        <w:rPr>
          <w:rFonts w:ascii="Times New Roman" w:hAnsi="Times New Roman" w:cs="Times New Roman"/>
          <w:sz w:val="24"/>
          <w:szCs w:val="24"/>
        </w:rPr>
        <w:t xml:space="preserve">likely </w:t>
      </w:r>
      <w:r>
        <w:rPr>
          <w:rFonts w:ascii="Times New Roman" w:hAnsi="Times New Roman" w:cs="Times New Roman"/>
          <w:sz w:val="24"/>
          <w:szCs w:val="24"/>
        </w:rPr>
        <w:t>have been much more useful</w:t>
      </w:r>
      <w:r w:rsidR="00F31A8F">
        <w:rPr>
          <w:rFonts w:ascii="Times New Roman" w:hAnsi="Times New Roman" w:cs="Times New Roman"/>
          <w:sz w:val="24"/>
          <w:szCs w:val="24"/>
        </w:rPr>
        <w:t xml:space="preserve"> than what has been delivered</w:t>
      </w:r>
      <w:r>
        <w:rPr>
          <w:rFonts w:ascii="Times New Roman" w:hAnsi="Times New Roman" w:cs="Times New Roman"/>
          <w:sz w:val="24"/>
          <w:szCs w:val="24"/>
        </w:rPr>
        <w:t>.  Germany is particularly interesting, as are the Nordic countries, and</w:t>
      </w:r>
      <w:r w:rsidR="00E8783B">
        <w:rPr>
          <w:rFonts w:ascii="Times New Roman" w:hAnsi="Times New Roman" w:cs="Times New Roman"/>
          <w:sz w:val="24"/>
          <w:szCs w:val="24"/>
        </w:rPr>
        <w:t xml:space="preserve">, since these </w:t>
      </w:r>
      <w:r>
        <w:rPr>
          <w:rFonts w:ascii="Times New Roman" w:hAnsi="Times New Roman" w:cs="Times New Roman"/>
          <w:sz w:val="24"/>
          <w:szCs w:val="24"/>
        </w:rPr>
        <w:t>are all IEA members</w:t>
      </w:r>
      <w:r w:rsidR="00E8783B">
        <w:rPr>
          <w:rFonts w:ascii="Times New Roman" w:hAnsi="Times New Roman" w:cs="Times New Roman"/>
          <w:sz w:val="24"/>
          <w:szCs w:val="24"/>
        </w:rPr>
        <w:t xml:space="preserve">, the </w:t>
      </w:r>
      <w:r w:rsidR="00A27F02">
        <w:rPr>
          <w:rFonts w:ascii="Times New Roman" w:hAnsi="Times New Roman" w:cs="Times New Roman"/>
          <w:sz w:val="24"/>
          <w:szCs w:val="24"/>
        </w:rPr>
        <w:t xml:space="preserve">IEA </w:t>
      </w:r>
      <w:r w:rsidR="00FE5587">
        <w:rPr>
          <w:rFonts w:ascii="Times New Roman" w:hAnsi="Times New Roman" w:cs="Times New Roman"/>
          <w:sz w:val="24"/>
          <w:szCs w:val="24"/>
        </w:rPr>
        <w:t>would</w:t>
      </w:r>
      <w:r w:rsidR="00A27F02">
        <w:rPr>
          <w:rFonts w:ascii="Times New Roman" w:hAnsi="Times New Roman" w:cs="Times New Roman"/>
          <w:sz w:val="24"/>
          <w:szCs w:val="24"/>
        </w:rPr>
        <w:t xml:space="preserve"> </w:t>
      </w:r>
      <w:r w:rsidR="00FE5587">
        <w:rPr>
          <w:rFonts w:ascii="Times New Roman" w:hAnsi="Times New Roman" w:cs="Times New Roman"/>
          <w:sz w:val="24"/>
          <w:szCs w:val="24"/>
        </w:rPr>
        <w:t xml:space="preserve">have been </w:t>
      </w:r>
      <w:r w:rsidR="00A27F02">
        <w:rPr>
          <w:rFonts w:ascii="Times New Roman" w:hAnsi="Times New Roman" w:cs="Times New Roman"/>
          <w:sz w:val="24"/>
          <w:szCs w:val="24"/>
        </w:rPr>
        <w:t>in a good position to collect and assess the relevant information</w:t>
      </w:r>
      <w:r>
        <w:rPr>
          <w:rFonts w:ascii="Times New Roman" w:hAnsi="Times New Roman" w:cs="Times New Roman"/>
          <w:sz w:val="24"/>
          <w:szCs w:val="24"/>
        </w:rPr>
        <w:t>.</w:t>
      </w:r>
      <w:r w:rsidR="00A27F02">
        <w:rPr>
          <w:rFonts w:ascii="Times New Roman" w:hAnsi="Times New Roman" w:cs="Times New Roman"/>
          <w:sz w:val="24"/>
          <w:szCs w:val="24"/>
        </w:rPr>
        <w:t xml:space="preserve">  The servants should be told clearly and simply what </w:t>
      </w:r>
      <w:r w:rsidR="00F31A8F">
        <w:rPr>
          <w:rFonts w:ascii="Times New Roman" w:hAnsi="Times New Roman" w:cs="Times New Roman"/>
          <w:sz w:val="24"/>
          <w:szCs w:val="24"/>
        </w:rPr>
        <w:t xml:space="preserve">is expected of them. </w:t>
      </w:r>
      <w:r>
        <w:rPr>
          <w:rFonts w:ascii="Times New Roman" w:hAnsi="Times New Roman" w:cs="Times New Roman"/>
          <w:sz w:val="24"/>
          <w:szCs w:val="24"/>
        </w:rPr>
        <w:t xml:space="preserve">  </w:t>
      </w:r>
    </w:p>
    <w:p w14:paraId="3101440F" w14:textId="7DC21CFD" w:rsidR="00A27F02" w:rsidRDefault="00B6535E"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Experimentation inevitably leads to failures as well as successes and there is valuable information to be gleaned</w:t>
      </w:r>
      <w:r w:rsidR="00A27F02">
        <w:rPr>
          <w:rFonts w:ascii="Times New Roman" w:hAnsi="Times New Roman" w:cs="Times New Roman"/>
          <w:sz w:val="24"/>
          <w:szCs w:val="24"/>
        </w:rPr>
        <w:t xml:space="preserve"> from both</w:t>
      </w:r>
      <w:r>
        <w:rPr>
          <w:rFonts w:ascii="Times New Roman" w:hAnsi="Times New Roman" w:cs="Times New Roman"/>
          <w:sz w:val="24"/>
          <w:szCs w:val="24"/>
        </w:rPr>
        <w:t xml:space="preserve">.  Knowing of a failure elsewhere, and of the reasons for it, may help reduce the incidence of future failures in NZ.  And learning of successful innovation can hasten the time at which good ideas </w:t>
      </w:r>
      <w:r w:rsidR="00A27F02">
        <w:rPr>
          <w:rFonts w:ascii="Times New Roman" w:hAnsi="Times New Roman" w:cs="Times New Roman"/>
          <w:sz w:val="24"/>
          <w:szCs w:val="24"/>
        </w:rPr>
        <w:t xml:space="preserve">from elsewhere </w:t>
      </w:r>
      <w:r>
        <w:rPr>
          <w:rFonts w:ascii="Times New Roman" w:hAnsi="Times New Roman" w:cs="Times New Roman"/>
          <w:sz w:val="24"/>
          <w:szCs w:val="24"/>
        </w:rPr>
        <w:t xml:space="preserve">are </w:t>
      </w:r>
      <w:r w:rsidR="00A27F02">
        <w:rPr>
          <w:rFonts w:ascii="Times New Roman" w:hAnsi="Times New Roman" w:cs="Times New Roman"/>
          <w:sz w:val="24"/>
          <w:szCs w:val="24"/>
        </w:rPr>
        <w:t>taken up</w:t>
      </w:r>
      <w:r>
        <w:rPr>
          <w:rFonts w:ascii="Times New Roman" w:hAnsi="Times New Roman" w:cs="Times New Roman"/>
          <w:sz w:val="24"/>
          <w:szCs w:val="24"/>
        </w:rPr>
        <w:t xml:space="preserve"> at home</w:t>
      </w:r>
      <w:r w:rsidR="00A27F02">
        <w:rPr>
          <w:rFonts w:ascii="Times New Roman" w:hAnsi="Times New Roman" w:cs="Times New Roman"/>
          <w:sz w:val="24"/>
          <w:szCs w:val="24"/>
        </w:rPr>
        <w:t>.</w:t>
      </w:r>
    </w:p>
    <w:p w14:paraId="14B7DAC8" w14:textId="47F9960B" w:rsidR="005C44B3" w:rsidRPr="005C44B3" w:rsidRDefault="00A27F02"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 xml:space="preserve">Then there is Kay’s word ‘disciplined’ to consider.  </w:t>
      </w:r>
      <w:r w:rsidR="00CD1456">
        <w:rPr>
          <w:rFonts w:ascii="Times New Roman" w:hAnsi="Times New Roman" w:cs="Times New Roman"/>
          <w:sz w:val="24"/>
          <w:szCs w:val="24"/>
        </w:rPr>
        <w:t>F</w:t>
      </w:r>
      <w:r>
        <w:rPr>
          <w:rFonts w:ascii="Times New Roman" w:hAnsi="Times New Roman" w:cs="Times New Roman"/>
          <w:sz w:val="24"/>
          <w:szCs w:val="24"/>
        </w:rPr>
        <w:t xml:space="preserve">ailures </w:t>
      </w:r>
      <w:r w:rsidR="00303189">
        <w:rPr>
          <w:rFonts w:ascii="Times New Roman" w:hAnsi="Times New Roman" w:cs="Times New Roman"/>
          <w:sz w:val="24"/>
          <w:szCs w:val="24"/>
        </w:rPr>
        <w:t xml:space="preserve">in utility systems </w:t>
      </w:r>
      <w:r>
        <w:rPr>
          <w:rFonts w:ascii="Times New Roman" w:hAnsi="Times New Roman" w:cs="Times New Roman"/>
          <w:sz w:val="24"/>
          <w:szCs w:val="24"/>
        </w:rPr>
        <w:t xml:space="preserve">at the local level – and, to repeat, failures are to be expected in any innovative process </w:t>
      </w:r>
      <w:r w:rsidR="00ED5E9F">
        <w:rPr>
          <w:rFonts w:ascii="Times New Roman" w:hAnsi="Times New Roman" w:cs="Times New Roman"/>
          <w:sz w:val="24"/>
          <w:szCs w:val="24"/>
        </w:rPr>
        <w:t>–</w:t>
      </w:r>
      <w:r>
        <w:rPr>
          <w:rFonts w:ascii="Times New Roman" w:hAnsi="Times New Roman" w:cs="Times New Roman"/>
          <w:sz w:val="24"/>
          <w:szCs w:val="24"/>
        </w:rPr>
        <w:t xml:space="preserve"> </w:t>
      </w:r>
      <w:r w:rsidR="00ED5E9F">
        <w:rPr>
          <w:rFonts w:ascii="Times New Roman" w:hAnsi="Times New Roman" w:cs="Times New Roman"/>
          <w:sz w:val="24"/>
          <w:szCs w:val="24"/>
        </w:rPr>
        <w:t xml:space="preserve">are often underwritten at the national level.  </w:t>
      </w:r>
      <w:r w:rsidR="00872CC2">
        <w:rPr>
          <w:rFonts w:ascii="Times New Roman" w:hAnsi="Times New Roman" w:cs="Times New Roman"/>
          <w:sz w:val="24"/>
          <w:szCs w:val="24"/>
        </w:rPr>
        <w:t xml:space="preserve">In the end, if local systems encounter problems beyond their capacity to resolve, central governments </w:t>
      </w:r>
      <w:r w:rsidR="00C524DD">
        <w:rPr>
          <w:rFonts w:ascii="Times New Roman" w:hAnsi="Times New Roman" w:cs="Times New Roman"/>
          <w:sz w:val="24"/>
          <w:szCs w:val="24"/>
        </w:rPr>
        <w:t xml:space="preserve">tend to </w:t>
      </w:r>
      <w:r w:rsidR="00872CC2">
        <w:rPr>
          <w:rFonts w:ascii="Times New Roman" w:hAnsi="Times New Roman" w:cs="Times New Roman"/>
          <w:sz w:val="24"/>
          <w:szCs w:val="24"/>
        </w:rPr>
        <w:t xml:space="preserve">bring </w:t>
      </w:r>
      <w:r w:rsidR="0099161B">
        <w:rPr>
          <w:rFonts w:ascii="Times New Roman" w:hAnsi="Times New Roman" w:cs="Times New Roman"/>
          <w:sz w:val="24"/>
          <w:szCs w:val="24"/>
        </w:rPr>
        <w:t xml:space="preserve">extra </w:t>
      </w:r>
      <w:r w:rsidR="00872CC2">
        <w:rPr>
          <w:rFonts w:ascii="Times New Roman" w:hAnsi="Times New Roman" w:cs="Times New Roman"/>
          <w:sz w:val="24"/>
          <w:szCs w:val="24"/>
        </w:rPr>
        <w:t xml:space="preserve">resources to the table.  </w:t>
      </w:r>
      <w:r w:rsidR="005C44B3">
        <w:rPr>
          <w:rFonts w:ascii="Times New Roman" w:hAnsi="Times New Roman" w:cs="Times New Roman"/>
          <w:sz w:val="24"/>
          <w:szCs w:val="24"/>
        </w:rPr>
        <w:t xml:space="preserve">There is therefore an obvious case for some </w:t>
      </w:r>
      <w:r w:rsidR="005C44B3">
        <w:rPr>
          <w:rFonts w:ascii="Times New Roman" w:hAnsi="Times New Roman" w:cs="Times New Roman"/>
          <w:i/>
          <w:sz w:val="24"/>
          <w:szCs w:val="24"/>
        </w:rPr>
        <w:t xml:space="preserve">quid pro quo </w:t>
      </w:r>
      <w:r w:rsidR="005C44B3">
        <w:rPr>
          <w:rFonts w:ascii="Times New Roman" w:hAnsi="Times New Roman" w:cs="Times New Roman"/>
          <w:sz w:val="24"/>
          <w:szCs w:val="24"/>
        </w:rPr>
        <w:t xml:space="preserve">for this ‘insurance’ and one already </w:t>
      </w:r>
      <w:r w:rsidR="008B5A47">
        <w:rPr>
          <w:rFonts w:ascii="Times New Roman" w:hAnsi="Times New Roman" w:cs="Times New Roman"/>
          <w:sz w:val="24"/>
          <w:szCs w:val="24"/>
        </w:rPr>
        <w:t xml:space="preserve">exists in </w:t>
      </w:r>
      <w:r w:rsidR="00872CC2">
        <w:rPr>
          <w:rFonts w:ascii="Times New Roman" w:hAnsi="Times New Roman" w:cs="Times New Roman"/>
          <w:sz w:val="24"/>
          <w:szCs w:val="24"/>
        </w:rPr>
        <w:t xml:space="preserve">NZ </w:t>
      </w:r>
      <w:r w:rsidR="0099161B">
        <w:rPr>
          <w:rFonts w:ascii="Times New Roman" w:hAnsi="Times New Roman" w:cs="Times New Roman"/>
          <w:sz w:val="24"/>
          <w:szCs w:val="24"/>
        </w:rPr>
        <w:t xml:space="preserve">in </w:t>
      </w:r>
      <w:r w:rsidR="008B5A47">
        <w:rPr>
          <w:rFonts w:ascii="Times New Roman" w:hAnsi="Times New Roman" w:cs="Times New Roman"/>
          <w:sz w:val="24"/>
          <w:szCs w:val="24"/>
        </w:rPr>
        <w:t>the form of the information disclosure regime</w:t>
      </w:r>
      <w:r w:rsidR="00F31A8F">
        <w:rPr>
          <w:rFonts w:ascii="Times New Roman" w:hAnsi="Times New Roman" w:cs="Times New Roman"/>
          <w:sz w:val="24"/>
          <w:szCs w:val="24"/>
        </w:rPr>
        <w:t xml:space="preserve"> for exempt EDBs</w:t>
      </w:r>
      <w:r w:rsidR="005C44B3">
        <w:rPr>
          <w:rFonts w:ascii="Times New Roman" w:hAnsi="Times New Roman" w:cs="Times New Roman"/>
          <w:sz w:val="24"/>
          <w:szCs w:val="24"/>
        </w:rPr>
        <w:t xml:space="preserve">. Whether this will remain the most appropriate </w:t>
      </w:r>
      <w:r w:rsidR="005C44B3">
        <w:rPr>
          <w:rFonts w:ascii="Times New Roman" w:hAnsi="Times New Roman" w:cs="Times New Roman"/>
          <w:i/>
          <w:sz w:val="24"/>
          <w:szCs w:val="24"/>
        </w:rPr>
        <w:t xml:space="preserve">quid pro quo </w:t>
      </w:r>
      <w:r w:rsidR="005C44B3">
        <w:rPr>
          <w:rFonts w:ascii="Times New Roman" w:hAnsi="Times New Roman" w:cs="Times New Roman"/>
          <w:sz w:val="24"/>
          <w:szCs w:val="24"/>
        </w:rPr>
        <w:t xml:space="preserve">in changing circumstance is, I think, an interesting question, and one that is part and parcel of </w:t>
      </w:r>
      <w:r w:rsidR="0099161B">
        <w:rPr>
          <w:rFonts w:ascii="Times New Roman" w:hAnsi="Times New Roman" w:cs="Times New Roman"/>
          <w:sz w:val="24"/>
          <w:szCs w:val="24"/>
        </w:rPr>
        <w:t>a more general set of questions about ‘institutional innovation’</w:t>
      </w:r>
      <w:r w:rsidR="005C44B3">
        <w:rPr>
          <w:rFonts w:ascii="Times New Roman" w:hAnsi="Times New Roman" w:cs="Times New Roman"/>
          <w:sz w:val="24"/>
          <w:szCs w:val="24"/>
        </w:rPr>
        <w:t>.</w:t>
      </w:r>
    </w:p>
    <w:p w14:paraId="2529CE66" w14:textId="53B15E2E" w:rsidR="00F67999" w:rsidRDefault="00F67999" w:rsidP="00201D42">
      <w:pPr>
        <w:autoSpaceDE w:val="0"/>
        <w:autoSpaceDN w:val="0"/>
        <w:adjustRightInd w:val="0"/>
        <w:spacing w:before="240" w:after="0" w:line="276" w:lineRule="auto"/>
        <w:rPr>
          <w:rFonts w:ascii="Times New Roman" w:hAnsi="Times New Roman" w:cs="Times New Roman"/>
          <w:sz w:val="24"/>
          <w:szCs w:val="24"/>
        </w:rPr>
      </w:pPr>
      <w:r>
        <w:rPr>
          <w:rFonts w:ascii="Times New Roman" w:hAnsi="Times New Roman" w:cs="Times New Roman"/>
          <w:sz w:val="24"/>
          <w:szCs w:val="24"/>
        </w:rPr>
        <w:t>George Yarrow</w:t>
      </w:r>
    </w:p>
    <w:p w14:paraId="32202723" w14:textId="5968DD8E" w:rsidR="00F67999" w:rsidRDefault="00F67999" w:rsidP="001B195F">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Regulatory Policy Institute, Oxford, UK</w:t>
      </w:r>
    </w:p>
    <w:sectPr w:rsidR="00F67999" w:rsidSect="007E7FF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E5EA" w14:textId="77777777" w:rsidR="00437468" w:rsidRDefault="00437468" w:rsidP="00FE64C4">
      <w:pPr>
        <w:spacing w:after="0" w:line="240" w:lineRule="auto"/>
      </w:pPr>
      <w:r>
        <w:separator/>
      </w:r>
    </w:p>
  </w:endnote>
  <w:endnote w:type="continuationSeparator" w:id="0">
    <w:p w14:paraId="2547FD28" w14:textId="77777777" w:rsidR="00437468" w:rsidRDefault="00437468" w:rsidP="00FE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853532"/>
      <w:docPartObj>
        <w:docPartGallery w:val="Page Numbers (Bottom of Page)"/>
        <w:docPartUnique/>
      </w:docPartObj>
    </w:sdtPr>
    <w:sdtEndPr>
      <w:rPr>
        <w:noProof/>
      </w:rPr>
    </w:sdtEndPr>
    <w:sdtContent>
      <w:p w14:paraId="389AB974" w14:textId="3ACDC89C" w:rsidR="000C0303" w:rsidRDefault="000C0303">
        <w:pPr>
          <w:pStyle w:val="Footer"/>
          <w:jc w:val="right"/>
        </w:pPr>
        <w:r w:rsidRPr="00A94226">
          <w:rPr>
            <w:rFonts w:ascii="Times New Roman" w:hAnsi="Times New Roman" w:cs="Times New Roman"/>
          </w:rPr>
          <w:fldChar w:fldCharType="begin"/>
        </w:r>
        <w:r w:rsidRPr="00A94226">
          <w:rPr>
            <w:rFonts w:ascii="Times New Roman" w:hAnsi="Times New Roman" w:cs="Times New Roman"/>
          </w:rPr>
          <w:instrText xml:space="preserve"> PAGE   \* MERGEFORMAT </w:instrText>
        </w:r>
        <w:r w:rsidRPr="00A94226">
          <w:rPr>
            <w:rFonts w:ascii="Times New Roman" w:hAnsi="Times New Roman" w:cs="Times New Roman"/>
          </w:rPr>
          <w:fldChar w:fldCharType="separate"/>
        </w:r>
        <w:r w:rsidR="000F415B">
          <w:rPr>
            <w:rFonts w:ascii="Times New Roman" w:hAnsi="Times New Roman" w:cs="Times New Roman"/>
            <w:noProof/>
          </w:rPr>
          <w:t>9</w:t>
        </w:r>
        <w:r w:rsidRPr="00A94226">
          <w:rPr>
            <w:rFonts w:ascii="Times New Roman" w:hAnsi="Times New Roman" w:cs="Times New Roman"/>
            <w:noProof/>
          </w:rPr>
          <w:fldChar w:fldCharType="end"/>
        </w:r>
      </w:p>
    </w:sdtContent>
  </w:sdt>
  <w:p w14:paraId="1CD18096" w14:textId="77777777" w:rsidR="000C0303" w:rsidRDefault="000C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B10D8" w14:textId="77777777" w:rsidR="00437468" w:rsidRDefault="00437468" w:rsidP="00FE64C4">
      <w:pPr>
        <w:spacing w:after="0" w:line="240" w:lineRule="auto"/>
      </w:pPr>
      <w:r>
        <w:separator/>
      </w:r>
    </w:p>
  </w:footnote>
  <w:footnote w:type="continuationSeparator" w:id="0">
    <w:p w14:paraId="068B5C6B" w14:textId="77777777" w:rsidR="00437468" w:rsidRDefault="00437468" w:rsidP="00FE64C4">
      <w:pPr>
        <w:spacing w:after="0" w:line="240" w:lineRule="auto"/>
      </w:pPr>
      <w:r>
        <w:continuationSeparator/>
      </w:r>
    </w:p>
  </w:footnote>
  <w:footnote w:id="1">
    <w:p w14:paraId="668FF6F6" w14:textId="2310C93C" w:rsidR="000C0303" w:rsidRPr="0009180C" w:rsidRDefault="000C0303">
      <w:pPr>
        <w:pStyle w:val="FootnoteText"/>
      </w:pPr>
      <w:r>
        <w:rPr>
          <w:rStyle w:val="FootnoteReference"/>
        </w:rPr>
        <w:footnoteRef/>
      </w:r>
      <w:r>
        <w:t xml:space="preserve"> Eurelectric, </w:t>
      </w:r>
      <w:r>
        <w:rPr>
          <w:i/>
        </w:rPr>
        <w:t>Power Distribution in Europe</w:t>
      </w:r>
      <w:r>
        <w:t>, 2013.</w:t>
      </w:r>
    </w:p>
  </w:footnote>
  <w:footnote w:id="2">
    <w:p w14:paraId="70C21B1C" w14:textId="71E3CEB9" w:rsidR="000C0303" w:rsidRDefault="000C0303">
      <w:pPr>
        <w:pStyle w:val="FootnoteText"/>
      </w:pPr>
      <w:r>
        <w:rPr>
          <w:rStyle w:val="FootnoteReference"/>
        </w:rPr>
        <w:footnoteRef/>
      </w:r>
      <w:r>
        <w:t xml:space="preserve"> Strictly speaking, the </w:t>
      </w:r>
      <w:r>
        <w:t>Eurelectric number for the UK is wrong: as of early 2018, fourteen Independent Distribution Network Operator (IDNO) licenses have been issued.  However, the Eurelectric number is not misleading:  IDNOs account for a tiny fraction of total distribution.</w:t>
      </w:r>
    </w:p>
  </w:footnote>
  <w:footnote w:id="3">
    <w:p w14:paraId="3140899E" w14:textId="3EC51F69" w:rsidR="000C0303" w:rsidRDefault="000C0303">
      <w:pPr>
        <w:pStyle w:val="FootnoteText"/>
      </w:pPr>
      <w:r>
        <w:rPr>
          <w:rStyle w:val="FootnoteReference"/>
        </w:rPr>
        <w:footnoteRef/>
      </w:r>
      <w:r>
        <w:t xml:space="preserve"> For Finland, Norway and Sweden combined it is almost identical. Denmark is much more densely populated, but is included because the countries are normally considered together and they co-operate in the </w:t>
      </w:r>
      <w:r>
        <w:t>Nordpool wholesale electricity market (which now also includes the Baltic states of Estonia, Latvia and Estonia).</w:t>
      </w:r>
    </w:p>
  </w:footnote>
  <w:footnote w:id="4">
    <w:p w14:paraId="1DD50EA7" w14:textId="1AEE8159" w:rsidR="000C0303" w:rsidRDefault="000C0303" w:rsidP="0022126F">
      <w:pPr>
        <w:pStyle w:val="FootnoteText"/>
      </w:pPr>
      <w:r>
        <w:rPr>
          <w:rStyle w:val="FootnoteReference"/>
        </w:rPr>
        <w:footnoteRef/>
      </w:r>
      <w:r>
        <w:t xml:space="preserve"> The </w:t>
      </w:r>
      <w:r>
        <w:t>Eurelectric data do not provide the number of connections for Norway.  The ratio of connections to total population across the countries covered is approximately 0.6 and I have applied this ratio to the Norwegian population to estimate that country’s number of connections.</w:t>
      </w:r>
    </w:p>
  </w:footnote>
  <w:footnote w:id="5">
    <w:p w14:paraId="5ED9F370" w14:textId="12FBF191" w:rsidR="000F415B" w:rsidRPr="000F415B" w:rsidRDefault="000F415B">
      <w:pPr>
        <w:pStyle w:val="FootnoteText"/>
        <w:rPr>
          <w:lang w:val="en-US"/>
        </w:rPr>
      </w:pPr>
      <w:r>
        <w:rPr>
          <w:rStyle w:val="FootnoteReference"/>
        </w:rPr>
        <w:footnoteRef/>
      </w:r>
      <w:r>
        <w:t xml:space="preserve"> </w:t>
      </w:r>
      <w:r>
        <w:rPr>
          <w:lang w:val="en-US"/>
        </w:rPr>
        <w:t>Error (17.5 not 12.7) corrected on advice from G Yarrow.</w:t>
      </w:r>
    </w:p>
  </w:footnote>
  <w:footnote w:id="6">
    <w:p w14:paraId="532F66CA" w14:textId="5ED09A81" w:rsidR="000C0303" w:rsidRPr="003973C9" w:rsidRDefault="000C0303" w:rsidP="002562E6">
      <w:pPr>
        <w:pStyle w:val="NormalWeb"/>
        <w:spacing w:before="0" w:beforeAutospacing="0" w:after="0" w:afterAutospacing="0" w:line="280" w:lineRule="atLeast"/>
        <w:textAlignment w:val="baseline"/>
        <w:rPr>
          <w:rFonts w:eastAsia="Times New Roman"/>
          <w:color w:val="555555"/>
          <w:sz w:val="20"/>
          <w:szCs w:val="20"/>
        </w:rPr>
      </w:pPr>
      <w:r w:rsidRPr="003973C9">
        <w:rPr>
          <w:rStyle w:val="FootnoteReference"/>
          <w:sz w:val="20"/>
          <w:szCs w:val="20"/>
        </w:rPr>
        <w:footnoteRef/>
      </w:r>
      <w:r w:rsidRPr="003973C9">
        <w:rPr>
          <w:sz w:val="20"/>
          <w:szCs w:val="20"/>
        </w:rPr>
        <w:t xml:space="preserve"> </w:t>
      </w:r>
      <w:r>
        <w:rPr>
          <w:sz w:val="20"/>
          <w:szCs w:val="20"/>
        </w:rPr>
        <w:t xml:space="preserve"> John </w:t>
      </w:r>
      <w:r>
        <w:rPr>
          <w:sz w:val="20"/>
          <w:szCs w:val="20"/>
        </w:rPr>
        <w:t>Kwoka and Michael Pollitt, “</w:t>
      </w:r>
      <w:r w:rsidRPr="003973C9">
        <w:rPr>
          <w:rFonts w:eastAsia="Times New Roman"/>
          <w:color w:val="000000"/>
          <w:sz w:val="20"/>
          <w:szCs w:val="20"/>
          <w:bdr w:val="none" w:sz="0" w:space="0" w:color="auto" w:frame="1"/>
        </w:rPr>
        <w:t>Industry Restructuring, Mergers and Efficiency: Evidence from Electric Power</w:t>
      </w:r>
      <w:r>
        <w:rPr>
          <w:rFonts w:eastAsia="Times New Roman"/>
          <w:color w:val="000000"/>
          <w:sz w:val="20"/>
          <w:szCs w:val="20"/>
          <w:bdr w:val="none" w:sz="0" w:space="0" w:color="auto" w:frame="1"/>
        </w:rPr>
        <w:t xml:space="preserve">”, </w:t>
      </w:r>
      <w:r w:rsidRPr="002562E6">
        <w:rPr>
          <w:rFonts w:eastAsia="Times New Roman"/>
          <w:bCs/>
          <w:color w:val="000000"/>
          <w:sz w:val="20"/>
          <w:szCs w:val="20"/>
          <w:bdr w:val="none" w:sz="0" w:space="0" w:color="auto" w:frame="1"/>
        </w:rPr>
        <w:t>EPRG 0708</w:t>
      </w:r>
      <w:r>
        <w:rPr>
          <w:rFonts w:eastAsia="Times New Roman"/>
          <w:bCs/>
          <w:color w:val="000000"/>
          <w:sz w:val="20"/>
          <w:szCs w:val="20"/>
          <w:bdr w:val="none" w:sz="0" w:space="0" w:color="auto" w:frame="1"/>
        </w:rPr>
        <w:t>, Cambridge University.</w:t>
      </w:r>
    </w:p>
    <w:p w14:paraId="7AD56BF3" w14:textId="278CEEF3" w:rsidR="000C0303" w:rsidRDefault="000C0303">
      <w:pPr>
        <w:pStyle w:val="FootnoteText"/>
      </w:pPr>
    </w:p>
  </w:footnote>
  <w:footnote w:id="7">
    <w:p w14:paraId="72D4C121" w14:textId="52CC9B09" w:rsidR="000C0303" w:rsidRPr="002562E6" w:rsidRDefault="000C0303" w:rsidP="002562E6">
      <w:pPr>
        <w:autoSpaceDE w:val="0"/>
        <w:autoSpaceDN w:val="0"/>
        <w:adjustRightInd w:val="0"/>
        <w:spacing w:after="0" w:line="276" w:lineRule="auto"/>
        <w:rPr>
          <w:rFonts w:ascii="Times New Roman" w:hAnsi="Times New Roman" w:cs="Times New Roman"/>
          <w:sz w:val="20"/>
          <w:szCs w:val="20"/>
        </w:rPr>
      </w:pPr>
      <w:r>
        <w:rPr>
          <w:rStyle w:val="FootnoteReference"/>
        </w:rPr>
        <w:footnoteRef/>
      </w:r>
      <w:r>
        <w:t xml:space="preserve"> </w:t>
      </w:r>
      <w:r w:rsidRPr="002562E6">
        <w:rPr>
          <w:rFonts w:ascii="Times New Roman" w:hAnsi="Times New Roman" w:cs="Times New Roman"/>
          <w:sz w:val="20"/>
          <w:szCs w:val="20"/>
        </w:rPr>
        <w:t xml:space="preserve">A. </w:t>
      </w:r>
      <w:r w:rsidRPr="002562E6">
        <w:rPr>
          <w:rFonts w:ascii="Times New Roman" w:hAnsi="Times New Roman" w:cs="Times New Roman"/>
          <w:sz w:val="20"/>
          <w:szCs w:val="20"/>
        </w:rPr>
        <w:t xml:space="preserve">Yatchew, “Scale Economies in Electricity Distribution: a semiparametric analysis”, </w:t>
      </w:r>
      <w:r w:rsidRPr="002562E6">
        <w:rPr>
          <w:rFonts w:ascii="Times New Roman" w:hAnsi="Times New Roman" w:cs="Times New Roman"/>
          <w:i/>
          <w:sz w:val="20"/>
          <w:szCs w:val="20"/>
        </w:rPr>
        <w:t>Journal of Applied Econometrics</w:t>
      </w:r>
      <w:r>
        <w:rPr>
          <w:rFonts w:ascii="Times New Roman" w:hAnsi="Times New Roman" w:cs="Times New Roman"/>
          <w:sz w:val="20"/>
          <w:szCs w:val="20"/>
        </w:rPr>
        <w:t xml:space="preserve">, </w:t>
      </w:r>
      <w:r w:rsidRPr="002562E6">
        <w:rPr>
          <w:rFonts w:ascii="Times New Roman" w:hAnsi="Times New Roman" w:cs="Times New Roman"/>
          <w:sz w:val="20"/>
          <w:szCs w:val="20"/>
        </w:rPr>
        <w:t>15</w:t>
      </w:r>
      <w:r>
        <w:rPr>
          <w:rFonts w:ascii="Times New Roman" w:hAnsi="Times New Roman" w:cs="Times New Roman"/>
          <w:sz w:val="20"/>
          <w:szCs w:val="20"/>
        </w:rPr>
        <w:t xml:space="preserve">, </w:t>
      </w:r>
      <w:r w:rsidRPr="002562E6">
        <w:rPr>
          <w:rFonts w:ascii="Times New Roman" w:hAnsi="Times New Roman" w:cs="Times New Roman"/>
          <w:sz w:val="20"/>
          <w:szCs w:val="20"/>
        </w:rPr>
        <w:t>2000</w:t>
      </w:r>
      <w:r>
        <w:rPr>
          <w:rFonts w:ascii="Times New Roman" w:hAnsi="Times New Roman" w:cs="Times New Roman"/>
          <w:sz w:val="20"/>
          <w:szCs w:val="20"/>
        </w:rPr>
        <w:t>.</w:t>
      </w:r>
    </w:p>
    <w:p w14:paraId="5CEBA5FF" w14:textId="1BE11FFA" w:rsidR="000C0303" w:rsidRDefault="000C0303">
      <w:pPr>
        <w:pStyle w:val="FootnoteText"/>
      </w:pPr>
    </w:p>
  </w:footnote>
  <w:footnote w:id="8">
    <w:p w14:paraId="62634129" w14:textId="725FEEF1" w:rsidR="009F721D" w:rsidRDefault="009F721D">
      <w:pPr>
        <w:pStyle w:val="FootnoteText"/>
      </w:pPr>
      <w:r>
        <w:rPr>
          <w:rStyle w:val="FootnoteReference"/>
        </w:rPr>
        <w:footnoteRef/>
      </w:r>
      <w:r>
        <w:t xml:space="preserve"> </w:t>
      </w:r>
      <w:r w:rsidR="00211E3B">
        <w:t xml:space="preserve">C7 does not elaborate on the details and neither will I, other than to note that </w:t>
      </w:r>
      <w:r w:rsidR="00A94226">
        <w:t xml:space="preserve">identifying </w:t>
      </w:r>
      <w:r w:rsidR="00211E3B">
        <w:t xml:space="preserve">the boundary line between </w:t>
      </w:r>
      <w:r w:rsidR="008413C7">
        <w:t>polic</w:t>
      </w:r>
      <w:r w:rsidR="00A94226">
        <w:t>ies</w:t>
      </w:r>
      <w:r w:rsidR="008413C7">
        <w:t xml:space="preserve"> of seeking </w:t>
      </w:r>
      <w:r w:rsidR="00A94226">
        <w:t xml:space="preserve">(a) </w:t>
      </w:r>
      <w:r w:rsidR="008413C7">
        <w:t xml:space="preserve">the most favourable </w:t>
      </w:r>
      <w:r w:rsidR="00211E3B">
        <w:t xml:space="preserve">financial disposition of a reasonable holding-level of reserve funds and </w:t>
      </w:r>
      <w:r w:rsidR="00A94226">
        <w:t>(b)</w:t>
      </w:r>
      <w:r w:rsidR="008413C7">
        <w:t xml:space="preserve"> </w:t>
      </w:r>
      <w:r w:rsidR="00A94226">
        <w:t>expanding</w:t>
      </w:r>
      <w:r w:rsidR="00211E3B">
        <w:t xml:space="preserve"> reserve funds in order to diversity is not </w:t>
      </w:r>
      <w:r w:rsidR="00A94226">
        <w:t xml:space="preserve">necessarily a straightforward exercise.  </w:t>
      </w:r>
    </w:p>
  </w:footnote>
  <w:footnote w:id="9">
    <w:p w14:paraId="1E6AB28F" w14:textId="78F373ED" w:rsidR="000C0303" w:rsidRPr="00B10713" w:rsidRDefault="000C0303" w:rsidP="00B10713">
      <w:pPr>
        <w:autoSpaceDE w:val="0"/>
        <w:autoSpaceDN w:val="0"/>
        <w:adjustRightInd w:val="0"/>
        <w:spacing w:after="0" w:line="240" w:lineRule="auto"/>
        <w:rPr>
          <w:rFonts w:ascii="Times New Roman" w:hAnsi="Times New Roman" w:cs="Times New Roman"/>
          <w:bCs/>
          <w:sz w:val="20"/>
          <w:szCs w:val="20"/>
        </w:rPr>
      </w:pPr>
      <w:r w:rsidRPr="00B10713">
        <w:rPr>
          <w:rStyle w:val="FootnoteReference"/>
          <w:rFonts w:ascii="Times New Roman" w:hAnsi="Times New Roman" w:cs="Times New Roman"/>
          <w:sz w:val="20"/>
          <w:szCs w:val="20"/>
        </w:rPr>
        <w:footnoteRef/>
      </w:r>
      <w:r w:rsidRPr="00B10713">
        <w:rPr>
          <w:rFonts w:ascii="Times New Roman" w:hAnsi="Times New Roman" w:cs="Times New Roman"/>
          <w:sz w:val="20"/>
          <w:szCs w:val="20"/>
        </w:rPr>
        <w:t xml:space="preserve"> Oliver Wagner and Kurt Belo, </w:t>
      </w:r>
      <w:r>
        <w:rPr>
          <w:rFonts w:ascii="Times New Roman" w:hAnsi="Times New Roman" w:cs="Times New Roman"/>
          <w:sz w:val="20"/>
          <w:szCs w:val="20"/>
        </w:rPr>
        <w:t>“</w:t>
      </w:r>
      <w:r w:rsidRPr="00B10713">
        <w:rPr>
          <w:rFonts w:ascii="Times New Roman" w:hAnsi="Times New Roman" w:cs="Times New Roman"/>
          <w:bCs/>
          <w:sz w:val="20"/>
          <w:szCs w:val="20"/>
        </w:rPr>
        <w:t>Remunicipalisation and Foundation of Municipal Utilities in the</w:t>
      </w:r>
    </w:p>
    <w:p w14:paraId="5C31D66E" w14:textId="08D11288" w:rsidR="000C0303" w:rsidRPr="00B10713" w:rsidRDefault="000C0303" w:rsidP="00B10713">
      <w:pPr>
        <w:autoSpaceDE w:val="0"/>
        <w:autoSpaceDN w:val="0"/>
        <w:adjustRightInd w:val="0"/>
        <w:spacing w:after="0" w:line="240" w:lineRule="auto"/>
        <w:rPr>
          <w:rFonts w:ascii="Times New Roman" w:hAnsi="Times New Roman" w:cs="Times New Roman"/>
          <w:sz w:val="20"/>
          <w:szCs w:val="20"/>
        </w:rPr>
      </w:pPr>
      <w:r w:rsidRPr="00B10713">
        <w:rPr>
          <w:rFonts w:ascii="Times New Roman" w:hAnsi="Times New Roman" w:cs="Times New Roman"/>
          <w:bCs/>
          <w:sz w:val="20"/>
          <w:szCs w:val="20"/>
        </w:rPr>
        <w:t>German Energy Sector: Details about Newly Established Enterprises</w:t>
      </w:r>
      <w:r>
        <w:rPr>
          <w:rFonts w:cs="Times New Roman"/>
          <w:bCs/>
        </w:rPr>
        <w:t xml:space="preserve">”, </w:t>
      </w:r>
      <w:r w:rsidRPr="00B10713">
        <w:rPr>
          <w:rFonts w:ascii="Times New Roman" w:hAnsi="Times New Roman" w:cs="Times New Roman"/>
          <w:bCs/>
          <w:i/>
          <w:iCs/>
          <w:color w:val="262626"/>
          <w:sz w:val="20"/>
          <w:szCs w:val="20"/>
        </w:rPr>
        <w:t>Journal of Sustainable Development of Energy, Water</w:t>
      </w:r>
      <w:r>
        <w:rPr>
          <w:rFonts w:ascii="Times New Roman" w:hAnsi="Times New Roman" w:cs="Times New Roman"/>
          <w:bCs/>
          <w:i/>
          <w:iCs/>
          <w:color w:val="262626"/>
          <w:sz w:val="20"/>
          <w:szCs w:val="20"/>
        </w:rPr>
        <w:t xml:space="preserve"> </w:t>
      </w:r>
      <w:r w:rsidRPr="00B10713">
        <w:rPr>
          <w:rFonts w:ascii="Times New Roman" w:hAnsi="Times New Roman" w:cs="Times New Roman"/>
          <w:bCs/>
          <w:i/>
          <w:iCs/>
          <w:color w:val="262626"/>
          <w:sz w:val="20"/>
          <w:szCs w:val="20"/>
        </w:rPr>
        <w:t>and Environment Systems</w:t>
      </w:r>
      <w:r>
        <w:rPr>
          <w:rFonts w:ascii="Times New Roman" w:hAnsi="Times New Roman" w:cs="Times New Roman"/>
          <w:bCs/>
          <w:iCs/>
          <w:color w:val="262626"/>
          <w:sz w:val="20"/>
          <w:szCs w:val="20"/>
        </w:rPr>
        <w:t>, 5, 2017.</w:t>
      </w:r>
    </w:p>
  </w:footnote>
  <w:footnote w:id="10">
    <w:p w14:paraId="3F08DEB0" w14:textId="7F4362E7" w:rsidR="000C0303" w:rsidRPr="008828B3" w:rsidRDefault="000C0303" w:rsidP="008828B3">
      <w:pPr>
        <w:rPr>
          <w:rFonts w:ascii="Times New Roman" w:eastAsia="Times New Roman" w:hAnsi="Times New Roman" w:cs="Times New Roman"/>
          <w:sz w:val="20"/>
          <w:szCs w:val="20"/>
          <w:lang w:eastAsia="en-GB"/>
        </w:rPr>
      </w:pPr>
      <w:r w:rsidRPr="008828B3">
        <w:rPr>
          <w:rStyle w:val="FootnoteReference"/>
          <w:rFonts w:ascii="Times New Roman" w:hAnsi="Times New Roman" w:cs="Times New Roman"/>
          <w:sz w:val="20"/>
          <w:szCs w:val="20"/>
        </w:rPr>
        <w:footnoteRef/>
      </w:r>
      <w:r w:rsidRPr="008828B3">
        <w:rPr>
          <w:rFonts w:ascii="Times New Roman" w:hAnsi="Times New Roman" w:cs="Times New Roman"/>
          <w:sz w:val="20"/>
          <w:szCs w:val="20"/>
        </w:rPr>
        <w:t xml:space="preserve"> </w:t>
      </w:r>
      <w:hyperlink r:id="rId1" w:history="1">
        <w:r w:rsidRPr="008828B3">
          <w:rPr>
            <w:rStyle w:val="Hyperlink"/>
            <w:rFonts w:ascii="Times New Roman" w:eastAsia="Times New Roman" w:hAnsi="Times New Roman" w:cs="Times New Roman"/>
            <w:sz w:val="20"/>
            <w:szCs w:val="20"/>
            <w:lang w:eastAsia="en-GB"/>
          </w:rPr>
          <w:t>https://www.johnkay.com/2007/08/01/failure-market-failure/</w:t>
        </w:r>
      </w:hyperlink>
      <w:r w:rsidRPr="008828B3">
        <w:rPr>
          <w:rFonts w:ascii="Times New Roman" w:eastAsia="Times New Roman" w:hAnsi="Times New Roman" w:cs="Times New Roman"/>
          <w:color w:val="006621"/>
          <w:sz w:val="20"/>
          <w:szCs w:val="20"/>
          <w:lang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239"/>
    <w:multiLevelType w:val="hybridMultilevel"/>
    <w:tmpl w:val="6900864E"/>
    <w:lvl w:ilvl="0" w:tplc="F9E8C1E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7932C6"/>
    <w:multiLevelType w:val="hybridMultilevel"/>
    <w:tmpl w:val="16F04FF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38D87E4B"/>
    <w:multiLevelType w:val="hybridMultilevel"/>
    <w:tmpl w:val="2452BD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DF6D62"/>
    <w:multiLevelType w:val="hybridMultilevel"/>
    <w:tmpl w:val="E5186D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016A05"/>
    <w:multiLevelType w:val="hybridMultilevel"/>
    <w:tmpl w:val="32C4F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B0E1A"/>
    <w:multiLevelType w:val="hybridMultilevel"/>
    <w:tmpl w:val="50F8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30F5F"/>
    <w:multiLevelType w:val="hybridMultilevel"/>
    <w:tmpl w:val="E6E0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F666B"/>
    <w:multiLevelType w:val="hybridMultilevel"/>
    <w:tmpl w:val="CAEA10B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6BC649B9"/>
    <w:multiLevelType w:val="hybridMultilevel"/>
    <w:tmpl w:val="E45E9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4"/>
  </w:num>
  <w:num w:numId="5">
    <w:abstractNumId w:val="2"/>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204"/>
    <w:rsid w:val="000104D1"/>
    <w:rsid w:val="00017E70"/>
    <w:rsid w:val="00031DAB"/>
    <w:rsid w:val="000345A6"/>
    <w:rsid w:val="000361C5"/>
    <w:rsid w:val="0004785E"/>
    <w:rsid w:val="00052D1A"/>
    <w:rsid w:val="00055E2D"/>
    <w:rsid w:val="00065838"/>
    <w:rsid w:val="000734C6"/>
    <w:rsid w:val="000913A5"/>
    <w:rsid w:val="0009180C"/>
    <w:rsid w:val="0009376A"/>
    <w:rsid w:val="000A0B3E"/>
    <w:rsid w:val="000B7953"/>
    <w:rsid w:val="000C0303"/>
    <w:rsid w:val="000D599E"/>
    <w:rsid w:val="000E4DBE"/>
    <w:rsid w:val="000E5471"/>
    <w:rsid w:val="000E5B40"/>
    <w:rsid w:val="000F0D7F"/>
    <w:rsid w:val="000F32F5"/>
    <w:rsid w:val="000F415B"/>
    <w:rsid w:val="000F5AFB"/>
    <w:rsid w:val="000F5D84"/>
    <w:rsid w:val="0010525E"/>
    <w:rsid w:val="001173FB"/>
    <w:rsid w:val="00140411"/>
    <w:rsid w:val="00143E26"/>
    <w:rsid w:val="001B195F"/>
    <w:rsid w:val="001B5CB8"/>
    <w:rsid w:val="001B5CDA"/>
    <w:rsid w:val="001C13F7"/>
    <w:rsid w:val="001C54DC"/>
    <w:rsid w:val="001C734E"/>
    <w:rsid w:val="001F6AA3"/>
    <w:rsid w:val="00201D42"/>
    <w:rsid w:val="00202B34"/>
    <w:rsid w:val="00207C67"/>
    <w:rsid w:val="00211E3B"/>
    <w:rsid w:val="00216B6B"/>
    <w:rsid w:val="0022126F"/>
    <w:rsid w:val="0022774E"/>
    <w:rsid w:val="002338BC"/>
    <w:rsid w:val="00241F72"/>
    <w:rsid w:val="00245B39"/>
    <w:rsid w:val="002562E6"/>
    <w:rsid w:val="002739A4"/>
    <w:rsid w:val="00277B4D"/>
    <w:rsid w:val="002928BE"/>
    <w:rsid w:val="002B56F3"/>
    <w:rsid w:val="002C1230"/>
    <w:rsid w:val="002D0A31"/>
    <w:rsid w:val="002D55E6"/>
    <w:rsid w:val="002D7BEC"/>
    <w:rsid w:val="002F5BDA"/>
    <w:rsid w:val="002F5C6A"/>
    <w:rsid w:val="00303189"/>
    <w:rsid w:val="00305D8A"/>
    <w:rsid w:val="0030637B"/>
    <w:rsid w:val="003169E7"/>
    <w:rsid w:val="003173C6"/>
    <w:rsid w:val="00320407"/>
    <w:rsid w:val="00323C3E"/>
    <w:rsid w:val="0033716A"/>
    <w:rsid w:val="00345057"/>
    <w:rsid w:val="00362910"/>
    <w:rsid w:val="00366C1B"/>
    <w:rsid w:val="003818A6"/>
    <w:rsid w:val="003973C9"/>
    <w:rsid w:val="003B2A96"/>
    <w:rsid w:val="003F181E"/>
    <w:rsid w:val="003F4C60"/>
    <w:rsid w:val="00400216"/>
    <w:rsid w:val="004047B4"/>
    <w:rsid w:val="00407F95"/>
    <w:rsid w:val="004250F6"/>
    <w:rsid w:val="00427467"/>
    <w:rsid w:val="004330CF"/>
    <w:rsid w:val="00437468"/>
    <w:rsid w:val="00440888"/>
    <w:rsid w:val="00440A36"/>
    <w:rsid w:val="004425C3"/>
    <w:rsid w:val="0044566D"/>
    <w:rsid w:val="004568F7"/>
    <w:rsid w:val="00462506"/>
    <w:rsid w:val="00463039"/>
    <w:rsid w:val="0047649B"/>
    <w:rsid w:val="00483660"/>
    <w:rsid w:val="00492788"/>
    <w:rsid w:val="00495239"/>
    <w:rsid w:val="00496306"/>
    <w:rsid w:val="004A05DC"/>
    <w:rsid w:val="004A2BE7"/>
    <w:rsid w:val="004D0E16"/>
    <w:rsid w:val="004D2F0E"/>
    <w:rsid w:val="004D33E5"/>
    <w:rsid w:val="004D6640"/>
    <w:rsid w:val="004D721B"/>
    <w:rsid w:val="004E7BD4"/>
    <w:rsid w:val="004F066F"/>
    <w:rsid w:val="004F1BED"/>
    <w:rsid w:val="00505C11"/>
    <w:rsid w:val="0051145D"/>
    <w:rsid w:val="0051722D"/>
    <w:rsid w:val="005176F1"/>
    <w:rsid w:val="00517793"/>
    <w:rsid w:val="005200B9"/>
    <w:rsid w:val="00535ACB"/>
    <w:rsid w:val="005423D1"/>
    <w:rsid w:val="0055396F"/>
    <w:rsid w:val="00556452"/>
    <w:rsid w:val="00567455"/>
    <w:rsid w:val="00594DC1"/>
    <w:rsid w:val="005A53BB"/>
    <w:rsid w:val="005A5D6E"/>
    <w:rsid w:val="005B5D60"/>
    <w:rsid w:val="005C0EF9"/>
    <w:rsid w:val="005C44B3"/>
    <w:rsid w:val="005C727E"/>
    <w:rsid w:val="005D6F2C"/>
    <w:rsid w:val="005E47FD"/>
    <w:rsid w:val="005F110C"/>
    <w:rsid w:val="0060122E"/>
    <w:rsid w:val="00602031"/>
    <w:rsid w:val="006131BE"/>
    <w:rsid w:val="0062211A"/>
    <w:rsid w:val="00632008"/>
    <w:rsid w:val="00642CB4"/>
    <w:rsid w:val="00650DED"/>
    <w:rsid w:val="00655A1D"/>
    <w:rsid w:val="006614F5"/>
    <w:rsid w:val="00674088"/>
    <w:rsid w:val="00682B3F"/>
    <w:rsid w:val="006927BD"/>
    <w:rsid w:val="006947E6"/>
    <w:rsid w:val="006C6E8C"/>
    <w:rsid w:val="006D2D7C"/>
    <w:rsid w:val="006D3838"/>
    <w:rsid w:val="006D410A"/>
    <w:rsid w:val="006F619E"/>
    <w:rsid w:val="007016BC"/>
    <w:rsid w:val="0071039E"/>
    <w:rsid w:val="00710BCF"/>
    <w:rsid w:val="00720CB9"/>
    <w:rsid w:val="00723F12"/>
    <w:rsid w:val="00731634"/>
    <w:rsid w:val="00734D64"/>
    <w:rsid w:val="00736695"/>
    <w:rsid w:val="00740904"/>
    <w:rsid w:val="00741253"/>
    <w:rsid w:val="00741A2E"/>
    <w:rsid w:val="00750E49"/>
    <w:rsid w:val="00760FEE"/>
    <w:rsid w:val="00771F18"/>
    <w:rsid w:val="00775B83"/>
    <w:rsid w:val="007A39B0"/>
    <w:rsid w:val="007A3C09"/>
    <w:rsid w:val="007B6A69"/>
    <w:rsid w:val="007E7FF0"/>
    <w:rsid w:val="007F3614"/>
    <w:rsid w:val="008112DE"/>
    <w:rsid w:val="00812C52"/>
    <w:rsid w:val="00823840"/>
    <w:rsid w:val="00825CC4"/>
    <w:rsid w:val="00833630"/>
    <w:rsid w:val="008347EC"/>
    <w:rsid w:val="00835E14"/>
    <w:rsid w:val="008413C7"/>
    <w:rsid w:val="00856C62"/>
    <w:rsid w:val="00856FEE"/>
    <w:rsid w:val="00860DB3"/>
    <w:rsid w:val="008632AC"/>
    <w:rsid w:val="00870D80"/>
    <w:rsid w:val="00872CC2"/>
    <w:rsid w:val="008800A9"/>
    <w:rsid w:val="008828B3"/>
    <w:rsid w:val="008A631E"/>
    <w:rsid w:val="008B0FDD"/>
    <w:rsid w:val="008B5A47"/>
    <w:rsid w:val="008D3300"/>
    <w:rsid w:val="008F0CC2"/>
    <w:rsid w:val="008F2CB0"/>
    <w:rsid w:val="008F622F"/>
    <w:rsid w:val="009026A6"/>
    <w:rsid w:val="00911728"/>
    <w:rsid w:val="0091381F"/>
    <w:rsid w:val="00920A3F"/>
    <w:rsid w:val="00922A72"/>
    <w:rsid w:val="009420AB"/>
    <w:rsid w:val="00956851"/>
    <w:rsid w:val="009730C0"/>
    <w:rsid w:val="00975311"/>
    <w:rsid w:val="00984095"/>
    <w:rsid w:val="009840B5"/>
    <w:rsid w:val="009857FB"/>
    <w:rsid w:val="0099161B"/>
    <w:rsid w:val="009B1457"/>
    <w:rsid w:val="009C285F"/>
    <w:rsid w:val="009C4635"/>
    <w:rsid w:val="009E7E12"/>
    <w:rsid w:val="009F53B5"/>
    <w:rsid w:val="009F721D"/>
    <w:rsid w:val="00A03C34"/>
    <w:rsid w:val="00A1435F"/>
    <w:rsid w:val="00A27F02"/>
    <w:rsid w:val="00A32448"/>
    <w:rsid w:val="00A52505"/>
    <w:rsid w:val="00A6154E"/>
    <w:rsid w:val="00A77D75"/>
    <w:rsid w:val="00A85A88"/>
    <w:rsid w:val="00A94226"/>
    <w:rsid w:val="00AB753C"/>
    <w:rsid w:val="00AF44E2"/>
    <w:rsid w:val="00B03758"/>
    <w:rsid w:val="00B10713"/>
    <w:rsid w:val="00B14CB4"/>
    <w:rsid w:val="00B1771C"/>
    <w:rsid w:val="00B26028"/>
    <w:rsid w:val="00B26C2E"/>
    <w:rsid w:val="00B45F2A"/>
    <w:rsid w:val="00B4784F"/>
    <w:rsid w:val="00B55A34"/>
    <w:rsid w:val="00B566D1"/>
    <w:rsid w:val="00B57E64"/>
    <w:rsid w:val="00B6535E"/>
    <w:rsid w:val="00B8457D"/>
    <w:rsid w:val="00B86842"/>
    <w:rsid w:val="00BA106B"/>
    <w:rsid w:val="00BA5D95"/>
    <w:rsid w:val="00BB3F86"/>
    <w:rsid w:val="00BC1F2C"/>
    <w:rsid w:val="00BC479F"/>
    <w:rsid w:val="00BC7B77"/>
    <w:rsid w:val="00BD4D2D"/>
    <w:rsid w:val="00BE51AA"/>
    <w:rsid w:val="00BF5560"/>
    <w:rsid w:val="00BF7284"/>
    <w:rsid w:val="00C14402"/>
    <w:rsid w:val="00C2085C"/>
    <w:rsid w:val="00C232E8"/>
    <w:rsid w:val="00C25CE3"/>
    <w:rsid w:val="00C36DA3"/>
    <w:rsid w:val="00C524DD"/>
    <w:rsid w:val="00C849E4"/>
    <w:rsid w:val="00C853A2"/>
    <w:rsid w:val="00C94D6D"/>
    <w:rsid w:val="00CA1D8E"/>
    <w:rsid w:val="00CA42A2"/>
    <w:rsid w:val="00CB0045"/>
    <w:rsid w:val="00CD1456"/>
    <w:rsid w:val="00CD1BFF"/>
    <w:rsid w:val="00CD20DC"/>
    <w:rsid w:val="00CE7A05"/>
    <w:rsid w:val="00CF5BDC"/>
    <w:rsid w:val="00D01C86"/>
    <w:rsid w:val="00D253CD"/>
    <w:rsid w:val="00D3738C"/>
    <w:rsid w:val="00D373CE"/>
    <w:rsid w:val="00D37A13"/>
    <w:rsid w:val="00D474BB"/>
    <w:rsid w:val="00D603C8"/>
    <w:rsid w:val="00D60F60"/>
    <w:rsid w:val="00D66F93"/>
    <w:rsid w:val="00D7047B"/>
    <w:rsid w:val="00D76421"/>
    <w:rsid w:val="00D81E81"/>
    <w:rsid w:val="00D83F32"/>
    <w:rsid w:val="00DC2CD1"/>
    <w:rsid w:val="00DF70FE"/>
    <w:rsid w:val="00E00DDE"/>
    <w:rsid w:val="00E02AC2"/>
    <w:rsid w:val="00E134E3"/>
    <w:rsid w:val="00E246CB"/>
    <w:rsid w:val="00E424E9"/>
    <w:rsid w:val="00E42578"/>
    <w:rsid w:val="00E5170F"/>
    <w:rsid w:val="00E52397"/>
    <w:rsid w:val="00E535C2"/>
    <w:rsid w:val="00E6408F"/>
    <w:rsid w:val="00E67DD2"/>
    <w:rsid w:val="00E75473"/>
    <w:rsid w:val="00E76F44"/>
    <w:rsid w:val="00E8783B"/>
    <w:rsid w:val="00E91FB3"/>
    <w:rsid w:val="00EA3188"/>
    <w:rsid w:val="00EA34E4"/>
    <w:rsid w:val="00EB0454"/>
    <w:rsid w:val="00EB15FC"/>
    <w:rsid w:val="00EB43F1"/>
    <w:rsid w:val="00EC7BF8"/>
    <w:rsid w:val="00ED5E9F"/>
    <w:rsid w:val="00ED5EDE"/>
    <w:rsid w:val="00ED6204"/>
    <w:rsid w:val="00EF1CE4"/>
    <w:rsid w:val="00F00BC1"/>
    <w:rsid w:val="00F01696"/>
    <w:rsid w:val="00F0559B"/>
    <w:rsid w:val="00F16FC1"/>
    <w:rsid w:val="00F220C4"/>
    <w:rsid w:val="00F238B6"/>
    <w:rsid w:val="00F30021"/>
    <w:rsid w:val="00F31A8F"/>
    <w:rsid w:val="00F35484"/>
    <w:rsid w:val="00F4025E"/>
    <w:rsid w:val="00F67999"/>
    <w:rsid w:val="00F67CD2"/>
    <w:rsid w:val="00F81F5D"/>
    <w:rsid w:val="00F83882"/>
    <w:rsid w:val="00F843D1"/>
    <w:rsid w:val="00FB33A2"/>
    <w:rsid w:val="00FB4696"/>
    <w:rsid w:val="00FC373E"/>
    <w:rsid w:val="00FC48EB"/>
    <w:rsid w:val="00FC7D82"/>
    <w:rsid w:val="00FD30B0"/>
    <w:rsid w:val="00FE3C1B"/>
    <w:rsid w:val="00FE5587"/>
    <w:rsid w:val="00FE64C4"/>
    <w:rsid w:val="00FF3832"/>
    <w:rsid w:val="00FF4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5BD78"/>
  <w15:docId w15:val="{835A26A2-25F0-42AE-BE23-89EAC98B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56C62"/>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856C62"/>
    <w:rPr>
      <w:rFonts w:ascii="Times New Roman" w:hAnsi="Times New Roman"/>
      <w:sz w:val="20"/>
      <w:szCs w:val="20"/>
    </w:rPr>
  </w:style>
  <w:style w:type="paragraph" w:styleId="ListParagraph">
    <w:name w:val="List Paragraph"/>
    <w:basedOn w:val="Normal"/>
    <w:uiPriority w:val="34"/>
    <w:qFormat/>
    <w:rsid w:val="00ED6204"/>
    <w:pPr>
      <w:ind w:left="720"/>
      <w:contextualSpacing/>
    </w:pPr>
  </w:style>
  <w:style w:type="character" w:styleId="Emphasis">
    <w:name w:val="Emphasis"/>
    <w:basedOn w:val="DefaultParagraphFont"/>
    <w:uiPriority w:val="20"/>
    <w:qFormat/>
    <w:rsid w:val="00B26028"/>
    <w:rPr>
      <w:i/>
      <w:iCs/>
    </w:rPr>
  </w:style>
  <w:style w:type="character" w:styleId="Hyperlink">
    <w:name w:val="Hyperlink"/>
    <w:basedOn w:val="DefaultParagraphFont"/>
    <w:uiPriority w:val="99"/>
    <w:unhideWhenUsed/>
    <w:rsid w:val="004E7BD4"/>
    <w:rPr>
      <w:color w:val="0000FF"/>
      <w:u w:val="single"/>
    </w:rPr>
  </w:style>
  <w:style w:type="paragraph" w:styleId="Header">
    <w:name w:val="header"/>
    <w:basedOn w:val="Normal"/>
    <w:link w:val="HeaderChar"/>
    <w:uiPriority w:val="99"/>
    <w:unhideWhenUsed/>
    <w:rsid w:val="00FE6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C4"/>
  </w:style>
  <w:style w:type="paragraph" w:styleId="Footer">
    <w:name w:val="footer"/>
    <w:basedOn w:val="Normal"/>
    <w:link w:val="FooterChar"/>
    <w:uiPriority w:val="99"/>
    <w:unhideWhenUsed/>
    <w:rsid w:val="00FE6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C4"/>
  </w:style>
  <w:style w:type="table" w:styleId="TableGrid">
    <w:name w:val="Table Grid"/>
    <w:basedOn w:val="TableNormal"/>
    <w:uiPriority w:val="39"/>
    <w:rsid w:val="0076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740904"/>
    <w:rPr>
      <w:vertAlign w:val="superscript"/>
    </w:rPr>
  </w:style>
  <w:style w:type="paragraph" w:styleId="NormalWeb">
    <w:name w:val="Normal (Web)"/>
    <w:basedOn w:val="Normal"/>
    <w:uiPriority w:val="99"/>
    <w:unhideWhenUsed/>
    <w:rsid w:val="00F843D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3973C9"/>
    <w:rPr>
      <w:b/>
      <w:bCs/>
    </w:rPr>
  </w:style>
  <w:style w:type="character" w:styleId="HTMLCite">
    <w:name w:val="HTML Cite"/>
    <w:basedOn w:val="DefaultParagraphFont"/>
    <w:uiPriority w:val="99"/>
    <w:semiHidden/>
    <w:unhideWhenUsed/>
    <w:rsid w:val="008828B3"/>
    <w:rPr>
      <w:i/>
      <w:iCs/>
    </w:rPr>
  </w:style>
  <w:style w:type="character" w:customStyle="1" w:styleId="UnresolvedMention1">
    <w:name w:val="Unresolved Mention1"/>
    <w:basedOn w:val="DefaultParagraphFont"/>
    <w:uiPriority w:val="99"/>
    <w:semiHidden/>
    <w:unhideWhenUsed/>
    <w:rsid w:val="008828B3"/>
    <w:rPr>
      <w:color w:val="808080"/>
      <w:shd w:val="clear" w:color="auto" w:fill="E6E6E6"/>
    </w:rPr>
  </w:style>
  <w:style w:type="character" w:styleId="FollowedHyperlink">
    <w:name w:val="FollowedHyperlink"/>
    <w:basedOn w:val="DefaultParagraphFont"/>
    <w:uiPriority w:val="99"/>
    <w:semiHidden/>
    <w:unhideWhenUsed/>
    <w:rsid w:val="008828B3"/>
    <w:rPr>
      <w:color w:val="954F72" w:themeColor="followedHyperlink"/>
      <w:u w:val="single"/>
    </w:rPr>
  </w:style>
  <w:style w:type="paragraph" w:styleId="BalloonText">
    <w:name w:val="Balloon Text"/>
    <w:basedOn w:val="Normal"/>
    <w:link w:val="BalloonTextChar"/>
    <w:uiPriority w:val="99"/>
    <w:semiHidden/>
    <w:unhideWhenUsed/>
    <w:rsid w:val="009C2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9368">
      <w:bodyDiv w:val="1"/>
      <w:marLeft w:val="0"/>
      <w:marRight w:val="0"/>
      <w:marTop w:val="0"/>
      <w:marBottom w:val="0"/>
      <w:divBdr>
        <w:top w:val="none" w:sz="0" w:space="0" w:color="auto"/>
        <w:left w:val="none" w:sz="0" w:space="0" w:color="auto"/>
        <w:bottom w:val="none" w:sz="0" w:space="0" w:color="auto"/>
        <w:right w:val="none" w:sz="0" w:space="0" w:color="auto"/>
      </w:divBdr>
    </w:div>
    <w:div w:id="167688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johnkay.com/2007/08/01/failure-market-failure/"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NZ\IEA\Scandi%20data%202.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NZ\IEA\Scandi%20data%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NZ\IEA\Scandi%20data%20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GB" b="0"/>
              <a:t>Number of distributors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F0"/>
            </a:solidFill>
            <a:ln>
              <a:noFill/>
            </a:ln>
            <a:effectLst/>
          </c:spPr>
          <c:invertIfNegative val="0"/>
          <c:cat>
            <c:strRef>
              <c:f>Sheet1!$A$24:$A$28</c:f>
              <c:strCache>
                <c:ptCount val="5"/>
                <c:pt idx="0">
                  <c:v>DK</c:v>
                </c:pt>
                <c:pt idx="1">
                  <c:v>FIN</c:v>
                </c:pt>
                <c:pt idx="2">
                  <c:v>NOR</c:v>
                </c:pt>
                <c:pt idx="3">
                  <c:v>SWE</c:v>
                </c:pt>
                <c:pt idx="4">
                  <c:v>NZ</c:v>
                </c:pt>
              </c:strCache>
            </c:strRef>
          </c:cat>
          <c:val>
            <c:numRef>
              <c:f>Sheet1!$B$24:$B$28</c:f>
              <c:numCache>
                <c:formatCode>General</c:formatCode>
                <c:ptCount val="5"/>
                <c:pt idx="0">
                  <c:v>76</c:v>
                </c:pt>
                <c:pt idx="1">
                  <c:v>85</c:v>
                </c:pt>
                <c:pt idx="2">
                  <c:v>150</c:v>
                </c:pt>
                <c:pt idx="3">
                  <c:v>170</c:v>
                </c:pt>
                <c:pt idx="4">
                  <c:v>29</c:v>
                </c:pt>
              </c:numCache>
            </c:numRef>
          </c:val>
          <c:extLst>
            <c:ext xmlns:c16="http://schemas.microsoft.com/office/drawing/2014/chart" uri="{C3380CC4-5D6E-409C-BE32-E72D297353CC}">
              <c16:uniqueId val="{00000000-58E5-450C-97E3-A0E17AEB9566}"/>
            </c:ext>
          </c:extLst>
        </c:ser>
        <c:dLbls>
          <c:showLegendKey val="0"/>
          <c:showVal val="0"/>
          <c:showCatName val="0"/>
          <c:showSerName val="0"/>
          <c:showPercent val="0"/>
          <c:showBubbleSize val="0"/>
        </c:dLbls>
        <c:gapWidth val="100"/>
        <c:overlap val="-24"/>
        <c:axId val="-2110446104"/>
        <c:axId val="-2110226824"/>
      </c:barChart>
      <c:catAx>
        <c:axId val="-211044610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10226824"/>
        <c:crosses val="autoZero"/>
        <c:auto val="1"/>
        <c:lblAlgn val="ctr"/>
        <c:lblOffset val="100"/>
        <c:noMultiLvlLbl val="0"/>
      </c:catAx>
      <c:valAx>
        <c:axId val="-211022682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110446104"/>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Ratio</a:t>
            </a:r>
            <a:r>
              <a:rPr lang="en-GB" baseline="0"/>
              <a:t> of small to large distributors</a:t>
            </a:r>
            <a:endParaRPr lang="en-GB"/>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F0"/>
            </a:solidFill>
            <a:ln w="9525" cap="flat" cmpd="sng" algn="ctr">
              <a:solidFill>
                <a:schemeClr val="accent1">
                  <a:shade val="95000"/>
                </a:schemeClr>
              </a:solidFill>
              <a:round/>
            </a:ln>
            <a:effectLst/>
          </c:spPr>
          <c:invertIfNegative val="0"/>
          <c:cat>
            <c:strRef>
              <c:f>Sheet1!$A$30:$A$34</c:f>
              <c:strCache>
                <c:ptCount val="5"/>
                <c:pt idx="0">
                  <c:v>DK</c:v>
                </c:pt>
                <c:pt idx="1">
                  <c:v>FIN</c:v>
                </c:pt>
                <c:pt idx="2">
                  <c:v>NOR</c:v>
                </c:pt>
                <c:pt idx="3">
                  <c:v>SWE</c:v>
                </c:pt>
                <c:pt idx="4">
                  <c:v>NZ</c:v>
                </c:pt>
              </c:strCache>
            </c:strRef>
          </c:cat>
          <c:val>
            <c:numRef>
              <c:f>Sheet1!$B$30:$B$34</c:f>
              <c:numCache>
                <c:formatCode>General</c:formatCode>
                <c:ptCount val="5"/>
                <c:pt idx="0">
                  <c:v>11.7</c:v>
                </c:pt>
                <c:pt idx="1">
                  <c:v>11.1</c:v>
                </c:pt>
                <c:pt idx="2">
                  <c:v>20.399999999999999</c:v>
                </c:pt>
                <c:pt idx="3">
                  <c:v>27.3</c:v>
                </c:pt>
                <c:pt idx="4">
                  <c:v>8.7000000000000011</c:v>
                </c:pt>
              </c:numCache>
            </c:numRef>
          </c:val>
          <c:extLst>
            <c:ext xmlns:c16="http://schemas.microsoft.com/office/drawing/2014/chart" uri="{C3380CC4-5D6E-409C-BE32-E72D297353CC}">
              <c16:uniqueId val="{00000000-F48D-4887-B9A4-A324A219D569}"/>
            </c:ext>
          </c:extLst>
        </c:ser>
        <c:dLbls>
          <c:showLegendKey val="0"/>
          <c:showVal val="0"/>
          <c:showCatName val="0"/>
          <c:showSerName val="0"/>
          <c:showPercent val="0"/>
          <c:showBubbleSize val="0"/>
        </c:dLbls>
        <c:gapWidth val="100"/>
        <c:overlap val="-24"/>
        <c:axId val="-2113223560"/>
        <c:axId val="-2112415704"/>
      </c:barChart>
      <c:catAx>
        <c:axId val="-2113223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12415704"/>
        <c:crosses val="autoZero"/>
        <c:auto val="1"/>
        <c:lblAlgn val="ctr"/>
        <c:lblOffset val="100"/>
        <c:noMultiLvlLbl val="0"/>
      </c:catAx>
      <c:valAx>
        <c:axId val="-2112415704"/>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13223560"/>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Average connections</a:t>
            </a:r>
            <a:r>
              <a:rPr lang="en-GB" baseline="0"/>
              <a:t> per EDB (thousands)</a:t>
            </a:r>
            <a:endParaRPr lang="en-GB"/>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manualLayout>
          <c:layoutTarget val="inner"/>
          <c:xMode val="edge"/>
          <c:yMode val="edge"/>
          <c:x val="8.9260726619698805E-2"/>
          <c:y val="0.17171296296296301"/>
          <c:w val="0.88266909794170501"/>
          <c:h val="0.720887649460484"/>
        </c:manualLayout>
      </c:layout>
      <c:barChart>
        <c:barDir val="col"/>
        <c:grouping val="clustered"/>
        <c:varyColors val="0"/>
        <c:ser>
          <c:idx val="0"/>
          <c:order val="0"/>
          <c:spPr>
            <a:solidFill>
              <a:srgbClr val="00B0F0"/>
            </a:solidFill>
            <a:ln w="9525" cap="flat" cmpd="sng" algn="ctr">
              <a:solidFill>
                <a:schemeClr val="accent1">
                  <a:shade val="95000"/>
                </a:schemeClr>
              </a:solidFill>
              <a:round/>
            </a:ln>
            <a:effectLst/>
          </c:spPr>
          <c:invertIfNegative val="0"/>
          <c:cat>
            <c:strRef>
              <c:f>Sheet1!$A$11:$A$15</c:f>
              <c:strCache>
                <c:ptCount val="5"/>
                <c:pt idx="0">
                  <c:v>DK</c:v>
                </c:pt>
                <c:pt idx="1">
                  <c:v>FIN</c:v>
                </c:pt>
                <c:pt idx="2">
                  <c:v>NOR</c:v>
                </c:pt>
                <c:pt idx="3">
                  <c:v>SWE</c:v>
                </c:pt>
                <c:pt idx="4">
                  <c:v>NZ</c:v>
                </c:pt>
              </c:strCache>
            </c:strRef>
          </c:cat>
          <c:val>
            <c:numRef>
              <c:f>Sheet1!$B$11:$B$15</c:f>
              <c:numCache>
                <c:formatCode>0.0</c:formatCode>
                <c:ptCount val="5"/>
                <c:pt idx="0">
                  <c:v>43.118421052631568</c:v>
                </c:pt>
                <c:pt idx="1">
                  <c:v>38.931129411764701</c:v>
                </c:pt>
                <c:pt idx="2">
                  <c:v>19.556000000000001</c:v>
                </c:pt>
                <c:pt idx="3">
                  <c:v>31.22941176470588</c:v>
                </c:pt>
                <c:pt idx="4">
                  <c:v>80.543620689655199</c:v>
                </c:pt>
              </c:numCache>
            </c:numRef>
          </c:val>
          <c:extLst>
            <c:ext xmlns:c16="http://schemas.microsoft.com/office/drawing/2014/chart" uri="{C3380CC4-5D6E-409C-BE32-E72D297353CC}">
              <c16:uniqueId val="{00000000-0F4E-4E58-BCA7-345621DF1F6C}"/>
            </c:ext>
          </c:extLst>
        </c:ser>
        <c:dLbls>
          <c:showLegendKey val="0"/>
          <c:showVal val="0"/>
          <c:showCatName val="0"/>
          <c:showSerName val="0"/>
          <c:showPercent val="0"/>
          <c:showBubbleSize val="0"/>
        </c:dLbls>
        <c:gapWidth val="100"/>
        <c:overlap val="-24"/>
        <c:axId val="-2124887016"/>
        <c:axId val="-2108296792"/>
      </c:barChart>
      <c:catAx>
        <c:axId val="-2124887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08296792"/>
        <c:crosses val="autoZero"/>
        <c:auto val="1"/>
        <c:lblAlgn val="ctr"/>
        <c:lblOffset val="100"/>
        <c:noMultiLvlLbl val="0"/>
      </c:catAx>
      <c:valAx>
        <c:axId val="-2108296792"/>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24887016"/>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Land area per EDB (sqkm)</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B0F0"/>
            </a:solidFill>
            <a:ln w="9525" cap="flat" cmpd="sng" algn="ctr">
              <a:solidFill>
                <a:schemeClr val="accent1">
                  <a:shade val="95000"/>
                </a:schemeClr>
              </a:solidFill>
              <a:round/>
            </a:ln>
            <a:effectLst/>
          </c:spPr>
          <c:invertIfNegative val="0"/>
          <c:cat>
            <c:strRef>
              <c:f>Sheet1!$A$18:$A$22</c:f>
              <c:strCache>
                <c:ptCount val="5"/>
                <c:pt idx="0">
                  <c:v>DK</c:v>
                </c:pt>
                <c:pt idx="1">
                  <c:v>FIN</c:v>
                </c:pt>
                <c:pt idx="2">
                  <c:v>NOR</c:v>
                </c:pt>
                <c:pt idx="3">
                  <c:v>SWE</c:v>
                </c:pt>
                <c:pt idx="4">
                  <c:v>NZ</c:v>
                </c:pt>
              </c:strCache>
            </c:strRef>
          </c:cat>
          <c:val>
            <c:numRef>
              <c:f>Sheet1!$B$18:$B$22</c:f>
              <c:numCache>
                <c:formatCode>0</c:formatCode>
                <c:ptCount val="5"/>
                <c:pt idx="0">
                  <c:v>564.86842105263156</c:v>
                </c:pt>
                <c:pt idx="1">
                  <c:v>3981.4588235294118</c:v>
                </c:pt>
                <c:pt idx="2">
                  <c:v>2568</c:v>
                </c:pt>
                <c:pt idx="3">
                  <c:v>2648.8235294117649</c:v>
                </c:pt>
                <c:pt idx="4">
                  <c:v>9242.1034482758641</c:v>
                </c:pt>
              </c:numCache>
            </c:numRef>
          </c:val>
          <c:extLst>
            <c:ext xmlns:c16="http://schemas.microsoft.com/office/drawing/2014/chart" uri="{C3380CC4-5D6E-409C-BE32-E72D297353CC}">
              <c16:uniqueId val="{00000000-4D39-4B7E-8A11-2181259F5E06}"/>
            </c:ext>
          </c:extLst>
        </c:ser>
        <c:dLbls>
          <c:showLegendKey val="0"/>
          <c:showVal val="0"/>
          <c:showCatName val="0"/>
          <c:showSerName val="0"/>
          <c:showPercent val="0"/>
          <c:showBubbleSize val="0"/>
        </c:dLbls>
        <c:gapWidth val="100"/>
        <c:overlap val="-24"/>
        <c:axId val="-2112386584"/>
        <c:axId val="-2108676056"/>
      </c:barChart>
      <c:catAx>
        <c:axId val="-2112386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08676056"/>
        <c:crosses val="autoZero"/>
        <c:auto val="1"/>
        <c:lblAlgn val="ctr"/>
        <c:lblOffset val="100"/>
        <c:noMultiLvlLbl val="0"/>
      </c:catAx>
      <c:valAx>
        <c:axId val="-2108676056"/>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112386584"/>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1EC7-2484-4570-857A-7ADED66D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8853</Words>
  <Characters>50467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Yarrow</dc:creator>
  <cp:keywords/>
  <dc:description/>
  <cp:lastModifiedBy>Ian llewellyn</cp:lastModifiedBy>
  <cp:revision>2</cp:revision>
  <cp:lastPrinted>2018-03-11T12:11:00Z</cp:lastPrinted>
  <dcterms:created xsi:type="dcterms:W3CDTF">2018-05-24T04:34:00Z</dcterms:created>
  <dcterms:modified xsi:type="dcterms:W3CDTF">2018-05-24T04:34:00Z</dcterms:modified>
</cp:coreProperties>
</file>