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DF0" w:rsidRDefault="001E7DF0" w:rsidP="001E7DF0">
      <w:pPr>
        <w:spacing w:line="252" w:lineRule="auto"/>
        <w:rPr>
          <w:rFonts w:ascii="Arial" w:hAnsi="Arial" w:cs="Arial"/>
          <w:color w:val="1F497D"/>
        </w:rPr>
      </w:pPr>
    </w:p>
    <w:p w:rsidR="001E7DF0" w:rsidRPr="004113B8" w:rsidRDefault="001E7DF0" w:rsidP="001E7DF0">
      <w:pPr>
        <w:spacing w:line="252" w:lineRule="auto"/>
        <w:rPr>
          <w:rFonts w:asciiTheme="minorHAnsi" w:hAnsiTheme="minorHAnsi" w:cstheme="minorBidi"/>
          <w:color w:val="1F497D"/>
          <w:sz w:val="28"/>
          <w:szCs w:val="28"/>
        </w:rPr>
      </w:pPr>
    </w:p>
    <w:p w:rsidR="001E7DF0" w:rsidRPr="004113B8" w:rsidRDefault="004113B8" w:rsidP="001E7DF0">
      <w:pPr>
        <w:spacing w:line="252" w:lineRule="auto"/>
        <w:rPr>
          <w:rFonts w:ascii="Arial" w:hAnsi="Arial" w:cs="Arial"/>
          <w:color w:val="262626"/>
          <w:sz w:val="28"/>
          <w:szCs w:val="28"/>
        </w:rPr>
      </w:pPr>
      <w:r w:rsidRPr="004113B8">
        <w:rPr>
          <w:rFonts w:ascii="Arial" w:hAnsi="Arial" w:cs="Arial"/>
          <w:b/>
          <w:i/>
          <w:color w:val="262626"/>
          <w:sz w:val="28"/>
          <w:szCs w:val="28"/>
        </w:rPr>
        <w:t>Growing Up in New Zealand</w:t>
      </w:r>
      <w:r w:rsidRPr="004113B8">
        <w:rPr>
          <w:rFonts w:ascii="Arial" w:hAnsi="Arial" w:cs="Arial"/>
          <w:color w:val="262626"/>
          <w:sz w:val="28"/>
          <w:szCs w:val="28"/>
        </w:rPr>
        <w:t xml:space="preserve"> </w:t>
      </w:r>
      <w:r w:rsidRPr="004113B8">
        <w:rPr>
          <w:rFonts w:ascii="Arial" w:hAnsi="Arial" w:cs="Arial"/>
          <w:b/>
          <w:color w:val="262626"/>
          <w:sz w:val="28"/>
          <w:szCs w:val="28"/>
        </w:rPr>
        <w:t xml:space="preserve">- </w:t>
      </w:r>
      <w:r w:rsidR="001E7DF0" w:rsidRPr="004113B8">
        <w:rPr>
          <w:rFonts w:ascii="Arial" w:hAnsi="Arial" w:cs="Arial"/>
          <w:b/>
          <w:color w:val="262626"/>
          <w:sz w:val="28"/>
          <w:szCs w:val="28"/>
        </w:rPr>
        <w:t>Q&amp;As</w:t>
      </w:r>
      <w:bookmarkStart w:id="0" w:name="_GoBack"/>
      <w:bookmarkEnd w:id="0"/>
    </w:p>
    <w:p w:rsidR="001E7DF0" w:rsidRDefault="001E7DF0" w:rsidP="001E7DF0">
      <w:pPr>
        <w:spacing w:line="252" w:lineRule="auto"/>
        <w:rPr>
          <w:rFonts w:ascii="Arial" w:hAnsi="Arial" w:cs="Arial"/>
          <w:color w:val="262626"/>
        </w:rPr>
      </w:pPr>
    </w:p>
    <w:p w:rsidR="001E7DF0" w:rsidRDefault="001E7DF0" w:rsidP="001E7DF0">
      <w:pPr>
        <w:spacing w:line="252" w:lineRule="auto"/>
        <w:rPr>
          <w:rFonts w:ascii="Arial" w:hAnsi="Arial" w:cs="Arial"/>
          <w:b/>
          <w:bCs/>
          <w:color w:val="262626"/>
        </w:rPr>
      </w:pPr>
      <w:r>
        <w:rPr>
          <w:rFonts w:ascii="Arial" w:hAnsi="Arial" w:cs="Arial"/>
          <w:b/>
          <w:bCs/>
          <w:color w:val="262626"/>
        </w:rPr>
        <w:t xml:space="preserve">What is </w:t>
      </w:r>
      <w:r>
        <w:rPr>
          <w:rFonts w:ascii="Arial" w:hAnsi="Arial" w:cs="Arial"/>
          <w:b/>
          <w:bCs/>
          <w:i/>
          <w:iCs/>
          <w:color w:val="262626"/>
        </w:rPr>
        <w:t>Growing Up in New Zealand</w:t>
      </w:r>
      <w:r>
        <w:rPr>
          <w:rFonts w:ascii="Arial" w:hAnsi="Arial" w:cs="Arial"/>
          <w:b/>
          <w:bCs/>
          <w:color w:val="262626"/>
        </w:rPr>
        <w:t>?</w:t>
      </w:r>
    </w:p>
    <w:p w:rsidR="001E7DF0" w:rsidRDefault="001E7DF0" w:rsidP="001E7DF0">
      <w:pPr>
        <w:spacing w:line="252" w:lineRule="auto"/>
        <w:rPr>
          <w:rFonts w:ascii="Arial" w:hAnsi="Arial" w:cs="Arial"/>
          <w:color w:val="262626"/>
        </w:rPr>
      </w:pPr>
    </w:p>
    <w:p w:rsidR="001E7DF0" w:rsidRDefault="001E7DF0" w:rsidP="001E7DF0">
      <w:pPr>
        <w:spacing w:line="252" w:lineRule="auto"/>
        <w:rPr>
          <w:rFonts w:ascii="Arial" w:hAnsi="Arial" w:cs="Arial"/>
          <w:color w:val="262626"/>
        </w:rPr>
      </w:pPr>
      <w:r>
        <w:rPr>
          <w:rFonts w:ascii="Arial" w:hAnsi="Arial" w:cs="Arial"/>
          <w:i/>
          <w:iCs/>
          <w:color w:val="262626"/>
        </w:rPr>
        <w:t>Growing Up in New Zealand</w:t>
      </w:r>
      <w:r>
        <w:rPr>
          <w:rFonts w:ascii="Arial" w:hAnsi="Arial" w:cs="Arial"/>
          <w:color w:val="262626"/>
        </w:rPr>
        <w:t xml:space="preserve"> is a contemporary longitudinal study of child development. It has been specifically designed to reflect the diverse lives of children growing up amidst the cultural, economic, societal and technological complexity of 21st century New Zealand.</w:t>
      </w:r>
    </w:p>
    <w:p w:rsidR="001E7DF0" w:rsidRDefault="001E7DF0" w:rsidP="001E7DF0">
      <w:pPr>
        <w:spacing w:line="252" w:lineRule="auto"/>
        <w:rPr>
          <w:rFonts w:ascii="Arial" w:hAnsi="Arial" w:cs="Arial"/>
          <w:color w:val="262626"/>
        </w:rPr>
      </w:pPr>
      <w:r>
        <w:rPr>
          <w:rFonts w:ascii="Arial" w:hAnsi="Arial" w:cs="Arial"/>
          <w:color w:val="262626"/>
        </w:rPr>
        <w:t xml:space="preserve">The study is following a cohort of more than 6,800 children from approximately 12 weeks before birth until at least the age of 21. The study is particularly interested in finding out what works to confer resilience and optimise child development. </w:t>
      </w:r>
    </w:p>
    <w:p w:rsidR="001E7DF0" w:rsidRDefault="001E7DF0" w:rsidP="001E7DF0">
      <w:pPr>
        <w:spacing w:line="252" w:lineRule="auto"/>
        <w:rPr>
          <w:rFonts w:ascii="Arial" w:hAnsi="Arial" w:cs="Arial"/>
          <w:color w:val="262626"/>
        </w:rPr>
      </w:pPr>
    </w:p>
    <w:p w:rsidR="001E7DF0" w:rsidRDefault="001E7DF0" w:rsidP="001E7DF0">
      <w:pPr>
        <w:spacing w:line="252" w:lineRule="auto"/>
        <w:rPr>
          <w:rFonts w:ascii="Arial" w:hAnsi="Arial" w:cs="Arial"/>
          <w:color w:val="262626"/>
        </w:rPr>
      </w:pPr>
      <w:r>
        <w:rPr>
          <w:rFonts w:ascii="Arial" w:hAnsi="Arial" w:cs="Arial"/>
          <w:i/>
          <w:iCs/>
          <w:color w:val="262626"/>
        </w:rPr>
        <w:t>Growing Up in New Zealand</w:t>
      </w:r>
      <w:r>
        <w:rPr>
          <w:rFonts w:ascii="Arial" w:hAnsi="Arial" w:cs="Arial"/>
          <w:color w:val="262626"/>
        </w:rPr>
        <w:t xml:space="preserve"> is headed up by Research Director Associate Professor Susan Morton and Associate Director Professor Cameron Grant.</w:t>
      </w:r>
    </w:p>
    <w:p w:rsidR="001E7DF0" w:rsidRDefault="001E7DF0" w:rsidP="001E7DF0">
      <w:pPr>
        <w:spacing w:line="252" w:lineRule="auto"/>
        <w:rPr>
          <w:rFonts w:ascii="Arial" w:hAnsi="Arial" w:cs="Arial"/>
          <w:color w:val="262626"/>
        </w:rPr>
      </w:pPr>
    </w:p>
    <w:p w:rsidR="001E7DF0" w:rsidRDefault="001E7DF0" w:rsidP="001E7DF0">
      <w:pPr>
        <w:spacing w:line="252" w:lineRule="auto"/>
        <w:rPr>
          <w:rFonts w:ascii="Arial" w:hAnsi="Arial" w:cs="Arial"/>
          <w:b/>
          <w:bCs/>
          <w:color w:val="262626"/>
        </w:rPr>
      </w:pPr>
      <w:r>
        <w:rPr>
          <w:rFonts w:ascii="Arial" w:hAnsi="Arial" w:cs="Arial"/>
          <w:b/>
          <w:bCs/>
          <w:color w:val="262626"/>
        </w:rPr>
        <w:t xml:space="preserve">Who is the </w:t>
      </w:r>
      <w:r>
        <w:rPr>
          <w:rFonts w:ascii="Arial" w:hAnsi="Arial" w:cs="Arial"/>
          <w:b/>
          <w:bCs/>
          <w:i/>
          <w:iCs/>
          <w:color w:val="262626"/>
        </w:rPr>
        <w:t xml:space="preserve">Growing Up in New Zealand </w:t>
      </w:r>
      <w:r>
        <w:rPr>
          <w:rFonts w:ascii="Arial" w:hAnsi="Arial" w:cs="Arial"/>
          <w:b/>
          <w:bCs/>
          <w:color w:val="262626"/>
        </w:rPr>
        <w:t>generation?</w:t>
      </w:r>
    </w:p>
    <w:p w:rsidR="001E7DF0" w:rsidRDefault="001E7DF0" w:rsidP="001E7DF0">
      <w:pPr>
        <w:spacing w:line="252" w:lineRule="auto"/>
        <w:rPr>
          <w:rFonts w:ascii="Arial" w:hAnsi="Arial" w:cs="Arial"/>
          <w:color w:val="262626"/>
        </w:rPr>
      </w:pPr>
    </w:p>
    <w:p w:rsidR="001E7DF0" w:rsidRDefault="001E7DF0" w:rsidP="001E7DF0">
      <w:pPr>
        <w:spacing w:line="252" w:lineRule="auto"/>
        <w:rPr>
          <w:rFonts w:ascii="Arial" w:hAnsi="Arial" w:cs="Arial"/>
          <w:color w:val="262626"/>
        </w:rPr>
      </w:pPr>
      <w:r>
        <w:rPr>
          <w:rFonts w:ascii="Arial" w:hAnsi="Arial" w:cs="Arial"/>
          <w:color w:val="262626"/>
        </w:rPr>
        <w:t xml:space="preserve">The children who comprise the </w:t>
      </w:r>
      <w:r>
        <w:rPr>
          <w:rFonts w:ascii="Arial" w:hAnsi="Arial" w:cs="Arial"/>
          <w:i/>
          <w:iCs/>
          <w:color w:val="262626"/>
        </w:rPr>
        <w:t>Growing Up in New Zealand</w:t>
      </w:r>
      <w:r>
        <w:rPr>
          <w:rFonts w:ascii="Arial" w:hAnsi="Arial" w:cs="Arial"/>
          <w:color w:val="262626"/>
        </w:rPr>
        <w:t xml:space="preserve"> cohort were born in 2008 and 2009 and were recruited from within greater Auckland, Counties </w:t>
      </w:r>
      <w:proofErr w:type="spellStart"/>
      <w:r>
        <w:rPr>
          <w:rFonts w:ascii="Arial" w:hAnsi="Arial" w:cs="Arial"/>
          <w:color w:val="262626"/>
        </w:rPr>
        <w:t>Manukau</w:t>
      </w:r>
      <w:proofErr w:type="spellEnd"/>
      <w:r>
        <w:rPr>
          <w:rFonts w:ascii="Arial" w:hAnsi="Arial" w:cs="Arial"/>
          <w:color w:val="262626"/>
        </w:rPr>
        <w:t xml:space="preserve"> and Waikato District Health Board areas. Children and families generously give their time to the study for free, with data collection waves taking place every two to three years.</w:t>
      </w:r>
    </w:p>
    <w:p w:rsidR="001E7DF0" w:rsidRDefault="001E7DF0" w:rsidP="001E7DF0">
      <w:pPr>
        <w:spacing w:line="252" w:lineRule="auto"/>
        <w:rPr>
          <w:rFonts w:ascii="Arial" w:hAnsi="Arial" w:cs="Arial"/>
          <w:color w:val="262626"/>
        </w:rPr>
      </w:pPr>
    </w:p>
    <w:p w:rsidR="001E7DF0" w:rsidRDefault="001E7DF0" w:rsidP="001E7DF0">
      <w:pPr>
        <w:spacing w:line="252" w:lineRule="auto"/>
        <w:rPr>
          <w:rFonts w:ascii="Arial" w:hAnsi="Arial" w:cs="Arial"/>
          <w:b/>
          <w:bCs/>
          <w:color w:val="262626"/>
        </w:rPr>
      </w:pPr>
      <w:r>
        <w:rPr>
          <w:rFonts w:ascii="Arial" w:hAnsi="Arial" w:cs="Arial"/>
          <w:b/>
          <w:bCs/>
          <w:color w:val="262626"/>
        </w:rPr>
        <w:t>What is a data collection wave?</w:t>
      </w:r>
    </w:p>
    <w:p w:rsidR="001E7DF0" w:rsidRDefault="001E7DF0" w:rsidP="001E7DF0">
      <w:pPr>
        <w:spacing w:line="252" w:lineRule="auto"/>
        <w:rPr>
          <w:rFonts w:ascii="Arial" w:hAnsi="Arial" w:cs="Arial"/>
          <w:color w:val="262626"/>
        </w:rPr>
      </w:pPr>
    </w:p>
    <w:p w:rsidR="001E7DF0" w:rsidRDefault="001E7DF0" w:rsidP="001E7DF0">
      <w:pPr>
        <w:spacing w:line="252" w:lineRule="auto"/>
        <w:rPr>
          <w:rFonts w:ascii="Arial" w:hAnsi="Arial" w:cs="Arial"/>
          <w:color w:val="262626"/>
        </w:rPr>
      </w:pPr>
      <w:r>
        <w:rPr>
          <w:rFonts w:ascii="Arial" w:hAnsi="Arial" w:cs="Arial"/>
          <w:color w:val="262626"/>
        </w:rPr>
        <w:t xml:space="preserve">A data collection wave involves gathering information from the participant children and families. </w:t>
      </w:r>
      <w:r>
        <w:rPr>
          <w:rFonts w:ascii="Arial" w:hAnsi="Arial" w:cs="Arial"/>
          <w:i/>
          <w:iCs/>
          <w:color w:val="262626"/>
        </w:rPr>
        <w:t>Growing Up</w:t>
      </w:r>
      <w:r>
        <w:rPr>
          <w:rFonts w:ascii="Arial" w:hAnsi="Arial" w:cs="Arial"/>
          <w:color w:val="262626"/>
        </w:rPr>
        <w:t xml:space="preserve"> parents were first interviewed before their children were born. A data collection wave takes place every two to three years. </w:t>
      </w:r>
    </w:p>
    <w:p w:rsidR="001E7DF0" w:rsidRDefault="001E7DF0" w:rsidP="001E7DF0">
      <w:pPr>
        <w:spacing w:line="252" w:lineRule="auto"/>
        <w:rPr>
          <w:rFonts w:ascii="Arial" w:hAnsi="Arial" w:cs="Arial"/>
          <w:color w:val="262626"/>
        </w:rPr>
      </w:pPr>
    </w:p>
    <w:p w:rsidR="001E7DF0" w:rsidRDefault="001E7DF0" w:rsidP="001E7DF0">
      <w:pPr>
        <w:spacing w:line="252" w:lineRule="auto"/>
        <w:rPr>
          <w:rFonts w:ascii="Arial" w:hAnsi="Arial" w:cs="Arial"/>
          <w:color w:val="262626"/>
        </w:rPr>
      </w:pPr>
      <w:r>
        <w:rPr>
          <w:rFonts w:ascii="Arial" w:hAnsi="Arial" w:cs="Arial"/>
          <w:color w:val="262626"/>
        </w:rPr>
        <w:t>At each data collection wave, information is collected across six key areas:</w:t>
      </w:r>
    </w:p>
    <w:p w:rsidR="001E7DF0" w:rsidRDefault="001E7DF0" w:rsidP="001E7DF0">
      <w:pPr>
        <w:spacing w:line="252" w:lineRule="auto"/>
        <w:rPr>
          <w:rFonts w:ascii="Arial" w:hAnsi="Arial" w:cs="Arial"/>
          <w:color w:val="262626"/>
        </w:rPr>
      </w:pPr>
    </w:p>
    <w:p w:rsidR="001E7DF0" w:rsidRDefault="001E7DF0" w:rsidP="001E7DF0">
      <w:pPr>
        <w:pStyle w:val="ListParagraph"/>
        <w:numPr>
          <w:ilvl w:val="0"/>
          <w:numId w:val="1"/>
        </w:numPr>
        <w:spacing w:line="252" w:lineRule="auto"/>
        <w:rPr>
          <w:rFonts w:ascii="Arial" w:hAnsi="Arial" w:cs="Arial"/>
          <w:color w:val="262626"/>
        </w:rPr>
      </w:pPr>
      <w:r>
        <w:rPr>
          <w:rFonts w:ascii="Arial" w:hAnsi="Arial" w:cs="Arial"/>
          <w:color w:val="262626"/>
        </w:rPr>
        <w:t>health and wellbeing</w:t>
      </w:r>
    </w:p>
    <w:p w:rsidR="001E7DF0" w:rsidRDefault="001E7DF0" w:rsidP="001E7DF0">
      <w:pPr>
        <w:pStyle w:val="ListParagraph"/>
        <w:numPr>
          <w:ilvl w:val="0"/>
          <w:numId w:val="1"/>
        </w:numPr>
        <w:spacing w:line="252" w:lineRule="auto"/>
        <w:rPr>
          <w:rFonts w:ascii="Arial" w:hAnsi="Arial" w:cs="Arial"/>
          <w:color w:val="262626"/>
        </w:rPr>
      </w:pPr>
      <w:r>
        <w:rPr>
          <w:rFonts w:ascii="Arial" w:hAnsi="Arial" w:cs="Arial"/>
          <w:color w:val="262626"/>
        </w:rPr>
        <w:t>psychosocial and cognitive development</w:t>
      </w:r>
    </w:p>
    <w:p w:rsidR="001E7DF0" w:rsidRDefault="001E7DF0" w:rsidP="001E7DF0">
      <w:pPr>
        <w:pStyle w:val="ListParagraph"/>
        <w:numPr>
          <w:ilvl w:val="0"/>
          <w:numId w:val="1"/>
        </w:numPr>
        <w:spacing w:line="252" w:lineRule="auto"/>
        <w:rPr>
          <w:rFonts w:ascii="Arial" w:hAnsi="Arial" w:cs="Arial"/>
          <w:color w:val="262626"/>
        </w:rPr>
      </w:pPr>
      <w:r>
        <w:rPr>
          <w:rFonts w:ascii="Arial" w:hAnsi="Arial" w:cs="Arial"/>
          <w:color w:val="262626"/>
        </w:rPr>
        <w:t>education</w:t>
      </w:r>
    </w:p>
    <w:p w:rsidR="001E7DF0" w:rsidRDefault="001E7DF0" w:rsidP="001E7DF0">
      <w:pPr>
        <w:pStyle w:val="ListParagraph"/>
        <w:numPr>
          <w:ilvl w:val="0"/>
          <w:numId w:val="1"/>
        </w:numPr>
        <w:spacing w:line="252" w:lineRule="auto"/>
        <w:rPr>
          <w:rFonts w:ascii="Arial" w:hAnsi="Arial" w:cs="Arial"/>
          <w:color w:val="262626"/>
        </w:rPr>
      </w:pPr>
      <w:r>
        <w:rPr>
          <w:rFonts w:ascii="Arial" w:hAnsi="Arial" w:cs="Arial"/>
          <w:color w:val="262626"/>
        </w:rPr>
        <w:t>family/</w:t>
      </w:r>
      <w:proofErr w:type="spellStart"/>
      <w:r>
        <w:rPr>
          <w:rFonts w:ascii="Arial" w:hAnsi="Arial" w:cs="Arial"/>
          <w:color w:val="262626"/>
        </w:rPr>
        <w:t>whānau</w:t>
      </w:r>
      <w:proofErr w:type="spellEnd"/>
    </w:p>
    <w:p w:rsidR="001E7DF0" w:rsidRDefault="001E7DF0" w:rsidP="001E7DF0">
      <w:pPr>
        <w:pStyle w:val="ListParagraph"/>
        <w:numPr>
          <w:ilvl w:val="0"/>
          <w:numId w:val="1"/>
        </w:numPr>
        <w:spacing w:line="252" w:lineRule="auto"/>
        <w:rPr>
          <w:rFonts w:ascii="Arial" w:hAnsi="Arial" w:cs="Arial"/>
          <w:color w:val="262626"/>
        </w:rPr>
      </w:pPr>
      <w:r>
        <w:rPr>
          <w:rFonts w:ascii="Arial" w:hAnsi="Arial" w:cs="Arial"/>
          <w:color w:val="262626"/>
        </w:rPr>
        <w:t>culture and identity</w:t>
      </w:r>
    </w:p>
    <w:p w:rsidR="001E7DF0" w:rsidRDefault="001E7DF0" w:rsidP="001E7DF0">
      <w:pPr>
        <w:pStyle w:val="ListParagraph"/>
        <w:numPr>
          <w:ilvl w:val="0"/>
          <w:numId w:val="1"/>
        </w:numPr>
        <w:spacing w:line="252" w:lineRule="auto"/>
        <w:rPr>
          <w:rFonts w:ascii="Arial" w:hAnsi="Arial" w:cs="Arial"/>
          <w:color w:val="262626"/>
        </w:rPr>
      </w:pPr>
      <w:proofErr w:type="gramStart"/>
      <w:r>
        <w:rPr>
          <w:rFonts w:ascii="Arial" w:hAnsi="Arial" w:cs="Arial"/>
          <w:color w:val="262626"/>
        </w:rPr>
        <w:t>societal</w:t>
      </w:r>
      <w:proofErr w:type="gramEnd"/>
      <w:r>
        <w:rPr>
          <w:rFonts w:ascii="Arial" w:hAnsi="Arial" w:cs="Arial"/>
          <w:color w:val="262626"/>
        </w:rPr>
        <w:t xml:space="preserve"> context and neighbourhood environment.</w:t>
      </w:r>
    </w:p>
    <w:p w:rsidR="001E7DF0" w:rsidRDefault="001E7DF0" w:rsidP="001E7DF0">
      <w:pPr>
        <w:spacing w:line="252" w:lineRule="auto"/>
        <w:rPr>
          <w:rFonts w:ascii="Arial" w:hAnsi="Arial" w:cs="Arial"/>
          <w:color w:val="262626"/>
        </w:rPr>
      </w:pPr>
    </w:p>
    <w:p w:rsidR="001E7DF0" w:rsidRDefault="001E7DF0" w:rsidP="001E7DF0">
      <w:pPr>
        <w:spacing w:line="252" w:lineRule="auto"/>
        <w:rPr>
          <w:rFonts w:ascii="Arial" w:hAnsi="Arial" w:cs="Arial"/>
          <w:color w:val="262626"/>
        </w:rPr>
      </w:pPr>
      <w:r>
        <w:rPr>
          <w:rFonts w:ascii="Arial" w:hAnsi="Arial" w:cs="Arial"/>
          <w:color w:val="262626"/>
        </w:rPr>
        <w:t xml:space="preserve">For each family involved, data collection to date has involved: </w:t>
      </w:r>
    </w:p>
    <w:p w:rsidR="001E7DF0" w:rsidRDefault="001E7DF0" w:rsidP="001E7DF0">
      <w:pPr>
        <w:spacing w:line="252" w:lineRule="auto"/>
        <w:rPr>
          <w:rFonts w:ascii="Arial" w:hAnsi="Arial" w:cs="Arial"/>
          <w:color w:val="262626"/>
        </w:rPr>
      </w:pPr>
    </w:p>
    <w:p w:rsidR="001E7DF0" w:rsidRDefault="001E7DF0" w:rsidP="001E7DF0">
      <w:pPr>
        <w:pStyle w:val="ListParagraph"/>
        <w:numPr>
          <w:ilvl w:val="0"/>
          <w:numId w:val="2"/>
        </w:numPr>
        <w:spacing w:line="252" w:lineRule="auto"/>
        <w:rPr>
          <w:rFonts w:ascii="Arial" w:hAnsi="Arial" w:cs="Arial"/>
          <w:color w:val="262626"/>
        </w:rPr>
      </w:pPr>
      <w:r>
        <w:rPr>
          <w:rFonts w:ascii="Arial" w:hAnsi="Arial" w:cs="Arial"/>
          <w:color w:val="262626"/>
        </w:rPr>
        <w:t xml:space="preserve">eight face-to-face interviews </w:t>
      </w:r>
    </w:p>
    <w:p w:rsidR="001E7DF0" w:rsidRDefault="001E7DF0" w:rsidP="001E7DF0">
      <w:pPr>
        <w:pStyle w:val="ListParagraph"/>
        <w:numPr>
          <w:ilvl w:val="0"/>
          <w:numId w:val="2"/>
        </w:numPr>
        <w:spacing w:line="252" w:lineRule="auto"/>
        <w:rPr>
          <w:rFonts w:ascii="Arial" w:hAnsi="Arial" w:cs="Arial"/>
          <w:color w:val="262626"/>
        </w:rPr>
      </w:pPr>
      <w:r>
        <w:rPr>
          <w:rFonts w:ascii="Arial" w:hAnsi="Arial" w:cs="Arial"/>
          <w:color w:val="262626"/>
        </w:rPr>
        <w:t xml:space="preserve">six telephone interviews, and </w:t>
      </w:r>
    </w:p>
    <w:p w:rsidR="001E7DF0" w:rsidRDefault="001E7DF0" w:rsidP="001E7DF0">
      <w:pPr>
        <w:pStyle w:val="ListParagraph"/>
        <w:numPr>
          <w:ilvl w:val="0"/>
          <w:numId w:val="2"/>
        </w:numPr>
        <w:spacing w:line="252" w:lineRule="auto"/>
        <w:rPr>
          <w:rFonts w:ascii="Arial" w:hAnsi="Arial" w:cs="Arial"/>
          <w:color w:val="262626"/>
        </w:rPr>
      </w:pPr>
      <w:proofErr w:type="gramStart"/>
      <w:r>
        <w:rPr>
          <w:rFonts w:ascii="Arial" w:hAnsi="Arial" w:cs="Arial"/>
          <w:color w:val="262626"/>
        </w:rPr>
        <w:t>two</w:t>
      </w:r>
      <w:proofErr w:type="gramEnd"/>
      <w:r>
        <w:rPr>
          <w:rFonts w:ascii="Arial" w:hAnsi="Arial" w:cs="Arial"/>
          <w:color w:val="262626"/>
        </w:rPr>
        <w:t xml:space="preserve"> web-based interviews.</w:t>
      </w:r>
    </w:p>
    <w:p w:rsidR="001E7DF0" w:rsidRDefault="001E7DF0" w:rsidP="001E7DF0">
      <w:pPr>
        <w:spacing w:line="252" w:lineRule="auto"/>
        <w:rPr>
          <w:rFonts w:ascii="Arial" w:hAnsi="Arial" w:cs="Arial"/>
          <w:color w:val="262626"/>
        </w:rPr>
      </w:pPr>
    </w:p>
    <w:p w:rsidR="001E7DF0" w:rsidRDefault="001E7DF0" w:rsidP="001E7DF0">
      <w:pPr>
        <w:spacing w:line="252" w:lineRule="auto"/>
        <w:rPr>
          <w:rFonts w:ascii="Arial" w:hAnsi="Arial" w:cs="Arial"/>
          <w:color w:val="262626"/>
        </w:rPr>
      </w:pPr>
      <w:r>
        <w:rPr>
          <w:rFonts w:ascii="Arial" w:hAnsi="Arial" w:cs="Arial"/>
          <w:color w:val="262626"/>
        </w:rPr>
        <w:t>Each data collection wave provides a snapshot of a single point in time. Each data collection wave is also carefully designed to fit together with what has been gathered before and what will be gathered at the next collection. This is what aids understanding of the developmental pathways children follow and how what happens in early life can influence the outcomes we see in adulthood.</w:t>
      </w:r>
    </w:p>
    <w:p w:rsidR="001E7DF0" w:rsidRDefault="001E7DF0" w:rsidP="001E7DF0">
      <w:pPr>
        <w:spacing w:line="252" w:lineRule="auto"/>
        <w:rPr>
          <w:rFonts w:ascii="Arial" w:hAnsi="Arial" w:cs="Arial"/>
          <w:color w:val="262626"/>
        </w:rPr>
      </w:pPr>
    </w:p>
    <w:p w:rsidR="001E7DF0" w:rsidRDefault="001E7DF0" w:rsidP="001E7DF0">
      <w:pPr>
        <w:spacing w:line="252" w:lineRule="auto"/>
        <w:rPr>
          <w:rFonts w:ascii="Arial" w:hAnsi="Arial" w:cs="Arial"/>
          <w:b/>
          <w:bCs/>
          <w:color w:val="262626"/>
        </w:rPr>
      </w:pPr>
    </w:p>
    <w:p w:rsidR="001E7DF0" w:rsidRDefault="001E7DF0" w:rsidP="001E7DF0">
      <w:pPr>
        <w:spacing w:line="252" w:lineRule="auto"/>
        <w:rPr>
          <w:rFonts w:ascii="Arial" w:hAnsi="Arial" w:cs="Arial"/>
          <w:b/>
          <w:bCs/>
          <w:color w:val="262626"/>
        </w:rPr>
      </w:pPr>
    </w:p>
    <w:p w:rsidR="001E7DF0" w:rsidRDefault="001E7DF0" w:rsidP="001E7DF0">
      <w:pPr>
        <w:spacing w:line="252" w:lineRule="auto"/>
        <w:rPr>
          <w:rFonts w:ascii="Arial" w:hAnsi="Arial" w:cs="Arial"/>
          <w:b/>
          <w:bCs/>
          <w:color w:val="262626"/>
        </w:rPr>
      </w:pPr>
    </w:p>
    <w:p w:rsidR="001E7DF0" w:rsidRDefault="001E7DF0" w:rsidP="001E7DF0">
      <w:pPr>
        <w:spacing w:line="252" w:lineRule="auto"/>
        <w:rPr>
          <w:rFonts w:ascii="Arial" w:hAnsi="Arial" w:cs="Arial"/>
          <w:b/>
          <w:bCs/>
          <w:color w:val="262626"/>
        </w:rPr>
      </w:pPr>
      <w:r>
        <w:rPr>
          <w:rFonts w:ascii="Arial" w:hAnsi="Arial" w:cs="Arial"/>
          <w:b/>
          <w:bCs/>
          <w:color w:val="262626"/>
        </w:rPr>
        <w:t>What has the study found out so far?</w:t>
      </w:r>
    </w:p>
    <w:p w:rsidR="001E7DF0" w:rsidRDefault="001E7DF0" w:rsidP="001E7DF0">
      <w:pPr>
        <w:spacing w:line="252" w:lineRule="auto"/>
        <w:rPr>
          <w:rFonts w:ascii="Arial" w:hAnsi="Arial" w:cs="Arial"/>
          <w:color w:val="262626"/>
        </w:rPr>
      </w:pPr>
    </w:p>
    <w:p w:rsidR="001E7DF0" w:rsidRDefault="001E7DF0" w:rsidP="001E7DF0">
      <w:pPr>
        <w:spacing w:line="252" w:lineRule="auto"/>
        <w:rPr>
          <w:rFonts w:ascii="Arial" w:hAnsi="Arial" w:cs="Arial"/>
          <w:color w:val="262626"/>
        </w:rPr>
      </w:pPr>
      <w:r>
        <w:rPr>
          <w:rFonts w:ascii="Arial" w:hAnsi="Arial" w:cs="Arial"/>
          <w:color w:val="262626"/>
        </w:rPr>
        <w:t xml:space="preserve">Information from </w:t>
      </w:r>
      <w:r>
        <w:rPr>
          <w:rFonts w:ascii="Arial" w:hAnsi="Arial" w:cs="Arial"/>
          <w:i/>
          <w:iCs/>
          <w:color w:val="262626"/>
        </w:rPr>
        <w:t>Growing Up in New Zealand</w:t>
      </w:r>
      <w:r>
        <w:rPr>
          <w:rFonts w:ascii="Arial" w:hAnsi="Arial" w:cs="Arial"/>
          <w:color w:val="262626"/>
        </w:rPr>
        <w:t xml:space="preserve"> has provided insights into a diverse range of areas such as paid parental leave, immunisation, family housing and mobility, household safety, participation in Early Childhood Education and pre- and post-natal depression among fathers. Growing Up in New Zealand’s newest report is due to be released mid-year. </w:t>
      </w:r>
    </w:p>
    <w:p w:rsidR="001E7DF0" w:rsidRDefault="001E7DF0" w:rsidP="001E7DF0">
      <w:pPr>
        <w:spacing w:line="252" w:lineRule="auto"/>
        <w:rPr>
          <w:rFonts w:ascii="Arial" w:hAnsi="Arial" w:cs="Arial"/>
          <w:i/>
          <w:iCs/>
          <w:color w:val="262626"/>
        </w:rPr>
      </w:pPr>
    </w:p>
    <w:p w:rsidR="001E7DF0" w:rsidRDefault="001E7DF0" w:rsidP="001E7DF0">
      <w:pPr>
        <w:spacing w:line="252" w:lineRule="auto"/>
        <w:rPr>
          <w:rFonts w:ascii="Arial" w:hAnsi="Arial" w:cs="Arial"/>
          <w:color w:val="262626"/>
        </w:rPr>
      </w:pPr>
      <w:r>
        <w:rPr>
          <w:rFonts w:ascii="Arial" w:hAnsi="Arial" w:cs="Arial"/>
          <w:i/>
          <w:iCs/>
          <w:color w:val="262626"/>
        </w:rPr>
        <w:t>Growing Up in New Zealand</w:t>
      </w:r>
      <w:r>
        <w:rPr>
          <w:rFonts w:ascii="Arial" w:hAnsi="Arial" w:cs="Arial"/>
          <w:color w:val="262626"/>
        </w:rPr>
        <w:t xml:space="preserve"> reports, policy briefs and scientific papers are available to view on the website: </w:t>
      </w:r>
      <w:hyperlink r:id="rId5" w:history="1">
        <w:r>
          <w:rPr>
            <w:rStyle w:val="Hyperlink"/>
            <w:color w:val="262626"/>
            <w:u w:val="none"/>
          </w:rPr>
          <w:t>www.growingup.co.nz</w:t>
        </w:r>
      </w:hyperlink>
      <w:r>
        <w:rPr>
          <w:rFonts w:ascii="Arial" w:hAnsi="Arial" w:cs="Arial"/>
          <w:color w:val="262626"/>
        </w:rPr>
        <w:t xml:space="preserve"> </w:t>
      </w:r>
    </w:p>
    <w:p w:rsidR="001E7DF0" w:rsidRDefault="001E7DF0" w:rsidP="001E7DF0">
      <w:pPr>
        <w:spacing w:line="252" w:lineRule="auto"/>
        <w:rPr>
          <w:rFonts w:ascii="Arial" w:hAnsi="Arial" w:cs="Arial"/>
          <w:color w:val="262626"/>
        </w:rPr>
      </w:pPr>
    </w:p>
    <w:p w:rsidR="001E7DF0" w:rsidRDefault="001E7DF0" w:rsidP="001E7DF0">
      <w:pPr>
        <w:spacing w:line="252" w:lineRule="auto"/>
        <w:rPr>
          <w:rFonts w:ascii="Arial" w:hAnsi="Arial" w:cs="Arial"/>
          <w:color w:val="262626"/>
        </w:rPr>
      </w:pPr>
    </w:p>
    <w:p w:rsidR="00BC376C" w:rsidRDefault="004113B8"/>
    <w:sectPr w:rsidR="00BC3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F7183"/>
    <w:multiLevelType w:val="hybridMultilevel"/>
    <w:tmpl w:val="1A1016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76514AB8"/>
    <w:multiLevelType w:val="hybridMultilevel"/>
    <w:tmpl w:val="72382E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F0"/>
    <w:rsid w:val="001E7DF0"/>
    <w:rsid w:val="003B6BCA"/>
    <w:rsid w:val="004113B8"/>
    <w:rsid w:val="00F478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2A8F3-DE4A-4990-9707-A9A5089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DF0"/>
    <w:rPr>
      <w:color w:val="0563C1"/>
      <w:u w:val="single"/>
    </w:rPr>
  </w:style>
  <w:style w:type="paragraph" w:styleId="ListParagraph">
    <w:name w:val="List Paragraph"/>
    <w:basedOn w:val="Normal"/>
    <w:uiPriority w:val="34"/>
    <w:qFormat/>
    <w:rsid w:val="001E7D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wingup.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Snow</dc:creator>
  <cp:keywords/>
  <dc:description/>
  <cp:lastModifiedBy>Amanda Snow</cp:lastModifiedBy>
  <cp:revision>2</cp:revision>
  <dcterms:created xsi:type="dcterms:W3CDTF">2018-05-14T09:32:00Z</dcterms:created>
  <dcterms:modified xsi:type="dcterms:W3CDTF">2018-05-14T09:34:00Z</dcterms:modified>
</cp:coreProperties>
</file>