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57197" w14:textId="072EC5E9" w:rsidR="00525578" w:rsidRPr="00D2256D" w:rsidRDefault="00525578" w:rsidP="00D2256D">
      <w:pPr>
        <w:rPr>
          <w:rFonts w:asciiTheme="majorHAnsi" w:hAnsiTheme="majorHAnsi"/>
          <w:sz w:val="28"/>
          <w:szCs w:val="28"/>
        </w:rPr>
      </w:pPr>
      <w:r w:rsidRPr="00D2256D">
        <w:rPr>
          <w:rFonts w:asciiTheme="majorHAnsi" w:hAnsiTheme="majorHAnsi"/>
          <w:sz w:val="28"/>
          <w:szCs w:val="28"/>
        </w:rPr>
        <w:t>The Opportunities Party</w:t>
      </w:r>
      <w:r w:rsidR="003B5885">
        <w:rPr>
          <w:rFonts w:asciiTheme="majorHAnsi" w:hAnsiTheme="majorHAnsi"/>
          <w:sz w:val="28"/>
          <w:szCs w:val="28"/>
        </w:rPr>
        <w:t>’s criminal justice policy</w:t>
      </w:r>
    </w:p>
    <w:p w14:paraId="11460C99" w14:textId="77777777" w:rsidR="00D2256D" w:rsidRDefault="00D2256D" w:rsidP="00D2256D">
      <w:pPr>
        <w:rPr>
          <w:rFonts w:asciiTheme="majorHAnsi" w:hAnsiTheme="majorHAnsi"/>
          <w:sz w:val="28"/>
          <w:szCs w:val="28"/>
        </w:rPr>
      </w:pPr>
    </w:p>
    <w:p w14:paraId="2FBC575F" w14:textId="762C0198" w:rsidR="00F530A5" w:rsidRPr="00D2256D" w:rsidRDefault="00D2256D" w:rsidP="00D2256D">
      <w:pPr>
        <w:rPr>
          <w:rFonts w:asciiTheme="majorHAnsi" w:hAnsiTheme="majorHAnsi"/>
          <w:sz w:val="32"/>
          <w:szCs w:val="32"/>
        </w:rPr>
      </w:pPr>
      <w:r w:rsidRPr="00D2256D">
        <w:rPr>
          <w:rFonts w:asciiTheme="majorHAnsi" w:hAnsiTheme="majorHAnsi"/>
          <w:sz w:val="32"/>
          <w:szCs w:val="32"/>
        </w:rPr>
        <w:t>Positive Justice</w:t>
      </w:r>
    </w:p>
    <w:p w14:paraId="3C67D390" w14:textId="77777777" w:rsidR="00D2256D" w:rsidRPr="009D43FD" w:rsidRDefault="00D2256D" w:rsidP="00BA5180">
      <w:pPr>
        <w:jc w:val="center"/>
        <w:rPr>
          <w:rFonts w:asciiTheme="majorHAnsi" w:hAnsiTheme="majorHAnsi"/>
          <w:sz w:val="28"/>
          <w:szCs w:val="28"/>
        </w:rPr>
      </w:pPr>
    </w:p>
    <w:p w14:paraId="6C28F9D0" w14:textId="77777777" w:rsidR="003C0993" w:rsidRDefault="003C0993" w:rsidP="003C0993">
      <w:pPr>
        <w:rPr>
          <w:sz w:val="22"/>
          <w:szCs w:val="22"/>
        </w:rPr>
      </w:pPr>
    </w:p>
    <w:p w14:paraId="7B214459" w14:textId="1F29342F" w:rsidR="00110D54" w:rsidRPr="008329E6" w:rsidRDefault="003C0993" w:rsidP="008329E6">
      <w:pPr>
        <w:rPr>
          <w:sz w:val="22"/>
          <w:szCs w:val="22"/>
        </w:rPr>
      </w:pPr>
      <w:proofErr w:type="spellStart"/>
      <w:r>
        <w:rPr>
          <w:sz w:val="22"/>
          <w:szCs w:val="22"/>
        </w:rPr>
        <w:t>Aotearoa</w:t>
      </w:r>
      <w:proofErr w:type="spellEnd"/>
      <w:r>
        <w:rPr>
          <w:sz w:val="22"/>
          <w:szCs w:val="22"/>
        </w:rPr>
        <w:t xml:space="preserve"> New Zealand’s prison population has been growing faster than our </w:t>
      </w:r>
      <w:r w:rsidR="003664FB">
        <w:rPr>
          <w:sz w:val="22"/>
          <w:szCs w:val="22"/>
        </w:rPr>
        <w:t xml:space="preserve">general </w:t>
      </w:r>
      <w:r>
        <w:rPr>
          <w:sz w:val="22"/>
          <w:szCs w:val="22"/>
        </w:rPr>
        <w:t xml:space="preserve">population for decades. </w:t>
      </w:r>
      <w:r w:rsidRPr="00462AB0">
        <w:rPr>
          <w:sz w:val="22"/>
          <w:szCs w:val="22"/>
        </w:rPr>
        <w:t>Every year we lock up more peop</w:t>
      </w:r>
      <w:r>
        <w:rPr>
          <w:sz w:val="22"/>
          <w:szCs w:val="22"/>
        </w:rPr>
        <w:t xml:space="preserve">le, which costs more money </w:t>
      </w:r>
      <w:r w:rsidR="00DD797E">
        <w:rPr>
          <w:sz w:val="22"/>
          <w:szCs w:val="22"/>
        </w:rPr>
        <w:t>and doesn’t</w:t>
      </w:r>
      <w:r>
        <w:rPr>
          <w:sz w:val="22"/>
          <w:szCs w:val="22"/>
        </w:rPr>
        <w:t xml:space="preserve"> tackl</w:t>
      </w:r>
      <w:r w:rsidR="001C24F4">
        <w:rPr>
          <w:sz w:val="22"/>
          <w:szCs w:val="22"/>
        </w:rPr>
        <w:t>e</w:t>
      </w:r>
      <w:r w:rsidRPr="00462AB0">
        <w:rPr>
          <w:sz w:val="22"/>
          <w:szCs w:val="22"/>
        </w:rPr>
        <w:t xml:space="preserve"> the causes of crime. </w:t>
      </w:r>
    </w:p>
    <w:p w14:paraId="33640273" w14:textId="77777777" w:rsidR="003C0993" w:rsidRDefault="003C0993" w:rsidP="003C0993">
      <w:pPr>
        <w:pStyle w:val="ListParagraph"/>
        <w:ind w:left="0"/>
        <w:rPr>
          <w:sz w:val="22"/>
          <w:szCs w:val="22"/>
        </w:rPr>
      </w:pPr>
    </w:p>
    <w:tbl>
      <w:tblPr>
        <w:tblStyle w:val="TableGri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96"/>
      </w:tblGrid>
      <w:tr w:rsidR="003C0993" w:rsidRPr="00DC7C87" w14:paraId="1877BA5A" w14:textId="77777777" w:rsidTr="003C0993">
        <w:tc>
          <w:tcPr>
            <w:tcW w:w="5296" w:type="dxa"/>
          </w:tcPr>
          <w:p w14:paraId="1EBECAD3" w14:textId="77777777" w:rsidR="003C0993" w:rsidRPr="00B710F3" w:rsidRDefault="003C0993" w:rsidP="003C0993">
            <w:pPr>
              <w:spacing w:after="60"/>
              <w:rPr>
                <w:rFonts w:ascii="Arial Narrow" w:hAnsi="Arial Narrow" w:cs="Arial"/>
                <w:i/>
                <w:noProof/>
                <w:sz w:val="20"/>
                <w:szCs w:val="20"/>
              </w:rPr>
            </w:pPr>
            <w:r w:rsidRPr="00B710F3">
              <w:rPr>
                <w:rFonts w:ascii="Arial Narrow" w:hAnsi="Arial Narrow" w:cs="Arial"/>
                <w:i/>
                <w:sz w:val="20"/>
                <w:szCs w:val="20"/>
              </w:rPr>
              <w:t>New Zealand prison population rate (prisoners per 100,000 of the general population) - 1950-2016</w:t>
            </w:r>
          </w:p>
        </w:tc>
      </w:tr>
      <w:tr w:rsidR="003C0993" w:rsidRPr="00DC7C87" w14:paraId="3640ACB6" w14:textId="77777777" w:rsidTr="003C0993">
        <w:tc>
          <w:tcPr>
            <w:tcW w:w="5296" w:type="dxa"/>
          </w:tcPr>
          <w:p w14:paraId="4434BCED" w14:textId="77777777" w:rsidR="003C0993" w:rsidRPr="001459DF" w:rsidRDefault="003C0993" w:rsidP="003C0993">
            <w:pPr>
              <w:spacing w:after="60"/>
              <w:rPr>
                <w:rFonts w:ascii="Arial" w:hAnsi="Arial" w:cs="Arial"/>
                <w:sz w:val="22"/>
                <w:szCs w:val="22"/>
              </w:rPr>
            </w:pPr>
            <w:r w:rsidRPr="008329E6">
              <w:rPr>
                <w:rFonts w:ascii="Arial" w:hAnsi="Arial" w:cs="Arial"/>
                <w:noProof/>
                <w:sz w:val="22"/>
                <w:szCs w:val="22"/>
              </w:rPr>
              <w:drawing>
                <wp:inline distT="0" distB="0" distL="0" distR="0" wp14:anchorId="6A2E8912" wp14:editId="17F37FD9">
                  <wp:extent cx="3200400" cy="1722755"/>
                  <wp:effectExtent l="0" t="0" r="25400" b="298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7CF3E34D" w14:textId="20888F6E" w:rsidR="003C0993" w:rsidRDefault="00337190" w:rsidP="00337190">
      <w:pPr>
        <w:spacing w:before="80"/>
        <w:ind w:left="720"/>
        <w:rPr>
          <w:rFonts w:asciiTheme="majorHAnsi" w:hAnsiTheme="majorHAnsi"/>
          <w:sz w:val="22"/>
          <w:szCs w:val="22"/>
        </w:rPr>
      </w:pPr>
      <w:r w:rsidRPr="002F5CEB">
        <w:rPr>
          <w:rFonts w:ascii="Arial Narrow" w:eastAsia="Times New Roman" w:hAnsi="Arial Narrow" w:cs="Times New Roman"/>
          <w:color w:val="000000"/>
          <w:sz w:val="18"/>
          <w:szCs w:val="18"/>
          <w:lang w:val="en-NZ"/>
        </w:rPr>
        <w:t>World Prison Brief, Institute for Criminal Policy Research</w:t>
      </w:r>
    </w:p>
    <w:p w14:paraId="31F32044" w14:textId="77777777" w:rsidR="00337190" w:rsidRDefault="00337190" w:rsidP="008329E6">
      <w:pPr>
        <w:rPr>
          <w:rFonts w:cs="Arial"/>
          <w:sz w:val="22"/>
          <w:szCs w:val="22"/>
          <w:lang w:val="en-NZ"/>
        </w:rPr>
      </w:pPr>
    </w:p>
    <w:p w14:paraId="3436C6B2" w14:textId="29EA1792" w:rsidR="003C0993" w:rsidRPr="008329E6" w:rsidRDefault="003C0993" w:rsidP="008329E6">
      <w:pPr>
        <w:rPr>
          <w:sz w:val="22"/>
          <w:szCs w:val="22"/>
        </w:rPr>
      </w:pPr>
      <w:r>
        <w:rPr>
          <w:rFonts w:cs="Arial"/>
          <w:sz w:val="22"/>
          <w:szCs w:val="22"/>
          <w:lang w:val="en-NZ"/>
        </w:rPr>
        <w:t>The upshot is</w:t>
      </w:r>
      <w:r w:rsidRPr="0006014A">
        <w:rPr>
          <w:rFonts w:cs="Arial"/>
          <w:sz w:val="22"/>
          <w:szCs w:val="22"/>
          <w:lang w:val="en-NZ"/>
        </w:rPr>
        <w:t xml:space="preserve"> that </w:t>
      </w:r>
      <w:r w:rsidR="003664FB">
        <w:rPr>
          <w:rFonts w:cs="Arial"/>
          <w:sz w:val="22"/>
          <w:szCs w:val="22"/>
          <w:lang w:val="en-NZ"/>
        </w:rPr>
        <w:t>we have</w:t>
      </w:r>
      <w:r w:rsidRPr="0006014A">
        <w:rPr>
          <w:rFonts w:cs="Arial"/>
          <w:sz w:val="22"/>
          <w:szCs w:val="22"/>
        </w:rPr>
        <w:t xml:space="preserve">, as a proportion of </w:t>
      </w:r>
      <w:r w:rsidR="003664FB">
        <w:rPr>
          <w:rFonts w:cs="Arial"/>
          <w:sz w:val="22"/>
          <w:szCs w:val="22"/>
        </w:rPr>
        <w:t>our</w:t>
      </w:r>
      <w:r w:rsidRPr="0006014A">
        <w:rPr>
          <w:rFonts w:cs="Arial"/>
          <w:sz w:val="22"/>
          <w:szCs w:val="22"/>
        </w:rPr>
        <w:t xml:space="preserve"> general population, the 2</w:t>
      </w:r>
      <w:r w:rsidRPr="0006014A">
        <w:rPr>
          <w:rFonts w:cs="Arial"/>
          <w:sz w:val="22"/>
          <w:szCs w:val="22"/>
          <w:vertAlign w:val="superscript"/>
        </w:rPr>
        <w:t>nd</w:t>
      </w:r>
      <w:r w:rsidRPr="0006014A">
        <w:rPr>
          <w:rFonts w:cs="Arial"/>
          <w:sz w:val="22"/>
          <w:szCs w:val="22"/>
        </w:rPr>
        <w:t xml:space="preserve"> largest prison population in the western world (after the United States)</w:t>
      </w:r>
      <w:r>
        <w:rPr>
          <w:rFonts w:cs="Arial"/>
          <w:sz w:val="22"/>
          <w:szCs w:val="22"/>
        </w:rPr>
        <w:t xml:space="preserve">. At 210 per 100,000 of </w:t>
      </w:r>
      <w:r w:rsidRPr="008329E6">
        <w:rPr>
          <w:rFonts w:cs="Arial"/>
          <w:sz w:val="22"/>
          <w:szCs w:val="22"/>
        </w:rPr>
        <w:t>the general population it is 84% higher than the advance economy average of Korea and Canada (114 per 100,000).</w:t>
      </w:r>
    </w:p>
    <w:p w14:paraId="3471710F" w14:textId="77777777" w:rsidR="003C0993" w:rsidRPr="008329E6" w:rsidRDefault="003C0993" w:rsidP="008329E6">
      <w:pPr>
        <w:rPr>
          <w:sz w:val="22"/>
          <w:szCs w:val="22"/>
        </w:rPr>
      </w:pPr>
    </w:p>
    <w:p w14:paraId="7F0B107B" w14:textId="023F2109" w:rsidR="003C0993" w:rsidRPr="008329E6" w:rsidRDefault="003C0993" w:rsidP="008329E6">
      <w:pPr>
        <w:rPr>
          <w:sz w:val="22"/>
          <w:szCs w:val="22"/>
        </w:rPr>
      </w:pPr>
      <w:r w:rsidRPr="008329E6">
        <w:rPr>
          <w:sz w:val="22"/>
          <w:szCs w:val="22"/>
        </w:rPr>
        <w:t>It seems unlikely New Zealand</w:t>
      </w:r>
      <w:r w:rsidR="009421CB">
        <w:rPr>
          <w:sz w:val="22"/>
          <w:szCs w:val="22"/>
        </w:rPr>
        <w:t>ers are</w:t>
      </w:r>
      <w:r w:rsidRPr="008329E6">
        <w:rPr>
          <w:sz w:val="22"/>
          <w:szCs w:val="22"/>
        </w:rPr>
        <w:t xml:space="preserve"> twice as </w:t>
      </w:r>
      <w:r w:rsidR="009421CB">
        <w:rPr>
          <w:sz w:val="22"/>
          <w:szCs w:val="22"/>
        </w:rPr>
        <w:t>inclined toward</w:t>
      </w:r>
      <w:r w:rsidR="00140B0E">
        <w:rPr>
          <w:sz w:val="22"/>
          <w:szCs w:val="22"/>
        </w:rPr>
        <w:t>s</w:t>
      </w:r>
      <w:r w:rsidR="009421CB">
        <w:rPr>
          <w:sz w:val="22"/>
          <w:szCs w:val="22"/>
        </w:rPr>
        <w:t xml:space="preserve"> crime as people in </w:t>
      </w:r>
      <w:r w:rsidR="002D0B9F">
        <w:rPr>
          <w:sz w:val="22"/>
          <w:szCs w:val="22"/>
        </w:rPr>
        <w:t xml:space="preserve">these </w:t>
      </w:r>
      <w:r w:rsidRPr="008329E6">
        <w:rPr>
          <w:sz w:val="22"/>
          <w:szCs w:val="22"/>
        </w:rPr>
        <w:t>other countries. So</w:t>
      </w:r>
      <w:r w:rsidR="003664FB" w:rsidRPr="008329E6">
        <w:rPr>
          <w:sz w:val="22"/>
          <w:szCs w:val="22"/>
        </w:rPr>
        <w:t>,</w:t>
      </w:r>
      <w:r w:rsidRPr="008329E6">
        <w:rPr>
          <w:sz w:val="22"/>
          <w:szCs w:val="22"/>
        </w:rPr>
        <w:t xml:space="preserve"> what is driving our high prison population? </w:t>
      </w:r>
    </w:p>
    <w:p w14:paraId="783C1677" w14:textId="77777777" w:rsidR="003C0993" w:rsidRDefault="003C0993" w:rsidP="003C0993">
      <w:pPr>
        <w:rPr>
          <w:rFonts w:cs="Arial"/>
          <w:sz w:val="22"/>
          <w:szCs w:val="22"/>
        </w:rPr>
      </w:pPr>
    </w:p>
    <w:p w14:paraId="76D4554B" w14:textId="77777777" w:rsidR="003C0993" w:rsidRPr="000819A1" w:rsidRDefault="003C0993" w:rsidP="00DD4718">
      <w:pPr>
        <w:spacing w:before="80"/>
        <w:rPr>
          <w:rFonts w:asciiTheme="majorHAnsi" w:hAnsiTheme="majorHAnsi"/>
          <w:sz w:val="22"/>
          <w:szCs w:val="22"/>
        </w:rPr>
      </w:pPr>
    </w:p>
    <w:p w14:paraId="4A6A14EA" w14:textId="6E299B37" w:rsidR="00DD4718" w:rsidRPr="00DA1403" w:rsidRDefault="00DD4718" w:rsidP="00DD4718">
      <w:pPr>
        <w:spacing w:before="80"/>
        <w:rPr>
          <w:rFonts w:asciiTheme="majorHAnsi" w:hAnsiTheme="majorHAnsi"/>
          <w:b/>
          <w:i/>
          <w:sz w:val="22"/>
          <w:szCs w:val="22"/>
        </w:rPr>
      </w:pPr>
      <w:r w:rsidRPr="00DA1403">
        <w:rPr>
          <w:rFonts w:asciiTheme="majorHAnsi" w:hAnsiTheme="majorHAnsi"/>
          <w:b/>
          <w:i/>
          <w:sz w:val="22"/>
          <w:szCs w:val="22"/>
        </w:rPr>
        <w:t>Four things you need to know about crime</w:t>
      </w:r>
    </w:p>
    <w:p w14:paraId="62B12C5F" w14:textId="77777777" w:rsidR="00DD4718" w:rsidRDefault="00DD4718" w:rsidP="00DD4718">
      <w:pPr>
        <w:rPr>
          <w:sz w:val="22"/>
          <w:szCs w:val="22"/>
        </w:rPr>
      </w:pPr>
    </w:p>
    <w:p w14:paraId="420030C6" w14:textId="77777777" w:rsidR="00DD4718" w:rsidRPr="00DA1403" w:rsidRDefault="00DD4718" w:rsidP="000F2846">
      <w:pPr>
        <w:pStyle w:val="ListParagraph"/>
        <w:numPr>
          <w:ilvl w:val="0"/>
          <w:numId w:val="3"/>
        </w:numPr>
        <w:spacing w:before="60" w:after="60"/>
        <w:rPr>
          <w:i/>
          <w:sz w:val="22"/>
          <w:szCs w:val="22"/>
        </w:rPr>
      </w:pPr>
      <w:r w:rsidRPr="00DA1403">
        <w:rPr>
          <w:i/>
          <w:sz w:val="22"/>
          <w:szCs w:val="22"/>
        </w:rPr>
        <w:t>Experts believe prison probably causes crime</w:t>
      </w:r>
    </w:p>
    <w:p w14:paraId="1C5BE3DD" w14:textId="77777777" w:rsidR="00DD4718" w:rsidRPr="00DA1403" w:rsidRDefault="00DD4718" w:rsidP="00DD4718">
      <w:pPr>
        <w:pStyle w:val="ListParagraph"/>
        <w:spacing w:before="60" w:after="60"/>
        <w:ind w:left="714"/>
        <w:rPr>
          <w:i/>
          <w:sz w:val="22"/>
          <w:szCs w:val="22"/>
        </w:rPr>
      </w:pPr>
    </w:p>
    <w:p w14:paraId="0C415727" w14:textId="1496FFDA" w:rsidR="00DD4718" w:rsidRPr="00DA1403" w:rsidRDefault="00DD4718" w:rsidP="000F2846">
      <w:pPr>
        <w:pStyle w:val="ListParagraph"/>
        <w:numPr>
          <w:ilvl w:val="0"/>
          <w:numId w:val="3"/>
        </w:numPr>
        <w:spacing w:before="60" w:after="60"/>
        <w:rPr>
          <w:i/>
          <w:sz w:val="22"/>
          <w:szCs w:val="22"/>
        </w:rPr>
      </w:pPr>
      <w:r w:rsidRPr="00DA1403">
        <w:rPr>
          <w:i/>
          <w:sz w:val="22"/>
          <w:szCs w:val="22"/>
        </w:rPr>
        <w:t xml:space="preserve">The main drivers of crime are </w:t>
      </w:r>
      <w:r w:rsidR="003664FB">
        <w:rPr>
          <w:i/>
          <w:sz w:val="22"/>
          <w:szCs w:val="22"/>
        </w:rPr>
        <w:t>social and economic</w:t>
      </w:r>
    </w:p>
    <w:p w14:paraId="41B919AE" w14:textId="77777777" w:rsidR="00DD4718" w:rsidRPr="00DA1403" w:rsidRDefault="00DD4718" w:rsidP="00DD4718">
      <w:pPr>
        <w:pStyle w:val="ListParagraph"/>
        <w:spacing w:before="60" w:after="60"/>
        <w:ind w:left="714"/>
        <w:rPr>
          <w:i/>
          <w:sz w:val="22"/>
          <w:szCs w:val="22"/>
        </w:rPr>
      </w:pPr>
    </w:p>
    <w:p w14:paraId="751B0FFC" w14:textId="1E9D3BAE" w:rsidR="00DD4718" w:rsidRPr="00DA1403" w:rsidRDefault="00DD4718" w:rsidP="000F2846">
      <w:pPr>
        <w:pStyle w:val="ListParagraph"/>
        <w:numPr>
          <w:ilvl w:val="0"/>
          <w:numId w:val="3"/>
        </w:numPr>
        <w:spacing w:before="60" w:after="60"/>
        <w:rPr>
          <w:i/>
          <w:sz w:val="22"/>
          <w:szCs w:val="22"/>
        </w:rPr>
      </w:pPr>
      <w:r w:rsidRPr="00DA1403">
        <w:rPr>
          <w:i/>
          <w:sz w:val="22"/>
          <w:szCs w:val="22"/>
        </w:rPr>
        <w:t xml:space="preserve">The size of our prison population </w:t>
      </w:r>
      <w:r w:rsidR="003664FB">
        <w:rPr>
          <w:i/>
          <w:sz w:val="22"/>
          <w:szCs w:val="22"/>
        </w:rPr>
        <w:t xml:space="preserve">has less to do </w:t>
      </w:r>
      <w:r w:rsidRPr="00DA1403">
        <w:rPr>
          <w:i/>
          <w:sz w:val="22"/>
          <w:szCs w:val="22"/>
        </w:rPr>
        <w:t xml:space="preserve">with the extent of criminal activity </w:t>
      </w:r>
      <w:r w:rsidR="003664FB">
        <w:rPr>
          <w:i/>
          <w:sz w:val="22"/>
          <w:szCs w:val="22"/>
        </w:rPr>
        <w:t xml:space="preserve">than </w:t>
      </w:r>
      <w:r w:rsidRPr="00DA1403">
        <w:rPr>
          <w:i/>
          <w:sz w:val="22"/>
          <w:szCs w:val="22"/>
        </w:rPr>
        <w:t>with our government’s criminal justice policies</w:t>
      </w:r>
    </w:p>
    <w:p w14:paraId="2A412657" w14:textId="77777777" w:rsidR="00DD4718" w:rsidRPr="00DA1403" w:rsidRDefault="00DD4718" w:rsidP="00DD4718">
      <w:pPr>
        <w:pStyle w:val="ListParagraph"/>
        <w:spacing w:before="60" w:after="60"/>
        <w:ind w:left="714"/>
        <w:rPr>
          <w:i/>
          <w:sz w:val="22"/>
          <w:szCs w:val="22"/>
        </w:rPr>
      </w:pPr>
    </w:p>
    <w:p w14:paraId="2068B1BF" w14:textId="77777777" w:rsidR="00DD4718" w:rsidRPr="00DA1403" w:rsidRDefault="00DD4718" w:rsidP="000F2846">
      <w:pPr>
        <w:pStyle w:val="ListParagraph"/>
        <w:numPr>
          <w:ilvl w:val="0"/>
          <w:numId w:val="3"/>
        </w:numPr>
        <w:spacing w:before="60" w:after="60"/>
        <w:rPr>
          <w:sz w:val="22"/>
          <w:szCs w:val="22"/>
        </w:rPr>
      </w:pPr>
      <w:r w:rsidRPr="00DA1403">
        <w:rPr>
          <w:i/>
          <w:sz w:val="22"/>
          <w:szCs w:val="22"/>
        </w:rPr>
        <w:t>TOP’s criminal justice policy addresses facts and issues that are old news, but on which Establishment parties have failed to act</w:t>
      </w:r>
      <w:r w:rsidRPr="00DA1403">
        <w:rPr>
          <w:sz w:val="22"/>
          <w:szCs w:val="22"/>
        </w:rPr>
        <w:t xml:space="preserve"> </w:t>
      </w:r>
    </w:p>
    <w:p w14:paraId="6B77B391" w14:textId="77777777" w:rsidR="00DD4718" w:rsidRPr="0048385A" w:rsidRDefault="00DD4718" w:rsidP="00DD4718">
      <w:pPr>
        <w:pStyle w:val="ListParagraph"/>
        <w:spacing w:after="60"/>
        <w:ind w:left="6"/>
      </w:pPr>
      <w:r w:rsidRPr="00DD43B4">
        <w:rPr>
          <w:i/>
        </w:rPr>
        <w:t xml:space="preserve"> </w:t>
      </w:r>
    </w:p>
    <w:p w14:paraId="6A30B0F1" w14:textId="77777777" w:rsidR="00DD4718" w:rsidRPr="00ED6D91" w:rsidRDefault="00DD4718" w:rsidP="00DD4718">
      <w:pPr>
        <w:rPr>
          <w:sz w:val="22"/>
          <w:szCs w:val="22"/>
        </w:rPr>
      </w:pPr>
    </w:p>
    <w:p w14:paraId="690103B6" w14:textId="77777777" w:rsidR="00DD4718" w:rsidRPr="00F04088" w:rsidRDefault="00DD4718" w:rsidP="00DD4718">
      <w:pPr>
        <w:pStyle w:val="ListParagraph"/>
        <w:ind w:left="5"/>
        <w:rPr>
          <w:rFonts w:ascii="Arial Narrow" w:hAnsi="Arial Narrow"/>
          <w:sz w:val="22"/>
          <w:szCs w:val="22"/>
        </w:rPr>
      </w:pPr>
      <w:r w:rsidRPr="00F04088">
        <w:rPr>
          <w:rFonts w:ascii="Arial Narrow" w:hAnsi="Arial Narrow"/>
          <w:i/>
          <w:sz w:val="22"/>
          <w:szCs w:val="22"/>
        </w:rPr>
        <w:t>1. Experts believe prison probably causes crime</w:t>
      </w:r>
    </w:p>
    <w:p w14:paraId="66F8481D" w14:textId="77777777" w:rsidR="00DD4718" w:rsidRPr="00C075B4" w:rsidRDefault="00DD4718" w:rsidP="00DD4718">
      <w:pPr>
        <w:pStyle w:val="ListParagraph"/>
        <w:ind w:left="5"/>
        <w:rPr>
          <w:sz w:val="16"/>
          <w:szCs w:val="16"/>
        </w:rPr>
      </w:pPr>
    </w:p>
    <w:p w14:paraId="5DF3690F" w14:textId="77777777" w:rsidR="00DD4718" w:rsidRPr="009775C1" w:rsidRDefault="00DD4718" w:rsidP="00DD4718">
      <w:pPr>
        <w:pStyle w:val="ListParagraph"/>
        <w:spacing w:after="80"/>
        <w:rPr>
          <w:i/>
          <w:sz w:val="22"/>
          <w:szCs w:val="22"/>
        </w:rPr>
      </w:pPr>
      <w:r w:rsidRPr="009775C1">
        <w:rPr>
          <w:i/>
          <w:sz w:val="22"/>
          <w:szCs w:val="22"/>
        </w:rPr>
        <w:t>“Most criminologists would predict that, on balance, offenders become more,</w:t>
      </w:r>
    </w:p>
    <w:p w14:paraId="5E124D33" w14:textId="77777777" w:rsidR="00DD4718" w:rsidRDefault="00DD4718" w:rsidP="00DD4718">
      <w:pPr>
        <w:pStyle w:val="ListParagraph"/>
        <w:spacing w:after="80"/>
        <w:rPr>
          <w:sz w:val="22"/>
          <w:szCs w:val="22"/>
        </w:rPr>
      </w:pPr>
      <w:r w:rsidRPr="009775C1">
        <w:rPr>
          <w:i/>
          <w:sz w:val="22"/>
          <w:szCs w:val="22"/>
        </w:rPr>
        <w:t>rather than less, criminally oriented due to their prison experience.”</w:t>
      </w:r>
      <w:r w:rsidRPr="009775C1">
        <w:rPr>
          <w:rStyle w:val="FootnoteReference"/>
          <w:sz w:val="22"/>
          <w:szCs w:val="22"/>
        </w:rPr>
        <w:t xml:space="preserve"> </w:t>
      </w:r>
    </w:p>
    <w:p w14:paraId="7F2874D1" w14:textId="77777777" w:rsidR="00DD4718" w:rsidRPr="00A605A4" w:rsidRDefault="00DD4718" w:rsidP="00DD4718">
      <w:pPr>
        <w:pStyle w:val="ListParagraph"/>
        <w:spacing w:after="80"/>
        <w:rPr>
          <w:sz w:val="16"/>
          <w:szCs w:val="16"/>
        </w:rPr>
      </w:pPr>
    </w:p>
    <w:p w14:paraId="4E166738" w14:textId="408C6E00" w:rsidR="00DD4718" w:rsidRPr="00903079" w:rsidRDefault="00CA7653" w:rsidP="00DD4718">
      <w:pPr>
        <w:pStyle w:val="ListParagraph"/>
        <w:spacing w:before="100"/>
        <w:ind w:left="2160"/>
        <w:rPr>
          <w:sz w:val="22"/>
          <w:szCs w:val="22"/>
        </w:rPr>
      </w:pPr>
      <w:r>
        <w:rPr>
          <w:sz w:val="22"/>
          <w:szCs w:val="22"/>
        </w:rPr>
        <w:lastRenderedPageBreak/>
        <w:t xml:space="preserve">US criminologists, </w:t>
      </w:r>
      <w:r w:rsidR="00DD4718" w:rsidRPr="00903079">
        <w:rPr>
          <w:sz w:val="22"/>
          <w:szCs w:val="22"/>
        </w:rPr>
        <w:t xml:space="preserve">Francis T Cullen, Cheryl Leo Jonson and Daniel S </w:t>
      </w:r>
      <w:proofErr w:type="spellStart"/>
      <w:r w:rsidR="00DD4718" w:rsidRPr="00903079">
        <w:rPr>
          <w:sz w:val="22"/>
          <w:szCs w:val="22"/>
        </w:rPr>
        <w:t>Nagin</w:t>
      </w:r>
      <w:proofErr w:type="spellEnd"/>
      <w:r w:rsidR="00DD4718" w:rsidRPr="00903079">
        <w:rPr>
          <w:sz w:val="22"/>
          <w:szCs w:val="22"/>
        </w:rPr>
        <w:t xml:space="preserve"> (2011)</w:t>
      </w:r>
      <w:r w:rsidR="00DD4718" w:rsidRPr="00462E2C">
        <w:rPr>
          <w:rStyle w:val="FootnoteReference"/>
          <w:sz w:val="22"/>
          <w:szCs w:val="22"/>
        </w:rPr>
        <w:footnoteReference w:id="1"/>
      </w:r>
    </w:p>
    <w:p w14:paraId="4C829B65" w14:textId="77777777" w:rsidR="00DD4718" w:rsidRDefault="00DD4718" w:rsidP="00DD4718">
      <w:pPr>
        <w:pStyle w:val="ListParagraph"/>
        <w:ind w:left="1440"/>
        <w:rPr>
          <w:sz w:val="22"/>
          <w:szCs w:val="22"/>
        </w:rPr>
      </w:pPr>
    </w:p>
    <w:p w14:paraId="4990598B" w14:textId="7EC494FD" w:rsidR="00DD4718" w:rsidRDefault="008A44E8" w:rsidP="00DD4718">
      <w:pPr>
        <w:pStyle w:val="ListParagraph"/>
        <w:ind w:left="5"/>
        <w:rPr>
          <w:sz w:val="22"/>
          <w:szCs w:val="22"/>
        </w:rPr>
      </w:pPr>
      <w:r>
        <w:rPr>
          <w:sz w:val="22"/>
          <w:szCs w:val="22"/>
        </w:rPr>
        <w:t>T</w:t>
      </w:r>
      <w:r w:rsidR="00023231">
        <w:rPr>
          <w:sz w:val="22"/>
          <w:szCs w:val="22"/>
        </w:rPr>
        <w:t>wo</w:t>
      </w:r>
      <w:r w:rsidR="00DD4718">
        <w:rPr>
          <w:sz w:val="22"/>
          <w:szCs w:val="22"/>
        </w:rPr>
        <w:t xml:space="preserve"> </w:t>
      </w:r>
      <w:r>
        <w:rPr>
          <w:sz w:val="22"/>
          <w:szCs w:val="22"/>
        </w:rPr>
        <w:t xml:space="preserve">of the stated goals of prison </w:t>
      </w:r>
      <w:r w:rsidR="00DD4718">
        <w:rPr>
          <w:sz w:val="22"/>
          <w:szCs w:val="22"/>
        </w:rPr>
        <w:t xml:space="preserve">are to deter offending and rehabilitate prisoners. </w:t>
      </w:r>
      <w:r w:rsidR="00FA007A">
        <w:rPr>
          <w:sz w:val="22"/>
          <w:szCs w:val="22"/>
        </w:rPr>
        <w:t xml:space="preserve">Like prisons in most of the world, </w:t>
      </w:r>
      <w:r w:rsidR="00DD4718">
        <w:rPr>
          <w:sz w:val="22"/>
          <w:szCs w:val="22"/>
        </w:rPr>
        <w:t>New Ze</w:t>
      </w:r>
      <w:r w:rsidR="006C7674">
        <w:rPr>
          <w:sz w:val="22"/>
          <w:szCs w:val="22"/>
        </w:rPr>
        <w:t>aland prisons do both poorly</w:t>
      </w:r>
      <w:r w:rsidR="006A7B87">
        <w:rPr>
          <w:sz w:val="22"/>
          <w:szCs w:val="22"/>
        </w:rPr>
        <w:t>.</w:t>
      </w:r>
      <w:r w:rsidR="00DD4718">
        <w:rPr>
          <w:sz w:val="22"/>
          <w:szCs w:val="22"/>
        </w:rPr>
        <w:t xml:space="preserve"> </w:t>
      </w:r>
    </w:p>
    <w:p w14:paraId="0AD78B2D" w14:textId="77777777" w:rsidR="00DD4718" w:rsidRPr="00426D15" w:rsidRDefault="00DD4718" w:rsidP="00DD4718">
      <w:pPr>
        <w:rPr>
          <w:sz w:val="22"/>
          <w:szCs w:val="22"/>
        </w:rPr>
      </w:pPr>
    </w:p>
    <w:p w14:paraId="0A0302BC" w14:textId="2FF48813" w:rsidR="00DD4718" w:rsidRPr="005D5F6B" w:rsidRDefault="003664FB" w:rsidP="00DD4718">
      <w:pPr>
        <w:pStyle w:val="ListParagraph"/>
        <w:ind w:left="5"/>
        <w:rPr>
          <w:sz w:val="22"/>
          <w:szCs w:val="22"/>
          <w:lang w:val="en-NZ"/>
        </w:rPr>
      </w:pPr>
      <w:r>
        <w:rPr>
          <w:sz w:val="22"/>
          <w:szCs w:val="22"/>
        </w:rPr>
        <w:t>T</w:t>
      </w:r>
      <w:r w:rsidR="00DD4718">
        <w:rPr>
          <w:sz w:val="22"/>
          <w:szCs w:val="22"/>
        </w:rPr>
        <w:t>hose with the most direct experience of prison</w:t>
      </w:r>
      <w:r w:rsidR="00CE0E96">
        <w:rPr>
          <w:sz w:val="22"/>
          <w:szCs w:val="22"/>
        </w:rPr>
        <w:t xml:space="preserve"> often reoffend. W</w:t>
      </w:r>
      <w:r w:rsidR="006C368F">
        <w:rPr>
          <w:sz w:val="22"/>
          <w:szCs w:val="22"/>
        </w:rPr>
        <w:t>ithin a year</w:t>
      </w:r>
      <w:r w:rsidR="00DD4718">
        <w:rPr>
          <w:sz w:val="22"/>
          <w:szCs w:val="22"/>
        </w:rPr>
        <w:t xml:space="preserve"> </w:t>
      </w:r>
      <w:r w:rsidR="00DD4718" w:rsidRPr="005D5F6B">
        <w:rPr>
          <w:sz w:val="22"/>
          <w:szCs w:val="22"/>
        </w:rPr>
        <w:t>29.7%</w:t>
      </w:r>
      <w:r w:rsidR="00CE0E96">
        <w:rPr>
          <w:sz w:val="22"/>
          <w:szCs w:val="22"/>
        </w:rPr>
        <w:t xml:space="preserve"> of those </w:t>
      </w:r>
      <w:r w:rsidR="00CE0E96" w:rsidRPr="005D5F6B">
        <w:rPr>
          <w:sz w:val="22"/>
          <w:szCs w:val="22"/>
        </w:rPr>
        <w:t xml:space="preserve">released </w:t>
      </w:r>
      <w:r w:rsidR="00700B2A">
        <w:rPr>
          <w:sz w:val="22"/>
          <w:szCs w:val="22"/>
        </w:rPr>
        <w:t xml:space="preserve">from </w:t>
      </w:r>
      <w:r w:rsidR="00CE0E96" w:rsidRPr="005D5F6B">
        <w:rPr>
          <w:sz w:val="22"/>
          <w:szCs w:val="22"/>
        </w:rPr>
        <w:t>N</w:t>
      </w:r>
      <w:r w:rsidR="00CE0E96">
        <w:rPr>
          <w:sz w:val="22"/>
          <w:szCs w:val="22"/>
        </w:rPr>
        <w:t xml:space="preserve">ew </w:t>
      </w:r>
      <w:r w:rsidR="00CE0E96" w:rsidRPr="005D5F6B">
        <w:rPr>
          <w:sz w:val="22"/>
          <w:szCs w:val="22"/>
        </w:rPr>
        <w:t>Z</w:t>
      </w:r>
      <w:r w:rsidR="00CE0E96">
        <w:rPr>
          <w:sz w:val="22"/>
          <w:szCs w:val="22"/>
        </w:rPr>
        <w:t>ealand</w:t>
      </w:r>
      <w:r w:rsidR="00CE0E96" w:rsidRPr="005D5F6B">
        <w:rPr>
          <w:sz w:val="22"/>
          <w:szCs w:val="22"/>
        </w:rPr>
        <w:t xml:space="preserve"> </w:t>
      </w:r>
      <w:r w:rsidR="00700B2A">
        <w:rPr>
          <w:sz w:val="22"/>
          <w:szCs w:val="22"/>
        </w:rPr>
        <w:t xml:space="preserve">prisons </w:t>
      </w:r>
      <w:r w:rsidR="00CE0E96" w:rsidRPr="005D5F6B">
        <w:rPr>
          <w:sz w:val="22"/>
          <w:szCs w:val="22"/>
        </w:rPr>
        <w:t>in 2014/15</w:t>
      </w:r>
      <w:r w:rsidR="00DD4718" w:rsidRPr="005D5F6B">
        <w:rPr>
          <w:sz w:val="22"/>
          <w:szCs w:val="22"/>
        </w:rPr>
        <w:t xml:space="preserve"> were re-imprisoned</w:t>
      </w:r>
      <w:r w:rsidR="00CE0E96">
        <w:rPr>
          <w:sz w:val="22"/>
          <w:szCs w:val="22"/>
        </w:rPr>
        <w:t>;</w:t>
      </w:r>
      <w:r w:rsidR="006C368F">
        <w:rPr>
          <w:sz w:val="22"/>
          <w:szCs w:val="22"/>
        </w:rPr>
        <w:t xml:space="preserve"> and 44.2% </w:t>
      </w:r>
      <w:r w:rsidR="00CE0E96">
        <w:rPr>
          <w:sz w:val="22"/>
          <w:szCs w:val="22"/>
        </w:rPr>
        <w:t xml:space="preserve">were </w:t>
      </w:r>
      <w:r w:rsidR="006C368F">
        <w:rPr>
          <w:sz w:val="22"/>
          <w:szCs w:val="22"/>
        </w:rPr>
        <w:t>reconvicted</w:t>
      </w:r>
      <w:r w:rsidR="00DD4718" w:rsidRPr="005D5F6B">
        <w:rPr>
          <w:sz w:val="22"/>
          <w:szCs w:val="22"/>
        </w:rPr>
        <w:t>.</w:t>
      </w:r>
      <w:r w:rsidR="00DD4718" w:rsidRPr="005D5F6B">
        <w:rPr>
          <w:rStyle w:val="FootnoteReference"/>
          <w:sz w:val="22"/>
          <w:szCs w:val="22"/>
        </w:rPr>
        <w:footnoteReference w:id="2"/>
      </w:r>
      <w:r w:rsidR="00DD4718" w:rsidRPr="005D5F6B">
        <w:rPr>
          <w:sz w:val="22"/>
          <w:szCs w:val="22"/>
        </w:rPr>
        <w:t xml:space="preserve"> </w:t>
      </w:r>
    </w:p>
    <w:p w14:paraId="308CA16B" w14:textId="77777777" w:rsidR="00DD4718" w:rsidRPr="005D5F6B" w:rsidRDefault="00DD4718" w:rsidP="00DD4718">
      <w:pPr>
        <w:pStyle w:val="ListParagraph"/>
        <w:ind w:left="5"/>
        <w:rPr>
          <w:sz w:val="22"/>
          <w:szCs w:val="22"/>
          <w:lang w:val="en-NZ"/>
        </w:rPr>
      </w:pPr>
    </w:p>
    <w:p w14:paraId="5FA82F63" w14:textId="08C52B25" w:rsidR="00AC61CA" w:rsidRPr="00D03937" w:rsidRDefault="00DD4718" w:rsidP="00D03937">
      <w:pPr>
        <w:pStyle w:val="ListParagraph"/>
        <w:ind w:left="5"/>
        <w:rPr>
          <w:sz w:val="22"/>
          <w:szCs w:val="22"/>
        </w:rPr>
      </w:pPr>
      <w:r w:rsidRPr="005D5F6B">
        <w:rPr>
          <w:sz w:val="22"/>
          <w:szCs w:val="22"/>
        </w:rPr>
        <w:t xml:space="preserve">A 5-year follow up study on a </w:t>
      </w:r>
      <w:r w:rsidR="00700B2A">
        <w:rPr>
          <w:sz w:val="22"/>
          <w:szCs w:val="22"/>
        </w:rPr>
        <w:t>sample of almost 5,000 p</w:t>
      </w:r>
      <w:r w:rsidR="003664FB">
        <w:rPr>
          <w:sz w:val="22"/>
          <w:szCs w:val="22"/>
        </w:rPr>
        <w:t>risoners</w:t>
      </w:r>
      <w:r w:rsidRPr="005D5F6B">
        <w:rPr>
          <w:sz w:val="22"/>
          <w:szCs w:val="22"/>
        </w:rPr>
        <w:t xml:space="preserve"> </w:t>
      </w:r>
      <w:r w:rsidR="005003B9">
        <w:rPr>
          <w:sz w:val="22"/>
          <w:szCs w:val="22"/>
        </w:rPr>
        <w:t xml:space="preserve">released </w:t>
      </w:r>
      <w:r w:rsidRPr="005D5F6B">
        <w:rPr>
          <w:sz w:val="22"/>
          <w:szCs w:val="22"/>
        </w:rPr>
        <w:t>in 2002/03 found</w:t>
      </w:r>
      <w:r w:rsidR="004563BC">
        <w:rPr>
          <w:sz w:val="22"/>
          <w:szCs w:val="22"/>
        </w:rPr>
        <w:t xml:space="preserve"> that</w:t>
      </w:r>
      <w:r w:rsidR="008A44E8">
        <w:rPr>
          <w:sz w:val="22"/>
          <w:szCs w:val="22"/>
        </w:rPr>
        <w:t xml:space="preserve"> at the </w:t>
      </w:r>
      <w:r w:rsidRPr="005D5F6B">
        <w:rPr>
          <w:sz w:val="22"/>
          <w:szCs w:val="22"/>
        </w:rPr>
        <w:t xml:space="preserve">5-year mark, just over half, 52%, </w:t>
      </w:r>
      <w:r w:rsidR="005003B9">
        <w:rPr>
          <w:sz w:val="22"/>
          <w:szCs w:val="22"/>
        </w:rPr>
        <w:t>were back in prison</w:t>
      </w:r>
      <w:r w:rsidRPr="005D5F6B">
        <w:rPr>
          <w:sz w:val="22"/>
          <w:szCs w:val="22"/>
        </w:rPr>
        <w:t>, and 71% had been reconvicted.</w:t>
      </w:r>
      <w:r w:rsidRPr="005D5F6B">
        <w:rPr>
          <w:rStyle w:val="FootnoteReference"/>
          <w:sz w:val="22"/>
          <w:szCs w:val="22"/>
        </w:rPr>
        <w:footnoteReference w:id="3"/>
      </w:r>
      <w:r w:rsidR="008A44E8">
        <w:rPr>
          <w:sz w:val="22"/>
          <w:szCs w:val="22"/>
        </w:rPr>
        <w:t xml:space="preserve"> </w:t>
      </w:r>
    </w:p>
    <w:p w14:paraId="4A88A82F" w14:textId="77777777" w:rsidR="00DD4718" w:rsidRDefault="00DD4718" w:rsidP="00DD4718">
      <w:pPr>
        <w:ind w:left="720"/>
        <w:rPr>
          <w:rFonts w:ascii="Arial Narrow" w:hAnsi="Arial Narrow" w:cs="Arial"/>
          <w:sz w:val="22"/>
          <w:szCs w:val="22"/>
        </w:rPr>
      </w:pPr>
    </w:p>
    <w:p w14:paraId="287234B2" w14:textId="77777777" w:rsidR="00DD4718" w:rsidRDefault="00DD4718" w:rsidP="00DD4718">
      <w:pPr>
        <w:rPr>
          <w:rFonts w:ascii="Arial Narrow" w:hAnsi="Arial Narrow"/>
        </w:rPr>
      </w:pPr>
      <w:r w:rsidRPr="00FF62FA">
        <w:rPr>
          <w:noProof/>
          <w:shd w:val="clear" w:color="auto" w:fill="7F7F7F" w:themeFill="text1" w:themeFillTint="80"/>
        </w:rPr>
        <w:drawing>
          <wp:inline distT="0" distB="0" distL="0" distR="0" wp14:anchorId="2E6C8329" wp14:editId="13F083E7">
            <wp:extent cx="4572000" cy="2743200"/>
            <wp:effectExtent l="0" t="0" r="25400" b="254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05C6988" w14:textId="77777777" w:rsidR="00DD4718" w:rsidRDefault="00DD4718" w:rsidP="00DD4718">
      <w:pPr>
        <w:rPr>
          <w:rFonts w:ascii="Arial Narrow" w:hAnsi="Arial Narrow"/>
        </w:rPr>
      </w:pPr>
    </w:p>
    <w:p w14:paraId="62D91302" w14:textId="6D122A13" w:rsidR="00D03937" w:rsidRPr="004F30E7" w:rsidRDefault="00C12B1E" w:rsidP="00D03937">
      <w:pPr>
        <w:pStyle w:val="ListParagraph"/>
        <w:ind w:left="5"/>
        <w:rPr>
          <w:sz w:val="22"/>
          <w:szCs w:val="22"/>
        </w:rPr>
      </w:pPr>
      <w:r>
        <w:rPr>
          <w:sz w:val="22"/>
          <w:szCs w:val="22"/>
        </w:rPr>
        <w:t>N</w:t>
      </w:r>
      <w:r w:rsidR="00D03937" w:rsidRPr="005D5F6B">
        <w:rPr>
          <w:sz w:val="22"/>
          <w:szCs w:val="22"/>
        </w:rPr>
        <w:t xml:space="preserve">ot all crimes are detected and punished, and there is a natural tendency for people to </w:t>
      </w:r>
      <w:r w:rsidR="005003B9">
        <w:rPr>
          <w:sz w:val="22"/>
          <w:szCs w:val="22"/>
        </w:rPr>
        <w:t xml:space="preserve">commit fewer crimes </w:t>
      </w:r>
      <w:r w:rsidR="00D03937" w:rsidRPr="005D5F6B">
        <w:rPr>
          <w:sz w:val="22"/>
          <w:szCs w:val="22"/>
        </w:rPr>
        <w:t xml:space="preserve">as they age, </w:t>
      </w:r>
      <w:r>
        <w:rPr>
          <w:sz w:val="22"/>
          <w:szCs w:val="22"/>
        </w:rPr>
        <w:t xml:space="preserve">so </w:t>
      </w:r>
      <w:r w:rsidR="00D03937" w:rsidRPr="005D5F6B">
        <w:rPr>
          <w:sz w:val="22"/>
          <w:szCs w:val="22"/>
        </w:rPr>
        <w:t xml:space="preserve">the actual failure of </w:t>
      </w:r>
      <w:r w:rsidR="00D03937">
        <w:rPr>
          <w:sz w:val="22"/>
          <w:szCs w:val="22"/>
        </w:rPr>
        <w:t xml:space="preserve">New Zealand </w:t>
      </w:r>
      <w:r w:rsidR="00D03937" w:rsidRPr="005D5F6B">
        <w:rPr>
          <w:sz w:val="22"/>
          <w:szCs w:val="22"/>
        </w:rPr>
        <w:t xml:space="preserve">prisons to deter </w:t>
      </w:r>
      <w:r w:rsidR="005003B9">
        <w:rPr>
          <w:sz w:val="22"/>
          <w:szCs w:val="22"/>
        </w:rPr>
        <w:t xml:space="preserve">offending </w:t>
      </w:r>
      <w:r w:rsidR="00D03937" w:rsidRPr="005D5F6B">
        <w:rPr>
          <w:sz w:val="22"/>
          <w:szCs w:val="22"/>
        </w:rPr>
        <w:t xml:space="preserve">or </w:t>
      </w:r>
      <w:r w:rsidR="005003B9">
        <w:rPr>
          <w:sz w:val="22"/>
          <w:szCs w:val="22"/>
        </w:rPr>
        <w:t xml:space="preserve">to </w:t>
      </w:r>
      <w:r w:rsidR="00D03937" w:rsidRPr="005D5F6B">
        <w:rPr>
          <w:sz w:val="22"/>
          <w:szCs w:val="22"/>
        </w:rPr>
        <w:t>rehabilitate could be close to 100%.</w:t>
      </w:r>
      <w:r w:rsidR="00D03937">
        <w:rPr>
          <w:sz w:val="22"/>
          <w:szCs w:val="22"/>
        </w:rPr>
        <w:t xml:space="preserve">  </w:t>
      </w:r>
    </w:p>
    <w:p w14:paraId="34494A38" w14:textId="77777777" w:rsidR="00DD4718" w:rsidRPr="005D5F6B" w:rsidRDefault="00DD4718" w:rsidP="00DD4718">
      <w:pPr>
        <w:pStyle w:val="ListParagraph"/>
        <w:ind w:left="5"/>
        <w:rPr>
          <w:sz w:val="22"/>
          <w:szCs w:val="22"/>
        </w:rPr>
      </w:pPr>
    </w:p>
    <w:p w14:paraId="7AB10894" w14:textId="7C5B31D8" w:rsidR="00DD4718" w:rsidRDefault="00DD4718" w:rsidP="00DD4718">
      <w:pPr>
        <w:pStyle w:val="ListParagraph"/>
        <w:ind w:left="5"/>
        <w:rPr>
          <w:sz w:val="22"/>
          <w:szCs w:val="22"/>
        </w:rPr>
      </w:pPr>
      <w:r w:rsidRPr="005D5F6B">
        <w:rPr>
          <w:sz w:val="22"/>
          <w:szCs w:val="22"/>
        </w:rPr>
        <w:t xml:space="preserve">There are </w:t>
      </w:r>
      <w:r w:rsidR="003A77BF">
        <w:rPr>
          <w:sz w:val="22"/>
          <w:szCs w:val="22"/>
        </w:rPr>
        <w:t xml:space="preserve">credible </w:t>
      </w:r>
      <w:r w:rsidR="005003B9">
        <w:rPr>
          <w:sz w:val="22"/>
          <w:szCs w:val="22"/>
        </w:rPr>
        <w:t>explanations:</w:t>
      </w:r>
    </w:p>
    <w:p w14:paraId="74A3057B" w14:textId="77777777" w:rsidR="00DD4718" w:rsidRDefault="00DD4718" w:rsidP="00DD4718">
      <w:pPr>
        <w:pStyle w:val="ListParagraph"/>
        <w:ind w:left="5"/>
        <w:rPr>
          <w:sz w:val="22"/>
          <w:szCs w:val="22"/>
        </w:rPr>
      </w:pPr>
      <w:r w:rsidRPr="005D5F6B">
        <w:rPr>
          <w:sz w:val="22"/>
          <w:szCs w:val="22"/>
        </w:rPr>
        <w:t xml:space="preserve"> </w:t>
      </w:r>
    </w:p>
    <w:p w14:paraId="2D16394B" w14:textId="1C0ED490" w:rsidR="00DD4718" w:rsidRDefault="003A77BF" w:rsidP="00DD4718">
      <w:pPr>
        <w:pStyle w:val="ListParagraph"/>
        <w:numPr>
          <w:ilvl w:val="0"/>
          <w:numId w:val="2"/>
        </w:numPr>
        <w:rPr>
          <w:sz w:val="22"/>
          <w:szCs w:val="22"/>
        </w:rPr>
      </w:pPr>
      <w:r>
        <w:rPr>
          <w:sz w:val="22"/>
          <w:szCs w:val="22"/>
        </w:rPr>
        <w:t>P</w:t>
      </w:r>
      <w:r w:rsidR="00DD4718" w:rsidRPr="005D5F6B">
        <w:rPr>
          <w:sz w:val="22"/>
          <w:szCs w:val="22"/>
        </w:rPr>
        <w:t xml:space="preserve">risons are ‘schools for crime’ </w:t>
      </w:r>
      <w:r w:rsidR="005003B9">
        <w:rPr>
          <w:sz w:val="22"/>
          <w:szCs w:val="22"/>
        </w:rPr>
        <w:t>- an</w:t>
      </w:r>
      <w:r w:rsidR="00E6547A">
        <w:rPr>
          <w:sz w:val="22"/>
          <w:szCs w:val="22"/>
        </w:rPr>
        <w:t>d</w:t>
      </w:r>
      <w:r w:rsidR="00DD4718" w:rsidRPr="005D5F6B">
        <w:rPr>
          <w:sz w:val="22"/>
          <w:szCs w:val="22"/>
        </w:rPr>
        <w:t xml:space="preserve"> ideal place to recruit for criminal enterprises. </w:t>
      </w:r>
    </w:p>
    <w:p w14:paraId="48A0C498" w14:textId="5A520B89" w:rsidR="00DD4718" w:rsidRDefault="003A77BF" w:rsidP="00DD4718">
      <w:pPr>
        <w:pStyle w:val="ListParagraph"/>
        <w:numPr>
          <w:ilvl w:val="0"/>
          <w:numId w:val="2"/>
        </w:numPr>
        <w:rPr>
          <w:sz w:val="22"/>
          <w:szCs w:val="22"/>
        </w:rPr>
      </w:pPr>
      <w:r>
        <w:rPr>
          <w:sz w:val="22"/>
          <w:szCs w:val="22"/>
        </w:rPr>
        <w:t>T</w:t>
      </w:r>
      <w:r w:rsidR="00DD4718">
        <w:rPr>
          <w:sz w:val="22"/>
          <w:szCs w:val="22"/>
        </w:rPr>
        <w:t xml:space="preserve">he stigma of </w:t>
      </w:r>
      <w:r w:rsidR="00DD4718" w:rsidRPr="005D5F6B">
        <w:rPr>
          <w:sz w:val="22"/>
          <w:szCs w:val="22"/>
        </w:rPr>
        <w:t xml:space="preserve">prison makes it harder for </w:t>
      </w:r>
      <w:r w:rsidR="00DD4718">
        <w:rPr>
          <w:sz w:val="22"/>
          <w:szCs w:val="22"/>
        </w:rPr>
        <w:t xml:space="preserve">ex-prisoners </w:t>
      </w:r>
      <w:r w:rsidR="00DD4718" w:rsidRPr="005D5F6B">
        <w:rPr>
          <w:sz w:val="22"/>
          <w:szCs w:val="22"/>
        </w:rPr>
        <w:t>to find employm</w:t>
      </w:r>
      <w:r w:rsidR="00DD4718">
        <w:rPr>
          <w:sz w:val="22"/>
          <w:szCs w:val="22"/>
        </w:rPr>
        <w:t>ent and reintegrate into the law-abiding community</w:t>
      </w:r>
      <w:r w:rsidR="00DD4718" w:rsidRPr="005D5F6B">
        <w:rPr>
          <w:sz w:val="22"/>
          <w:szCs w:val="22"/>
        </w:rPr>
        <w:t xml:space="preserve">. </w:t>
      </w:r>
    </w:p>
    <w:p w14:paraId="5AA2C698" w14:textId="4056B08D" w:rsidR="00DD4718" w:rsidRPr="005D5F6B" w:rsidRDefault="003A77BF" w:rsidP="00DD4718">
      <w:pPr>
        <w:pStyle w:val="ListParagraph"/>
        <w:numPr>
          <w:ilvl w:val="0"/>
          <w:numId w:val="2"/>
        </w:numPr>
        <w:rPr>
          <w:sz w:val="22"/>
          <w:szCs w:val="22"/>
        </w:rPr>
      </w:pPr>
      <w:r>
        <w:rPr>
          <w:sz w:val="22"/>
          <w:szCs w:val="22"/>
        </w:rPr>
        <w:lastRenderedPageBreak/>
        <w:t>M</w:t>
      </w:r>
      <w:r w:rsidR="00DD4718" w:rsidRPr="005D5F6B">
        <w:rPr>
          <w:sz w:val="22"/>
          <w:szCs w:val="22"/>
        </w:rPr>
        <w:t>any prisoners have problems– substance abuse, mental d</w:t>
      </w:r>
      <w:r w:rsidR="00D33ACB">
        <w:rPr>
          <w:sz w:val="22"/>
          <w:szCs w:val="22"/>
        </w:rPr>
        <w:t>isorders, low literacy</w:t>
      </w:r>
      <w:r w:rsidR="00DD4718" w:rsidRPr="005D5F6B">
        <w:rPr>
          <w:sz w:val="22"/>
          <w:szCs w:val="22"/>
        </w:rPr>
        <w:t xml:space="preserve"> – that are connected to the choices they have made and which prison either fails to adequately address or makes worse. </w:t>
      </w:r>
    </w:p>
    <w:p w14:paraId="5F511D3F" w14:textId="77777777" w:rsidR="00DD4718" w:rsidRDefault="00DD4718" w:rsidP="00DD4718">
      <w:pPr>
        <w:rPr>
          <w:sz w:val="22"/>
          <w:szCs w:val="22"/>
        </w:rPr>
      </w:pPr>
    </w:p>
    <w:p w14:paraId="1CE63D4A" w14:textId="2FEA3BFE" w:rsidR="00DD4718" w:rsidRDefault="00DA2B24" w:rsidP="00DD4718">
      <w:pPr>
        <w:rPr>
          <w:sz w:val="22"/>
          <w:szCs w:val="22"/>
        </w:rPr>
      </w:pPr>
      <w:r>
        <w:rPr>
          <w:sz w:val="22"/>
          <w:szCs w:val="22"/>
        </w:rPr>
        <w:t xml:space="preserve">Prison is failing to reduce crime, and may in fact be increasing it. </w:t>
      </w:r>
    </w:p>
    <w:p w14:paraId="14335EDA" w14:textId="77777777" w:rsidR="00DD4718" w:rsidRDefault="00DD4718" w:rsidP="00DD4718">
      <w:pPr>
        <w:rPr>
          <w:sz w:val="22"/>
          <w:szCs w:val="22"/>
        </w:rPr>
      </w:pPr>
    </w:p>
    <w:p w14:paraId="11CA8F64" w14:textId="1BC047D3" w:rsidR="00DD4718" w:rsidRPr="00801AA5" w:rsidRDefault="00DD4718" w:rsidP="00DD4718">
      <w:pPr>
        <w:spacing w:before="80"/>
        <w:rPr>
          <w:rFonts w:ascii="Arial Narrow" w:hAnsi="Arial Narrow"/>
          <w:i/>
          <w:sz w:val="22"/>
          <w:szCs w:val="22"/>
        </w:rPr>
      </w:pPr>
      <w:r w:rsidRPr="00801AA5">
        <w:rPr>
          <w:rFonts w:ascii="Arial Narrow" w:hAnsi="Arial Narrow"/>
          <w:i/>
          <w:sz w:val="22"/>
          <w:szCs w:val="22"/>
        </w:rPr>
        <w:t>2. The main dri</w:t>
      </w:r>
      <w:r>
        <w:rPr>
          <w:rFonts w:ascii="Arial Narrow" w:hAnsi="Arial Narrow"/>
          <w:i/>
          <w:sz w:val="22"/>
          <w:szCs w:val="22"/>
        </w:rPr>
        <w:t>vers of crime are</w:t>
      </w:r>
      <w:r w:rsidRPr="00801AA5">
        <w:rPr>
          <w:rFonts w:ascii="Arial Narrow" w:hAnsi="Arial Narrow"/>
          <w:i/>
          <w:sz w:val="22"/>
          <w:szCs w:val="22"/>
        </w:rPr>
        <w:t xml:space="preserve"> social and economic</w:t>
      </w:r>
    </w:p>
    <w:p w14:paraId="22EB99AA" w14:textId="77777777" w:rsidR="00DD4718" w:rsidRPr="0044362B" w:rsidRDefault="00DD4718" w:rsidP="00DD4718">
      <w:pPr>
        <w:spacing w:before="80"/>
        <w:rPr>
          <w:sz w:val="16"/>
          <w:szCs w:val="16"/>
        </w:rPr>
      </w:pPr>
      <w:r w:rsidRPr="00462E2C">
        <w:rPr>
          <w:sz w:val="22"/>
          <w:szCs w:val="22"/>
        </w:rPr>
        <w:t xml:space="preserve"> </w:t>
      </w:r>
    </w:p>
    <w:p w14:paraId="4372DA49" w14:textId="4DB23F5E" w:rsidR="00DD4718" w:rsidRDefault="00DD4718" w:rsidP="00DD4718">
      <w:pPr>
        <w:pStyle w:val="ListParagraph"/>
        <w:ind w:left="0"/>
        <w:rPr>
          <w:sz w:val="22"/>
          <w:szCs w:val="22"/>
        </w:rPr>
      </w:pPr>
      <w:r>
        <w:rPr>
          <w:sz w:val="22"/>
          <w:szCs w:val="22"/>
        </w:rPr>
        <w:t>Like health and education, cr</w:t>
      </w:r>
      <w:r w:rsidR="00814BEE">
        <w:rPr>
          <w:sz w:val="22"/>
          <w:szCs w:val="22"/>
        </w:rPr>
        <w:t>ime is</w:t>
      </w:r>
      <w:r w:rsidRPr="005D5F6B">
        <w:rPr>
          <w:sz w:val="22"/>
          <w:szCs w:val="22"/>
        </w:rPr>
        <w:t xml:space="preserve"> largely determined by what ha</w:t>
      </w:r>
      <w:r w:rsidR="001D174E">
        <w:rPr>
          <w:sz w:val="22"/>
          <w:szCs w:val="22"/>
        </w:rPr>
        <w:t>ppens in society, not</w:t>
      </w:r>
      <w:r w:rsidR="002D0B9F">
        <w:rPr>
          <w:sz w:val="22"/>
          <w:szCs w:val="22"/>
        </w:rPr>
        <w:t xml:space="preserve"> what happens</w:t>
      </w:r>
      <w:r w:rsidR="001D174E">
        <w:rPr>
          <w:sz w:val="22"/>
          <w:szCs w:val="22"/>
        </w:rPr>
        <w:t xml:space="preserve"> in the</w:t>
      </w:r>
      <w:r w:rsidRPr="005D5F6B">
        <w:rPr>
          <w:sz w:val="22"/>
          <w:szCs w:val="22"/>
        </w:rPr>
        <w:t xml:space="preserve"> criminal justice system.</w:t>
      </w:r>
      <w:r>
        <w:rPr>
          <w:sz w:val="22"/>
          <w:szCs w:val="22"/>
        </w:rPr>
        <w:t xml:space="preserve"> </w:t>
      </w:r>
    </w:p>
    <w:p w14:paraId="282CFFF5" w14:textId="77777777" w:rsidR="00DD4718" w:rsidRDefault="00DD4718" w:rsidP="00DD4718">
      <w:pPr>
        <w:pStyle w:val="ListParagraph"/>
        <w:ind w:left="0"/>
        <w:rPr>
          <w:sz w:val="22"/>
          <w:szCs w:val="22"/>
        </w:rPr>
      </w:pPr>
    </w:p>
    <w:p w14:paraId="616420E2" w14:textId="371B475E" w:rsidR="00DD4718" w:rsidRDefault="00DD4718" w:rsidP="00DD4718">
      <w:pPr>
        <w:pStyle w:val="ListParagraph"/>
        <w:ind w:left="0"/>
        <w:rPr>
          <w:sz w:val="22"/>
          <w:szCs w:val="22"/>
        </w:rPr>
      </w:pPr>
      <w:r>
        <w:rPr>
          <w:sz w:val="22"/>
          <w:szCs w:val="22"/>
        </w:rPr>
        <w:t xml:space="preserve">One of the most consistent research findings is the link between socio-economic deprivation or disadvantage and </w:t>
      </w:r>
      <w:r w:rsidR="00D824E9">
        <w:rPr>
          <w:sz w:val="22"/>
          <w:szCs w:val="22"/>
        </w:rPr>
        <w:t xml:space="preserve">elevated rates of </w:t>
      </w:r>
      <w:r>
        <w:rPr>
          <w:sz w:val="22"/>
          <w:szCs w:val="22"/>
        </w:rPr>
        <w:t>crime. These findings have been replicated in many societies and using different measures of socio-economic disadvantage.</w:t>
      </w:r>
      <w:r>
        <w:rPr>
          <w:rStyle w:val="FootnoteReference"/>
          <w:sz w:val="22"/>
          <w:szCs w:val="22"/>
        </w:rPr>
        <w:footnoteReference w:id="4"/>
      </w:r>
      <w:r>
        <w:rPr>
          <w:sz w:val="22"/>
          <w:szCs w:val="22"/>
        </w:rPr>
        <w:t xml:space="preserve"> </w:t>
      </w:r>
    </w:p>
    <w:p w14:paraId="594E77DC" w14:textId="77777777" w:rsidR="00DD4718" w:rsidRDefault="00DD4718" w:rsidP="00DD4718">
      <w:pPr>
        <w:pStyle w:val="ListParagraph"/>
        <w:ind w:left="0"/>
        <w:rPr>
          <w:sz w:val="22"/>
          <w:szCs w:val="22"/>
        </w:rPr>
      </w:pPr>
    </w:p>
    <w:p w14:paraId="32591322" w14:textId="71B8D5D4" w:rsidR="00DD4718" w:rsidRDefault="00DD4718" w:rsidP="00DD4718">
      <w:pPr>
        <w:pStyle w:val="ListParagraph"/>
        <w:ind w:left="0"/>
        <w:rPr>
          <w:sz w:val="22"/>
          <w:szCs w:val="22"/>
        </w:rPr>
      </w:pPr>
      <w:r>
        <w:rPr>
          <w:sz w:val="22"/>
          <w:szCs w:val="22"/>
        </w:rPr>
        <w:t xml:space="preserve">In addition, there appears to be a relationship between </w:t>
      </w:r>
      <w:r w:rsidR="00604B34">
        <w:rPr>
          <w:sz w:val="22"/>
          <w:szCs w:val="22"/>
        </w:rPr>
        <w:t>a country’s</w:t>
      </w:r>
      <w:r>
        <w:rPr>
          <w:sz w:val="22"/>
          <w:szCs w:val="22"/>
        </w:rPr>
        <w:t xml:space="preserve"> </w:t>
      </w:r>
      <w:r w:rsidR="00EA3365">
        <w:rPr>
          <w:sz w:val="22"/>
          <w:szCs w:val="22"/>
        </w:rPr>
        <w:t>prison population</w:t>
      </w:r>
      <w:r w:rsidR="005003B9">
        <w:rPr>
          <w:sz w:val="22"/>
          <w:szCs w:val="22"/>
        </w:rPr>
        <w:t xml:space="preserve"> </w:t>
      </w:r>
      <w:r>
        <w:rPr>
          <w:sz w:val="22"/>
          <w:szCs w:val="22"/>
        </w:rPr>
        <w:t>rate (the number of people in prison per 100,000 of the general population) and e</w:t>
      </w:r>
      <w:r w:rsidR="00604B34">
        <w:rPr>
          <w:sz w:val="22"/>
          <w:szCs w:val="22"/>
        </w:rPr>
        <w:t>conomic inequality:</w:t>
      </w:r>
      <w:r w:rsidR="00F05D11">
        <w:rPr>
          <w:sz w:val="22"/>
          <w:szCs w:val="22"/>
        </w:rPr>
        <w:t xml:space="preserve"> the more economic </w:t>
      </w:r>
      <w:r>
        <w:rPr>
          <w:sz w:val="22"/>
          <w:szCs w:val="22"/>
        </w:rPr>
        <w:t xml:space="preserve">inequality the higher </w:t>
      </w:r>
      <w:r w:rsidR="006418EF">
        <w:rPr>
          <w:sz w:val="22"/>
          <w:szCs w:val="22"/>
        </w:rPr>
        <w:t xml:space="preserve">the </w:t>
      </w:r>
      <w:r w:rsidR="00EA3365">
        <w:rPr>
          <w:sz w:val="22"/>
          <w:szCs w:val="22"/>
        </w:rPr>
        <w:t>prison population</w:t>
      </w:r>
      <w:r w:rsidR="006418EF">
        <w:rPr>
          <w:sz w:val="22"/>
          <w:szCs w:val="22"/>
        </w:rPr>
        <w:t xml:space="preserve"> rate</w:t>
      </w:r>
      <w:r>
        <w:rPr>
          <w:sz w:val="22"/>
          <w:szCs w:val="22"/>
        </w:rPr>
        <w:t>.</w:t>
      </w:r>
      <w:r>
        <w:rPr>
          <w:rStyle w:val="FootnoteReference"/>
          <w:sz w:val="22"/>
          <w:szCs w:val="22"/>
        </w:rPr>
        <w:footnoteReference w:id="5"/>
      </w:r>
    </w:p>
    <w:p w14:paraId="1E3FBB85" w14:textId="77777777" w:rsidR="00DD4718" w:rsidRDefault="00DD4718" w:rsidP="00DD4718">
      <w:pPr>
        <w:pStyle w:val="ListParagraph"/>
        <w:ind w:left="0"/>
        <w:rPr>
          <w:sz w:val="22"/>
          <w:szCs w:val="22"/>
        </w:rPr>
      </w:pPr>
    </w:p>
    <w:p w14:paraId="0E09B1B0" w14:textId="6374FB36" w:rsidR="00DD4718" w:rsidRPr="002B74E5" w:rsidRDefault="00341A62" w:rsidP="00DD4718">
      <w:pPr>
        <w:rPr>
          <w:sz w:val="22"/>
          <w:szCs w:val="22"/>
          <w:lang w:val="en-NZ"/>
        </w:rPr>
      </w:pPr>
      <w:r>
        <w:rPr>
          <w:sz w:val="22"/>
          <w:szCs w:val="22"/>
        </w:rPr>
        <w:t>Also, i</w:t>
      </w:r>
      <w:r w:rsidR="00DD4718">
        <w:rPr>
          <w:sz w:val="22"/>
          <w:szCs w:val="22"/>
        </w:rPr>
        <w:t>nternational comparisons</w:t>
      </w:r>
      <w:r w:rsidR="00DD4718" w:rsidRPr="00B8591C">
        <w:rPr>
          <w:sz w:val="22"/>
          <w:szCs w:val="22"/>
        </w:rPr>
        <w:t xml:space="preserve"> suggest a link between economic inequality and both </w:t>
      </w:r>
      <w:r w:rsidR="00DD4718">
        <w:rPr>
          <w:sz w:val="22"/>
          <w:szCs w:val="22"/>
        </w:rPr>
        <w:t xml:space="preserve">property crime and </w:t>
      </w:r>
      <w:r w:rsidR="00DD4718" w:rsidRPr="00B8591C">
        <w:rPr>
          <w:sz w:val="22"/>
          <w:szCs w:val="22"/>
        </w:rPr>
        <w:t>violent crime</w:t>
      </w:r>
      <w:r w:rsidR="00DD4718">
        <w:rPr>
          <w:sz w:val="22"/>
          <w:szCs w:val="22"/>
        </w:rPr>
        <w:t>.</w:t>
      </w:r>
      <w:r w:rsidR="00DD4718">
        <w:rPr>
          <w:rStyle w:val="FootnoteReference"/>
          <w:sz w:val="22"/>
          <w:szCs w:val="22"/>
        </w:rPr>
        <w:footnoteReference w:id="6"/>
      </w:r>
      <w:r w:rsidR="00481E91">
        <w:rPr>
          <w:sz w:val="22"/>
          <w:szCs w:val="22"/>
        </w:rPr>
        <w:t xml:space="preserve"> P</w:t>
      </w:r>
      <w:r w:rsidR="00DD4718" w:rsidRPr="00C66135">
        <w:rPr>
          <w:sz w:val="22"/>
          <w:szCs w:val="22"/>
        </w:rPr>
        <w:t xml:space="preserve">roperty crime is </w:t>
      </w:r>
      <w:r w:rsidR="00DD4718">
        <w:rPr>
          <w:sz w:val="22"/>
          <w:szCs w:val="22"/>
        </w:rPr>
        <w:t xml:space="preserve">strongly related </w:t>
      </w:r>
      <w:r w:rsidR="00DD4718" w:rsidRPr="00C66135">
        <w:rPr>
          <w:sz w:val="22"/>
          <w:szCs w:val="22"/>
        </w:rPr>
        <w:t>to changing income inequality.</w:t>
      </w:r>
      <w:r w:rsidR="00125F29">
        <w:rPr>
          <w:sz w:val="22"/>
          <w:szCs w:val="22"/>
        </w:rPr>
        <w:t xml:space="preserve"> The </w:t>
      </w:r>
      <w:r w:rsidR="00DD4718">
        <w:rPr>
          <w:sz w:val="22"/>
          <w:szCs w:val="22"/>
        </w:rPr>
        <w:t>evidence on violent crime is more equivocal.</w:t>
      </w:r>
      <w:r w:rsidR="00DD4718">
        <w:rPr>
          <w:sz w:val="22"/>
          <w:szCs w:val="22"/>
          <w:lang w:val="en-NZ"/>
        </w:rPr>
        <w:t xml:space="preserve"> </w:t>
      </w:r>
      <w:r w:rsidR="00DD4718" w:rsidRPr="00B8591C">
        <w:rPr>
          <w:sz w:val="22"/>
          <w:szCs w:val="22"/>
        </w:rPr>
        <w:t xml:space="preserve">North American and </w:t>
      </w:r>
      <w:r w:rsidR="00DD4718">
        <w:rPr>
          <w:sz w:val="22"/>
          <w:szCs w:val="22"/>
        </w:rPr>
        <w:t xml:space="preserve">some </w:t>
      </w:r>
      <w:r w:rsidR="00DD4718" w:rsidRPr="00B8591C">
        <w:rPr>
          <w:sz w:val="22"/>
          <w:szCs w:val="22"/>
        </w:rPr>
        <w:t>inte</w:t>
      </w:r>
      <w:r w:rsidR="00125F29">
        <w:rPr>
          <w:sz w:val="22"/>
          <w:szCs w:val="22"/>
        </w:rPr>
        <w:t xml:space="preserve">rnational analyses validate a positive </w:t>
      </w:r>
      <w:r w:rsidR="00DD4718" w:rsidRPr="00B8591C">
        <w:rPr>
          <w:sz w:val="22"/>
          <w:szCs w:val="22"/>
        </w:rPr>
        <w:t>relationship</w:t>
      </w:r>
      <w:r w:rsidR="00125F29">
        <w:rPr>
          <w:sz w:val="22"/>
          <w:szCs w:val="22"/>
        </w:rPr>
        <w:t xml:space="preserve"> between inequality and violent crime</w:t>
      </w:r>
      <w:r w:rsidR="00DD4718" w:rsidRPr="00B8591C">
        <w:rPr>
          <w:sz w:val="22"/>
          <w:szCs w:val="22"/>
        </w:rPr>
        <w:t>,</w:t>
      </w:r>
      <w:r w:rsidR="00DD4718">
        <w:rPr>
          <w:sz w:val="22"/>
          <w:szCs w:val="22"/>
        </w:rPr>
        <w:t xml:space="preserve"> while the European data is</w:t>
      </w:r>
      <w:r w:rsidR="00DD4718" w:rsidRPr="00B8591C">
        <w:rPr>
          <w:sz w:val="22"/>
          <w:szCs w:val="22"/>
        </w:rPr>
        <w:t xml:space="preserve"> less conclusive.</w:t>
      </w:r>
      <w:r w:rsidR="00DD4718">
        <w:rPr>
          <w:rStyle w:val="FootnoteReference"/>
          <w:sz w:val="22"/>
          <w:szCs w:val="22"/>
        </w:rPr>
        <w:footnoteReference w:id="7"/>
      </w:r>
      <w:r w:rsidR="00DD4718">
        <w:rPr>
          <w:sz w:val="22"/>
          <w:szCs w:val="22"/>
        </w:rPr>
        <w:t xml:space="preserve"> </w:t>
      </w:r>
    </w:p>
    <w:p w14:paraId="24F274A5" w14:textId="77777777" w:rsidR="00DD4718" w:rsidRPr="00AB7346" w:rsidRDefault="00DD4718" w:rsidP="00DD4718">
      <w:pPr>
        <w:pStyle w:val="ListParagraph"/>
        <w:ind w:left="0"/>
        <w:rPr>
          <w:sz w:val="22"/>
          <w:szCs w:val="22"/>
        </w:rPr>
      </w:pPr>
    </w:p>
    <w:p w14:paraId="0471B144" w14:textId="2A6B2C59" w:rsidR="00DD4718" w:rsidRPr="00FF33E9" w:rsidRDefault="00775183" w:rsidP="00DD4718">
      <w:pPr>
        <w:rPr>
          <w:sz w:val="22"/>
          <w:szCs w:val="22"/>
        </w:rPr>
      </w:pPr>
      <w:r>
        <w:rPr>
          <w:sz w:val="22"/>
          <w:szCs w:val="22"/>
        </w:rPr>
        <w:t xml:space="preserve">A fundamental objective of TOP’s policies is to </w:t>
      </w:r>
      <w:r w:rsidR="00DD4718">
        <w:rPr>
          <w:sz w:val="22"/>
          <w:szCs w:val="22"/>
        </w:rPr>
        <w:t>reduce</w:t>
      </w:r>
      <w:r w:rsidR="00DD4718" w:rsidRPr="00AB7346">
        <w:rPr>
          <w:sz w:val="22"/>
          <w:szCs w:val="22"/>
        </w:rPr>
        <w:t xml:space="preserve"> </w:t>
      </w:r>
      <w:r w:rsidR="00DD4718">
        <w:rPr>
          <w:sz w:val="22"/>
          <w:szCs w:val="22"/>
        </w:rPr>
        <w:t xml:space="preserve">economic </w:t>
      </w:r>
      <w:r w:rsidR="00DD4718" w:rsidRPr="00AB7346">
        <w:rPr>
          <w:sz w:val="22"/>
          <w:szCs w:val="22"/>
        </w:rPr>
        <w:t>inequality</w:t>
      </w:r>
      <w:r w:rsidR="00DD4718">
        <w:rPr>
          <w:sz w:val="22"/>
          <w:szCs w:val="22"/>
        </w:rPr>
        <w:t xml:space="preserve"> and therefore crime rates</w:t>
      </w:r>
      <w:r w:rsidR="00DD4718" w:rsidRPr="00AB7346">
        <w:rPr>
          <w:sz w:val="22"/>
          <w:szCs w:val="22"/>
        </w:rPr>
        <w:t xml:space="preserve">. </w:t>
      </w:r>
      <w:r w:rsidR="00DD4718" w:rsidRPr="00FF33E9">
        <w:rPr>
          <w:sz w:val="22"/>
          <w:szCs w:val="22"/>
        </w:rPr>
        <w:t xml:space="preserve">Our </w:t>
      </w:r>
      <w:hyperlink r:id="rId11" w:history="1">
        <w:r w:rsidR="00DD4718" w:rsidRPr="00FF33E9">
          <w:rPr>
            <w:rStyle w:val="Hyperlink"/>
            <w:sz w:val="22"/>
            <w:szCs w:val="22"/>
          </w:rPr>
          <w:t>Tax Reform</w:t>
        </w:r>
      </w:hyperlink>
      <w:r w:rsidR="00DD4718" w:rsidRPr="00FF33E9">
        <w:rPr>
          <w:sz w:val="22"/>
          <w:szCs w:val="22"/>
        </w:rPr>
        <w:t xml:space="preserve"> </w:t>
      </w:r>
      <w:r w:rsidR="00DD4718">
        <w:rPr>
          <w:sz w:val="22"/>
          <w:szCs w:val="22"/>
        </w:rPr>
        <w:t xml:space="preserve">policy </w:t>
      </w:r>
      <w:r w:rsidR="00DD4718" w:rsidRPr="00FF33E9">
        <w:rPr>
          <w:sz w:val="22"/>
          <w:szCs w:val="22"/>
        </w:rPr>
        <w:t xml:space="preserve">will ensure </w:t>
      </w:r>
      <w:r w:rsidR="00DD4718">
        <w:rPr>
          <w:sz w:val="22"/>
          <w:szCs w:val="22"/>
        </w:rPr>
        <w:t xml:space="preserve">owners of </w:t>
      </w:r>
      <w:r w:rsidR="00DD4718" w:rsidRPr="00FF33E9">
        <w:rPr>
          <w:sz w:val="22"/>
          <w:szCs w:val="22"/>
        </w:rPr>
        <w:t xml:space="preserve">assets pay their fair share of tax, allowing us to cut income taxes by up to one third, making 80% of people (particularly renters and wage earners) better off. Our </w:t>
      </w:r>
      <w:hyperlink r:id="rId12" w:history="1">
        <w:r w:rsidR="00DD4718" w:rsidRPr="00FF33E9">
          <w:rPr>
            <w:rStyle w:val="Hyperlink"/>
            <w:sz w:val="22"/>
            <w:szCs w:val="22"/>
          </w:rPr>
          <w:t>Thriving Families policy</w:t>
        </w:r>
      </w:hyperlink>
      <w:r w:rsidR="00DD4718" w:rsidRPr="00FF33E9">
        <w:rPr>
          <w:sz w:val="22"/>
          <w:szCs w:val="22"/>
        </w:rPr>
        <w:t xml:space="preserve"> will help support </w:t>
      </w:r>
      <w:r w:rsidR="00DD4718">
        <w:rPr>
          <w:sz w:val="22"/>
          <w:szCs w:val="22"/>
        </w:rPr>
        <w:t xml:space="preserve">young </w:t>
      </w:r>
      <w:r w:rsidR="00DD4718" w:rsidRPr="00FF33E9">
        <w:rPr>
          <w:sz w:val="22"/>
          <w:szCs w:val="22"/>
        </w:rPr>
        <w:t>families</w:t>
      </w:r>
      <w:r w:rsidR="00DD4718">
        <w:rPr>
          <w:sz w:val="22"/>
          <w:szCs w:val="22"/>
        </w:rPr>
        <w:t xml:space="preserve"> (especially those with children under three)</w:t>
      </w:r>
      <w:r w:rsidR="00DD4718" w:rsidRPr="00FF33E9">
        <w:rPr>
          <w:sz w:val="22"/>
          <w:szCs w:val="22"/>
        </w:rPr>
        <w:t xml:space="preserve"> and all poor families with children. </w:t>
      </w:r>
      <w:r w:rsidR="00DA2B24">
        <w:rPr>
          <w:sz w:val="22"/>
          <w:szCs w:val="22"/>
        </w:rPr>
        <w:t xml:space="preserve">Our </w:t>
      </w:r>
      <w:hyperlink r:id="rId13" w:history="1">
        <w:r w:rsidR="00DA2B24" w:rsidRPr="00DA2B24">
          <w:rPr>
            <w:rStyle w:val="Hyperlink"/>
            <w:sz w:val="22"/>
            <w:szCs w:val="22"/>
          </w:rPr>
          <w:t>education policy</w:t>
        </w:r>
      </w:hyperlink>
      <w:r w:rsidR="00DA2B24">
        <w:rPr>
          <w:sz w:val="22"/>
          <w:szCs w:val="22"/>
        </w:rPr>
        <w:t xml:space="preserve"> will ensure all children can access free, high quality, full time early childhood education, which is the best way to reduce the learning outcomes between rich and poor. </w:t>
      </w:r>
      <w:r w:rsidR="00DD4718" w:rsidRPr="00FF33E9">
        <w:rPr>
          <w:sz w:val="22"/>
          <w:szCs w:val="22"/>
        </w:rPr>
        <w:t xml:space="preserve">Our </w:t>
      </w:r>
      <w:hyperlink r:id="rId14" w:history="1">
        <w:r w:rsidR="00DD4718" w:rsidRPr="00FF33E9">
          <w:rPr>
            <w:rStyle w:val="Hyperlink"/>
            <w:sz w:val="22"/>
            <w:szCs w:val="22"/>
          </w:rPr>
          <w:t>climate policy</w:t>
        </w:r>
      </w:hyperlink>
      <w:r w:rsidR="00DD4718" w:rsidRPr="00FF33E9">
        <w:rPr>
          <w:sz w:val="22"/>
          <w:szCs w:val="22"/>
        </w:rPr>
        <w:t xml:space="preserve"> will see a massive investment in housing insulation and energy efficient heating. This will be backed up by </w:t>
      </w:r>
      <w:hyperlink r:id="rId15" w:history="1">
        <w:r w:rsidR="00DD4718" w:rsidRPr="00FF33E9">
          <w:rPr>
            <w:rStyle w:val="Hyperlink"/>
            <w:sz w:val="22"/>
            <w:szCs w:val="22"/>
          </w:rPr>
          <w:t>greater rights for renters</w:t>
        </w:r>
      </w:hyperlink>
      <w:r w:rsidR="00DD4718" w:rsidRPr="00FF33E9">
        <w:rPr>
          <w:sz w:val="22"/>
          <w:szCs w:val="22"/>
        </w:rPr>
        <w:t xml:space="preserve"> including security of tenure and a </w:t>
      </w:r>
      <w:r w:rsidR="00DD4718">
        <w:rPr>
          <w:sz w:val="22"/>
          <w:szCs w:val="22"/>
        </w:rPr>
        <w:t>w</w:t>
      </w:r>
      <w:r w:rsidR="00DD4718" w:rsidRPr="00FF33E9">
        <w:rPr>
          <w:sz w:val="22"/>
          <w:szCs w:val="22"/>
        </w:rPr>
        <w:t xml:space="preserve">arrant of </w:t>
      </w:r>
      <w:r w:rsidR="00DD4718">
        <w:rPr>
          <w:sz w:val="22"/>
          <w:szCs w:val="22"/>
        </w:rPr>
        <w:t>f</w:t>
      </w:r>
      <w:r w:rsidR="00DD4718" w:rsidRPr="00FF33E9">
        <w:rPr>
          <w:sz w:val="22"/>
          <w:szCs w:val="22"/>
        </w:rPr>
        <w:t>itness for rental housing</w:t>
      </w:r>
      <w:r w:rsidR="00DD4718">
        <w:rPr>
          <w:sz w:val="22"/>
          <w:szCs w:val="22"/>
        </w:rPr>
        <w:t xml:space="preserve"> to </w:t>
      </w:r>
      <w:r w:rsidR="00DD4718">
        <w:rPr>
          <w:sz w:val="22"/>
          <w:szCs w:val="22"/>
        </w:rPr>
        <w:lastRenderedPageBreak/>
        <w:t>make sure all children grow up in a warm dry home</w:t>
      </w:r>
      <w:r w:rsidR="00DD4718" w:rsidRPr="00FF33E9">
        <w:rPr>
          <w:sz w:val="22"/>
          <w:szCs w:val="22"/>
        </w:rPr>
        <w:t xml:space="preserve">. </w:t>
      </w:r>
      <w:r w:rsidR="00DA2B24">
        <w:rPr>
          <w:sz w:val="22"/>
          <w:szCs w:val="22"/>
        </w:rPr>
        <w:t xml:space="preserve">We will help young people transition into the adult world by instituting an </w:t>
      </w:r>
      <w:hyperlink r:id="rId16" w:history="1">
        <w:r w:rsidR="00DA2B24" w:rsidRPr="00DA2B24">
          <w:rPr>
            <w:rStyle w:val="Hyperlink"/>
            <w:sz w:val="22"/>
            <w:szCs w:val="22"/>
          </w:rPr>
          <w:t>Unconditional Basic Income</w:t>
        </w:r>
      </w:hyperlink>
      <w:r w:rsidR="00DA2B24">
        <w:rPr>
          <w:sz w:val="22"/>
          <w:szCs w:val="22"/>
        </w:rPr>
        <w:t xml:space="preserve"> of $200 per week for 18-23 year olds. </w:t>
      </w:r>
    </w:p>
    <w:p w14:paraId="18AA3095" w14:textId="77777777" w:rsidR="00DD4718" w:rsidRDefault="00DD4718" w:rsidP="00DD4718">
      <w:pPr>
        <w:pStyle w:val="ListParagraph"/>
        <w:ind w:left="0"/>
        <w:rPr>
          <w:sz w:val="22"/>
          <w:szCs w:val="22"/>
        </w:rPr>
      </w:pPr>
    </w:p>
    <w:p w14:paraId="071B2D58" w14:textId="215A96E9" w:rsidR="00DD4718" w:rsidRPr="005901DF" w:rsidRDefault="00DD4718" w:rsidP="005901DF">
      <w:pPr>
        <w:rPr>
          <w:sz w:val="22"/>
          <w:szCs w:val="22"/>
          <w:lang w:val="en-NZ"/>
        </w:rPr>
      </w:pPr>
      <w:r>
        <w:rPr>
          <w:sz w:val="22"/>
          <w:szCs w:val="22"/>
          <w:lang w:val="en-NZ"/>
        </w:rPr>
        <w:t>The Opportunities P</w:t>
      </w:r>
      <w:r w:rsidR="0008392C">
        <w:rPr>
          <w:sz w:val="22"/>
          <w:szCs w:val="22"/>
          <w:lang w:val="en-NZ"/>
        </w:rPr>
        <w:t xml:space="preserve">arty’s commitment to </w:t>
      </w:r>
      <w:r w:rsidR="00775183">
        <w:rPr>
          <w:sz w:val="22"/>
          <w:szCs w:val="22"/>
          <w:lang w:val="en-NZ"/>
        </w:rPr>
        <w:t xml:space="preserve">tax and welfare </w:t>
      </w:r>
      <w:r w:rsidR="0008392C">
        <w:rPr>
          <w:sz w:val="22"/>
          <w:szCs w:val="22"/>
          <w:lang w:val="en-NZ"/>
        </w:rPr>
        <w:t xml:space="preserve">reform, health and education </w:t>
      </w:r>
      <w:r>
        <w:rPr>
          <w:sz w:val="22"/>
          <w:szCs w:val="22"/>
          <w:lang w:val="en-NZ"/>
        </w:rPr>
        <w:t>will ensue far fewer New Zealanders fall through the cracks</w:t>
      </w:r>
      <w:r w:rsidR="00DA2B24">
        <w:rPr>
          <w:sz w:val="22"/>
          <w:szCs w:val="22"/>
          <w:lang w:val="en-NZ"/>
        </w:rPr>
        <w:t>. O</w:t>
      </w:r>
      <w:r>
        <w:rPr>
          <w:sz w:val="22"/>
          <w:szCs w:val="22"/>
          <w:lang w:val="en-NZ"/>
        </w:rPr>
        <w:t xml:space="preserve">ur reform of criminal justice will </w:t>
      </w:r>
      <w:r w:rsidR="00775183">
        <w:rPr>
          <w:sz w:val="22"/>
          <w:szCs w:val="22"/>
          <w:lang w:val="en-NZ"/>
        </w:rPr>
        <w:t xml:space="preserve">focus on more effective </w:t>
      </w:r>
      <w:r>
        <w:rPr>
          <w:sz w:val="22"/>
          <w:szCs w:val="22"/>
          <w:lang w:val="en-NZ"/>
        </w:rPr>
        <w:t>rehabilitation</w:t>
      </w:r>
      <w:r w:rsidR="00775183">
        <w:rPr>
          <w:sz w:val="22"/>
          <w:szCs w:val="22"/>
          <w:lang w:val="en-NZ"/>
        </w:rPr>
        <w:t xml:space="preserve"> programmes</w:t>
      </w:r>
      <w:r>
        <w:rPr>
          <w:sz w:val="22"/>
          <w:szCs w:val="22"/>
          <w:lang w:val="en-NZ"/>
        </w:rPr>
        <w:t>. Taken together we expect a lo</w:t>
      </w:r>
      <w:r w:rsidR="009D5FC8">
        <w:rPr>
          <w:sz w:val="22"/>
          <w:szCs w:val="22"/>
          <w:lang w:val="en-NZ"/>
        </w:rPr>
        <w:t>wer crime rate,</w:t>
      </w:r>
      <w:r w:rsidR="004D6580">
        <w:rPr>
          <w:sz w:val="22"/>
          <w:szCs w:val="22"/>
          <w:lang w:val="en-NZ"/>
        </w:rPr>
        <w:t xml:space="preserve"> lower </w:t>
      </w:r>
      <w:r>
        <w:rPr>
          <w:sz w:val="22"/>
          <w:szCs w:val="22"/>
          <w:lang w:val="en-NZ"/>
        </w:rPr>
        <w:t>criminal justice</w:t>
      </w:r>
      <w:r w:rsidR="004D6580">
        <w:rPr>
          <w:sz w:val="22"/>
          <w:szCs w:val="22"/>
          <w:lang w:val="en-NZ"/>
        </w:rPr>
        <w:t xml:space="preserve"> costs</w:t>
      </w:r>
      <w:r>
        <w:rPr>
          <w:sz w:val="22"/>
          <w:szCs w:val="22"/>
          <w:lang w:val="en-NZ"/>
        </w:rPr>
        <w:t>, a</w:t>
      </w:r>
      <w:r w:rsidR="00D71146">
        <w:rPr>
          <w:sz w:val="22"/>
          <w:szCs w:val="22"/>
          <w:lang w:val="en-NZ"/>
        </w:rPr>
        <w:t>nd more</w:t>
      </w:r>
      <w:r>
        <w:rPr>
          <w:sz w:val="22"/>
          <w:szCs w:val="22"/>
          <w:lang w:val="en-NZ"/>
        </w:rPr>
        <w:t xml:space="preserve"> New Zealanders making a positive </w:t>
      </w:r>
      <w:r w:rsidR="00EA4186">
        <w:rPr>
          <w:sz w:val="22"/>
          <w:szCs w:val="22"/>
          <w:lang w:val="en-NZ"/>
        </w:rPr>
        <w:t>con</w:t>
      </w:r>
      <w:r w:rsidR="00D71146">
        <w:rPr>
          <w:sz w:val="22"/>
          <w:szCs w:val="22"/>
          <w:lang w:val="en-NZ"/>
        </w:rPr>
        <w:t>tribution to their</w:t>
      </w:r>
      <w:r w:rsidR="00EA4186">
        <w:rPr>
          <w:sz w:val="22"/>
          <w:szCs w:val="22"/>
          <w:lang w:val="en-NZ"/>
        </w:rPr>
        <w:t xml:space="preserve"> community</w:t>
      </w:r>
      <w:r>
        <w:rPr>
          <w:sz w:val="22"/>
          <w:szCs w:val="22"/>
          <w:lang w:val="en-NZ"/>
        </w:rPr>
        <w:t>.</w:t>
      </w:r>
    </w:p>
    <w:p w14:paraId="38A73481" w14:textId="77777777" w:rsidR="00DD4718" w:rsidRPr="005D5F6B" w:rsidRDefault="00DD4718" w:rsidP="00DD4718">
      <w:pPr>
        <w:pStyle w:val="ListParagraph"/>
        <w:ind w:left="11"/>
        <w:rPr>
          <w:sz w:val="22"/>
          <w:szCs w:val="22"/>
        </w:rPr>
      </w:pPr>
    </w:p>
    <w:p w14:paraId="019600CC" w14:textId="1D11FD42" w:rsidR="00DD4718" w:rsidRPr="00462E2C" w:rsidRDefault="00DD4718" w:rsidP="00DD4718">
      <w:pPr>
        <w:pStyle w:val="ListParagraph"/>
        <w:spacing w:after="60"/>
        <w:ind w:left="6"/>
        <w:rPr>
          <w:i/>
          <w:sz w:val="22"/>
          <w:szCs w:val="22"/>
        </w:rPr>
      </w:pPr>
      <w:r w:rsidRPr="00462E2C">
        <w:rPr>
          <w:i/>
          <w:sz w:val="22"/>
          <w:szCs w:val="22"/>
        </w:rPr>
        <w:t>3.  Th</w:t>
      </w:r>
      <w:r w:rsidR="00DD797E">
        <w:rPr>
          <w:i/>
          <w:sz w:val="22"/>
          <w:szCs w:val="22"/>
        </w:rPr>
        <w:t>e size of the prison population</w:t>
      </w:r>
      <w:r>
        <w:rPr>
          <w:i/>
          <w:sz w:val="22"/>
          <w:szCs w:val="22"/>
        </w:rPr>
        <w:t xml:space="preserve"> has</w:t>
      </w:r>
      <w:r w:rsidRPr="00462E2C">
        <w:rPr>
          <w:i/>
          <w:sz w:val="22"/>
          <w:szCs w:val="22"/>
        </w:rPr>
        <w:t xml:space="preserve"> </w:t>
      </w:r>
      <w:r w:rsidR="0039562E">
        <w:rPr>
          <w:i/>
          <w:sz w:val="22"/>
          <w:szCs w:val="22"/>
        </w:rPr>
        <w:t>less</w:t>
      </w:r>
      <w:r w:rsidRPr="00462E2C">
        <w:rPr>
          <w:i/>
          <w:sz w:val="22"/>
          <w:szCs w:val="22"/>
        </w:rPr>
        <w:t xml:space="preserve"> to do with the</w:t>
      </w:r>
      <w:r>
        <w:rPr>
          <w:i/>
          <w:sz w:val="22"/>
          <w:szCs w:val="22"/>
        </w:rPr>
        <w:t xml:space="preserve"> extent of criminal activity </w:t>
      </w:r>
      <w:r w:rsidR="0039562E">
        <w:rPr>
          <w:i/>
          <w:sz w:val="22"/>
          <w:szCs w:val="22"/>
        </w:rPr>
        <w:t>than</w:t>
      </w:r>
      <w:r w:rsidRPr="00462E2C">
        <w:rPr>
          <w:i/>
          <w:sz w:val="22"/>
          <w:szCs w:val="22"/>
        </w:rPr>
        <w:t xml:space="preserve"> with </w:t>
      </w:r>
      <w:r w:rsidR="001B5170">
        <w:rPr>
          <w:i/>
          <w:sz w:val="22"/>
          <w:szCs w:val="22"/>
        </w:rPr>
        <w:t>our</w:t>
      </w:r>
      <w:r w:rsidRPr="00462E2C">
        <w:rPr>
          <w:i/>
          <w:sz w:val="22"/>
          <w:szCs w:val="22"/>
        </w:rPr>
        <w:t xml:space="preserve"> government’s criminal justice policies </w:t>
      </w:r>
    </w:p>
    <w:p w14:paraId="72A953F8" w14:textId="77777777" w:rsidR="00DD4718" w:rsidRPr="00115DE6" w:rsidRDefault="00DD4718" w:rsidP="00DD4718">
      <w:pPr>
        <w:pStyle w:val="ListParagraph"/>
        <w:spacing w:after="60"/>
        <w:ind w:left="6"/>
        <w:rPr>
          <w:sz w:val="16"/>
          <w:szCs w:val="16"/>
        </w:rPr>
      </w:pPr>
    </w:p>
    <w:p w14:paraId="24506DDA" w14:textId="224D2D04" w:rsidR="00F53314" w:rsidRDefault="00F20F3F" w:rsidP="00F53314">
      <w:pPr>
        <w:pStyle w:val="ListParagraph"/>
        <w:spacing w:after="60"/>
        <w:ind w:left="6"/>
        <w:rPr>
          <w:sz w:val="22"/>
          <w:szCs w:val="22"/>
          <w:lang w:val="en-NZ"/>
        </w:rPr>
      </w:pPr>
      <w:r>
        <w:rPr>
          <w:sz w:val="22"/>
          <w:szCs w:val="22"/>
          <w:lang w:val="en-NZ"/>
        </w:rPr>
        <w:t xml:space="preserve">There is no </w:t>
      </w:r>
      <w:r w:rsidR="00F53314" w:rsidRPr="00F53314">
        <w:rPr>
          <w:sz w:val="22"/>
          <w:szCs w:val="22"/>
          <w:lang w:val="en-NZ"/>
        </w:rPr>
        <w:t>evidence that putting more people in prison reduces crime rates,</w:t>
      </w:r>
      <w:r w:rsidR="0007587B">
        <w:rPr>
          <w:rStyle w:val="FootnoteReference"/>
          <w:sz w:val="22"/>
          <w:szCs w:val="22"/>
        </w:rPr>
        <w:footnoteReference w:id="8"/>
      </w:r>
      <w:r w:rsidR="00F53314" w:rsidRPr="00F53314">
        <w:rPr>
          <w:sz w:val="22"/>
          <w:szCs w:val="22"/>
          <w:lang w:val="en-NZ"/>
        </w:rPr>
        <w:t xml:space="preserve"> nor that high rates of crime explain high rates of imprisonment. The biggest factor determining the prison population</w:t>
      </w:r>
      <w:r w:rsidR="006F5051">
        <w:rPr>
          <w:sz w:val="22"/>
          <w:szCs w:val="22"/>
          <w:lang w:val="en-NZ"/>
        </w:rPr>
        <w:t xml:space="preserve"> is</w:t>
      </w:r>
      <w:r w:rsidR="00F53314" w:rsidRPr="00F53314">
        <w:rPr>
          <w:sz w:val="22"/>
          <w:szCs w:val="22"/>
          <w:lang w:val="en-NZ"/>
        </w:rPr>
        <w:t xml:space="preserve"> the government's criminal ju</w:t>
      </w:r>
      <w:r w:rsidR="001639A1">
        <w:rPr>
          <w:sz w:val="22"/>
          <w:szCs w:val="22"/>
          <w:lang w:val="en-NZ"/>
        </w:rPr>
        <w:t xml:space="preserve">stice </w:t>
      </w:r>
      <w:r w:rsidR="00EA3365">
        <w:rPr>
          <w:sz w:val="22"/>
          <w:szCs w:val="22"/>
          <w:lang w:val="en-NZ"/>
        </w:rPr>
        <w:t>legislation</w:t>
      </w:r>
      <w:r w:rsidR="00F53314" w:rsidRPr="00F53314">
        <w:rPr>
          <w:sz w:val="22"/>
          <w:szCs w:val="22"/>
          <w:lang w:val="en-NZ"/>
        </w:rPr>
        <w:t>,</w:t>
      </w:r>
      <w:r w:rsidR="0036096D">
        <w:rPr>
          <w:rStyle w:val="FootnoteReference"/>
          <w:sz w:val="22"/>
          <w:szCs w:val="22"/>
          <w:lang w:val="en-NZ"/>
        </w:rPr>
        <w:footnoteReference w:id="9"/>
      </w:r>
      <w:r w:rsidR="001639A1">
        <w:rPr>
          <w:sz w:val="22"/>
          <w:szCs w:val="22"/>
          <w:lang w:val="en-NZ"/>
        </w:rPr>
        <w:t xml:space="preserve"> which is</w:t>
      </w:r>
      <w:r w:rsidR="00F53314" w:rsidRPr="00F53314">
        <w:rPr>
          <w:sz w:val="22"/>
          <w:szCs w:val="22"/>
          <w:lang w:val="en-NZ"/>
        </w:rPr>
        <w:t xml:space="preserve"> strongly influenced by public sentiment.</w:t>
      </w:r>
    </w:p>
    <w:p w14:paraId="6C54AB97" w14:textId="77777777" w:rsidR="0007587B" w:rsidRDefault="0007587B" w:rsidP="00F53314">
      <w:pPr>
        <w:pStyle w:val="ListParagraph"/>
        <w:spacing w:after="60"/>
        <w:ind w:left="6"/>
        <w:rPr>
          <w:bCs/>
          <w:sz w:val="22"/>
          <w:szCs w:val="22"/>
        </w:rPr>
      </w:pPr>
    </w:p>
    <w:p w14:paraId="740ADC3C" w14:textId="06F2AF29" w:rsidR="00DD4718" w:rsidRPr="003D6955" w:rsidRDefault="0007587B" w:rsidP="003D6955">
      <w:pPr>
        <w:pStyle w:val="ListParagraph"/>
        <w:spacing w:after="60"/>
        <w:ind w:left="6"/>
        <w:rPr>
          <w:bCs/>
          <w:sz w:val="22"/>
          <w:szCs w:val="22"/>
        </w:rPr>
      </w:pPr>
      <w:r>
        <w:rPr>
          <w:bCs/>
          <w:sz w:val="22"/>
          <w:szCs w:val="22"/>
        </w:rPr>
        <w:t xml:space="preserve">Prison rates and </w:t>
      </w:r>
      <w:r w:rsidR="004C6D4C">
        <w:rPr>
          <w:bCs/>
          <w:sz w:val="22"/>
          <w:szCs w:val="22"/>
        </w:rPr>
        <w:t>crime rates can decline at the same time</w:t>
      </w:r>
      <w:r>
        <w:rPr>
          <w:bCs/>
          <w:sz w:val="22"/>
          <w:szCs w:val="22"/>
        </w:rPr>
        <w:t xml:space="preserve">. </w:t>
      </w:r>
      <w:r w:rsidR="00755439">
        <w:rPr>
          <w:bCs/>
          <w:sz w:val="22"/>
          <w:szCs w:val="22"/>
        </w:rPr>
        <w:t>I</w:t>
      </w:r>
      <w:r w:rsidR="00ED3143">
        <w:rPr>
          <w:bCs/>
          <w:sz w:val="22"/>
          <w:szCs w:val="22"/>
        </w:rPr>
        <w:t>n the US</w:t>
      </w:r>
      <w:r w:rsidR="007F29DC">
        <w:rPr>
          <w:bCs/>
          <w:sz w:val="22"/>
          <w:szCs w:val="22"/>
        </w:rPr>
        <w:t xml:space="preserve"> </w:t>
      </w:r>
      <w:r w:rsidR="00F53314">
        <w:rPr>
          <w:bCs/>
          <w:sz w:val="22"/>
          <w:szCs w:val="22"/>
        </w:rPr>
        <w:t xml:space="preserve">from 2010 to 2015, </w:t>
      </w:r>
      <w:r w:rsidR="007F29DC">
        <w:rPr>
          <w:bCs/>
          <w:sz w:val="22"/>
          <w:szCs w:val="22"/>
        </w:rPr>
        <w:t>the</w:t>
      </w:r>
      <w:r w:rsidR="00F53314" w:rsidRPr="0080230C">
        <w:rPr>
          <w:bCs/>
          <w:sz w:val="22"/>
          <w:szCs w:val="22"/>
        </w:rPr>
        <w:t xml:space="preserve"> prison</w:t>
      </w:r>
      <w:r w:rsidR="00F53314">
        <w:rPr>
          <w:bCs/>
          <w:sz w:val="22"/>
          <w:szCs w:val="22"/>
        </w:rPr>
        <w:t xml:space="preserve"> population rate fell 8.4% and</w:t>
      </w:r>
      <w:r w:rsidR="00F53314" w:rsidRPr="0080230C">
        <w:rPr>
          <w:bCs/>
          <w:sz w:val="22"/>
          <w:szCs w:val="22"/>
        </w:rPr>
        <w:t xml:space="preserve"> the combined violent and property crime rate declined 14.6%.</w:t>
      </w:r>
      <w:r w:rsidR="00387BA9">
        <w:rPr>
          <w:bCs/>
          <w:sz w:val="22"/>
          <w:szCs w:val="22"/>
        </w:rPr>
        <w:t xml:space="preserve"> In the 44 US states where the crime rate fell some imprisonment rates increased</w:t>
      </w:r>
      <w:r w:rsidR="001E4345">
        <w:rPr>
          <w:bCs/>
          <w:sz w:val="22"/>
          <w:szCs w:val="22"/>
        </w:rPr>
        <w:t xml:space="preserve"> by up to 13.5%</w:t>
      </w:r>
      <w:r w:rsidR="00387BA9">
        <w:rPr>
          <w:bCs/>
          <w:sz w:val="22"/>
          <w:szCs w:val="22"/>
        </w:rPr>
        <w:t>, some decreased</w:t>
      </w:r>
      <w:r w:rsidR="001E4345">
        <w:rPr>
          <w:bCs/>
          <w:sz w:val="22"/>
          <w:szCs w:val="22"/>
        </w:rPr>
        <w:t xml:space="preserve"> by as much as 25.2%</w:t>
      </w:r>
      <w:r w:rsidR="00544FA6">
        <w:rPr>
          <w:bCs/>
          <w:sz w:val="22"/>
          <w:szCs w:val="22"/>
        </w:rPr>
        <w:t>.</w:t>
      </w:r>
      <w:r w:rsidR="00F53314">
        <w:rPr>
          <w:rStyle w:val="FootnoteReference"/>
          <w:bCs/>
          <w:sz w:val="22"/>
          <w:szCs w:val="22"/>
        </w:rPr>
        <w:footnoteReference w:id="10"/>
      </w:r>
      <w:r w:rsidR="00F53314" w:rsidRPr="0080230C">
        <w:rPr>
          <w:bCs/>
          <w:sz w:val="22"/>
          <w:szCs w:val="22"/>
        </w:rPr>
        <w:t xml:space="preserve"> </w:t>
      </w:r>
      <w:r w:rsidR="003F6EFD">
        <w:rPr>
          <w:bCs/>
          <w:sz w:val="22"/>
          <w:szCs w:val="22"/>
        </w:rPr>
        <w:t>T</w:t>
      </w:r>
      <w:r w:rsidR="00696839">
        <w:rPr>
          <w:bCs/>
          <w:sz w:val="22"/>
          <w:szCs w:val="22"/>
        </w:rPr>
        <w:t>he Netherlands</w:t>
      </w:r>
      <w:r w:rsidR="003F6EFD">
        <w:rPr>
          <w:bCs/>
          <w:sz w:val="22"/>
          <w:szCs w:val="22"/>
        </w:rPr>
        <w:t>’ prison population grew</w:t>
      </w:r>
      <w:r w:rsidR="00696839">
        <w:rPr>
          <w:bCs/>
          <w:sz w:val="22"/>
          <w:szCs w:val="22"/>
        </w:rPr>
        <w:t xml:space="preserve"> steadily </w:t>
      </w:r>
      <w:r w:rsidR="00D54372">
        <w:rPr>
          <w:bCs/>
          <w:sz w:val="22"/>
          <w:szCs w:val="22"/>
        </w:rPr>
        <w:t>since the 1970s, peaked</w:t>
      </w:r>
      <w:r w:rsidR="003F6EFD">
        <w:rPr>
          <w:bCs/>
          <w:sz w:val="22"/>
          <w:szCs w:val="22"/>
        </w:rPr>
        <w:t xml:space="preserve"> in 2006,</w:t>
      </w:r>
      <w:r w:rsidR="00E66C50">
        <w:rPr>
          <w:bCs/>
          <w:sz w:val="22"/>
          <w:szCs w:val="22"/>
        </w:rPr>
        <w:t xml:space="preserve"> </w:t>
      </w:r>
      <w:r w:rsidR="00D54372">
        <w:rPr>
          <w:bCs/>
          <w:sz w:val="22"/>
          <w:szCs w:val="22"/>
        </w:rPr>
        <w:t xml:space="preserve">and </w:t>
      </w:r>
      <w:r w:rsidR="00E66C50">
        <w:rPr>
          <w:bCs/>
          <w:sz w:val="22"/>
          <w:szCs w:val="22"/>
        </w:rPr>
        <w:t>has been decreas</w:t>
      </w:r>
      <w:r w:rsidR="003F6EFD">
        <w:rPr>
          <w:bCs/>
          <w:sz w:val="22"/>
          <w:szCs w:val="22"/>
        </w:rPr>
        <w:t>ing since</w:t>
      </w:r>
      <w:r w:rsidR="00696839">
        <w:rPr>
          <w:bCs/>
          <w:sz w:val="22"/>
          <w:szCs w:val="22"/>
        </w:rPr>
        <w:t>.</w:t>
      </w:r>
      <w:r w:rsidR="00696839">
        <w:rPr>
          <w:rStyle w:val="FootnoteReference"/>
          <w:bCs/>
          <w:sz w:val="22"/>
          <w:szCs w:val="22"/>
        </w:rPr>
        <w:footnoteReference w:id="11"/>
      </w:r>
      <w:r w:rsidR="00E66C50">
        <w:rPr>
          <w:bCs/>
          <w:sz w:val="22"/>
          <w:szCs w:val="22"/>
        </w:rPr>
        <w:t xml:space="preserve"> At the same time, the results of a large scale survey of the Dutch population from 2005 to 2014 is that violent crime, property crime, vandalism, the total victim’s rate and “unsafety feelings” </w:t>
      </w:r>
      <w:r w:rsidR="005D2C65">
        <w:rPr>
          <w:bCs/>
          <w:sz w:val="22"/>
          <w:szCs w:val="22"/>
        </w:rPr>
        <w:t xml:space="preserve">significantly </w:t>
      </w:r>
      <w:r w:rsidR="00E66C50">
        <w:rPr>
          <w:bCs/>
          <w:sz w:val="22"/>
          <w:szCs w:val="22"/>
        </w:rPr>
        <w:t>declined</w:t>
      </w:r>
      <w:r w:rsidR="005D2C65">
        <w:rPr>
          <w:bCs/>
          <w:sz w:val="22"/>
          <w:szCs w:val="22"/>
        </w:rPr>
        <w:t xml:space="preserve"> over this period</w:t>
      </w:r>
      <w:r w:rsidR="00E21381">
        <w:rPr>
          <w:bCs/>
          <w:sz w:val="22"/>
          <w:szCs w:val="22"/>
        </w:rPr>
        <w:t>.</w:t>
      </w:r>
      <w:r w:rsidR="00E21381">
        <w:rPr>
          <w:rStyle w:val="FootnoteReference"/>
          <w:bCs/>
          <w:sz w:val="22"/>
          <w:szCs w:val="22"/>
        </w:rPr>
        <w:footnoteReference w:id="12"/>
      </w:r>
      <w:r w:rsidR="00E66C50">
        <w:rPr>
          <w:bCs/>
          <w:sz w:val="22"/>
          <w:szCs w:val="22"/>
        </w:rPr>
        <w:t xml:space="preserve">  </w:t>
      </w:r>
      <w:r w:rsidR="007F29DC" w:rsidRPr="003D6955">
        <w:rPr>
          <w:bCs/>
          <w:sz w:val="22"/>
          <w:szCs w:val="22"/>
        </w:rPr>
        <w:t>T</w:t>
      </w:r>
      <w:r w:rsidR="00F53314" w:rsidRPr="003D6955">
        <w:rPr>
          <w:bCs/>
          <w:sz w:val="22"/>
          <w:szCs w:val="22"/>
        </w:rPr>
        <w:t xml:space="preserve">here is no consistent relationship between prison and crime and it is possible to lower prison rates </w:t>
      </w:r>
      <w:r w:rsidR="00F53314" w:rsidRPr="003D6955">
        <w:rPr>
          <w:bCs/>
          <w:i/>
          <w:sz w:val="22"/>
          <w:szCs w:val="22"/>
        </w:rPr>
        <w:t>and</w:t>
      </w:r>
      <w:r w:rsidR="00F53314" w:rsidRPr="003D6955">
        <w:rPr>
          <w:bCs/>
          <w:sz w:val="22"/>
          <w:szCs w:val="22"/>
        </w:rPr>
        <w:t xml:space="preserve"> crime rates.</w:t>
      </w:r>
    </w:p>
    <w:p w14:paraId="77863837" w14:textId="77777777" w:rsidR="00DD4718" w:rsidRPr="00707F31" w:rsidRDefault="00DD4718" w:rsidP="00707F31">
      <w:pPr>
        <w:spacing w:after="60"/>
        <w:rPr>
          <w:sz w:val="22"/>
          <w:szCs w:val="22"/>
        </w:rPr>
      </w:pPr>
    </w:p>
    <w:p w14:paraId="4DA2DE4F" w14:textId="5729981C" w:rsidR="00DD4718" w:rsidRDefault="00DD4718" w:rsidP="00DD4718">
      <w:pPr>
        <w:rPr>
          <w:sz w:val="22"/>
          <w:szCs w:val="22"/>
        </w:rPr>
      </w:pPr>
      <w:r>
        <w:rPr>
          <w:sz w:val="22"/>
          <w:szCs w:val="22"/>
        </w:rPr>
        <w:lastRenderedPageBreak/>
        <w:t xml:space="preserve">The </w:t>
      </w:r>
      <w:r w:rsidR="00337190">
        <w:rPr>
          <w:sz w:val="22"/>
          <w:szCs w:val="22"/>
        </w:rPr>
        <w:t xml:space="preserve">international </w:t>
      </w:r>
      <w:r>
        <w:rPr>
          <w:sz w:val="22"/>
          <w:szCs w:val="22"/>
        </w:rPr>
        <w:t xml:space="preserve">evidence suggests that New Zealand’s </w:t>
      </w:r>
      <w:r w:rsidR="006F5051">
        <w:rPr>
          <w:sz w:val="22"/>
          <w:szCs w:val="22"/>
        </w:rPr>
        <w:t xml:space="preserve">high </w:t>
      </w:r>
      <w:r>
        <w:rPr>
          <w:sz w:val="22"/>
          <w:szCs w:val="22"/>
        </w:rPr>
        <w:t>prison population can be r</w:t>
      </w:r>
      <w:r w:rsidR="00211436">
        <w:rPr>
          <w:sz w:val="22"/>
          <w:szCs w:val="22"/>
        </w:rPr>
        <w:t>edu</w:t>
      </w:r>
      <w:r w:rsidR="004A5EA5">
        <w:rPr>
          <w:sz w:val="22"/>
          <w:szCs w:val="22"/>
        </w:rPr>
        <w:t>ced</w:t>
      </w:r>
      <w:r w:rsidR="00211436">
        <w:rPr>
          <w:sz w:val="22"/>
          <w:szCs w:val="22"/>
        </w:rPr>
        <w:t xml:space="preserve"> while crime </w:t>
      </w:r>
      <w:r w:rsidR="00AC4DCE">
        <w:rPr>
          <w:sz w:val="22"/>
          <w:szCs w:val="22"/>
        </w:rPr>
        <w:t xml:space="preserve">also declines. </w:t>
      </w:r>
      <w:r>
        <w:rPr>
          <w:sz w:val="22"/>
          <w:szCs w:val="22"/>
        </w:rPr>
        <w:t xml:space="preserve"> </w:t>
      </w:r>
    </w:p>
    <w:p w14:paraId="7C376AEA" w14:textId="77777777" w:rsidR="00DD4718" w:rsidRPr="005D5F6B" w:rsidRDefault="00DD4718" w:rsidP="00DD4718">
      <w:pPr>
        <w:rPr>
          <w:sz w:val="22"/>
          <w:szCs w:val="22"/>
        </w:rPr>
      </w:pPr>
    </w:p>
    <w:p w14:paraId="22C01615" w14:textId="7D15921A" w:rsidR="00AC1BB0" w:rsidRPr="00AC1BB0" w:rsidRDefault="00DD4718" w:rsidP="00AC1BB0">
      <w:pPr>
        <w:rPr>
          <w:i/>
          <w:sz w:val="22"/>
          <w:szCs w:val="22"/>
        </w:rPr>
      </w:pPr>
      <w:r w:rsidRPr="00462E2C">
        <w:rPr>
          <w:i/>
          <w:sz w:val="22"/>
          <w:szCs w:val="22"/>
        </w:rPr>
        <w:t>4.   TOP’s criminal justice policy addresses facts and issues that are old news</w:t>
      </w:r>
      <w:r w:rsidR="001A42E5">
        <w:rPr>
          <w:i/>
          <w:sz w:val="22"/>
          <w:szCs w:val="22"/>
        </w:rPr>
        <w:t>,</w:t>
      </w:r>
      <w:r w:rsidR="001A42E5" w:rsidRPr="001A42E5">
        <w:rPr>
          <w:i/>
          <w:sz w:val="22"/>
          <w:szCs w:val="22"/>
        </w:rPr>
        <w:t xml:space="preserve"> </w:t>
      </w:r>
      <w:r w:rsidR="001A42E5" w:rsidRPr="00DA1403">
        <w:rPr>
          <w:i/>
          <w:sz w:val="22"/>
          <w:szCs w:val="22"/>
        </w:rPr>
        <w:t>but on which Establishment parties have failed to act</w:t>
      </w:r>
      <w:r w:rsidRPr="00462E2C">
        <w:rPr>
          <w:i/>
          <w:sz w:val="22"/>
          <w:szCs w:val="22"/>
        </w:rPr>
        <w:t xml:space="preserve"> </w:t>
      </w:r>
    </w:p>
    <w:p w14:paraId="2BD197FA" w14:textId="77777777" w:rsidR="00AC1BB0" w:rsidRDefault="00AC1BB0" w:rsidP="00DD4718">
      <w:pPr>
        <w:pStyle w:val="ListParagraph"/>
        <w:ind w:left="0"/>
        <w:rPr>
          <w:sz w:val="22"/>
          <w:szCs w:val="22"/>
        </w:rPr>
      </w:pPr>
    </w:p>
    <w:p w14:paraId="77AA5E11" w14:textId="17848E5A" w:rsidR="00EE006D" w:rsidRDefault="002E6F3F" w:rsidP="00DD4718">
      <w:pPr>
        <w:pStyle w:val="ListParagraph"/>
        <w:ind w:left="0"/>
        <w:rPr>
          <w:sz w:val="22"/>
          <w:szCs w:val="22"/>
        </w:rPr>
      </w:pPr>
      <w:r>
        <w:rPr>
          <w:sz w:val="22"/>
          <w:szCs w:val="22"/>
        </w:rPr>
        <w:t xml:space="preserve">We </w:t>
      </w:r>
      <w:r w:rsidR="00DD4718" w:rsidRPr="005D5F6B">
        <w:rPr>
          <w:sz w:val="22"/>
          <w:szCs w:val="22"/>
        </w:rPr>
        <w:t>know</w:t>
      </w:r>
      <w:r w:rsidR="00E74BFF">
        <w:rPr>
          <w:sz w:val="22"/>
          <w:szCs w:val="22"/>
        </w:rPr>
        <w:t xml:space="preserve"> </w:t>
      </w:r>
      <w:r w:rsidR="00DD4718" w:rsidRPr="005D5F6B">
        <w:rPr>
          <w:sz w:val="22"/>
          <w:szCs w:val="22"/>
        </w:rPr>
        <w:t>that N</w:t>
      </w:r>
      <w:r w:rsidR="00DD4718">
        <w:rPr>
          <w:sz w:val="22"/>
          <w:szCs w:val="22"/>
        </w:rPr>
        <w:t xml:space="preserve">ew </w:t>
      </w:r>
      <w:r w:rsidR="00DD4718" w:rsidRPr="005D5F6B">
        <w:rPr>
          <w:sz w:val="22"/>
          <w:szCs w:val="22"/>
        </w:rPr>
        <w:t>Z</w:t>
      </w:r>
      <w:r w:rsidR="00DD4718">
        <w:rPr>
          <w:sz w:val="22"/>
          <w:szCs w:val="22"/>
        </w:rPr>
        <w:t>ealand</w:t>
      </w:r>
      <w:r w:rsidR="00F20F3F">
        <w:rPr>
          <w:sz w:val="22"/>
          <w:szCs w:val="22"/>
        </w:rPr>
        <w:t xml:space="preserve"> prisons</w:t>
      </w:r>
      <w:r w:rsidR="00DD4718">
        <w:rPr>
          <w:sz w:val="22"/>
          <w:szCs w:val="22"/>
        </w:rPr>
        <w:t xml:space="preserve"> </w:t>
      </w:r>
      <w:r w:rsidR="00DD4718" w:rsidRPr="005D5F6B">
        <w:rPr>
          <w:sz w:val="22"/>
          <w:szCs w:val="22"/>
        </w:rPr>
        <w:t>probably cause crime, that many prisoners are mentally ill</w:t>
      </w:r>
      <w:r w:rsidR="00C4642D">
        <w:rPr>
          <w:sz w:val="22"/>
          <w:szCs w:val="22"/>
        </w:rPr>
        <w:t>, have addiction problems</w:t>
      </w:r>
      <w:r w:rsidR="00DD4718" w:rsidRPr="005D5F6B">
        <w:rPr>
          <w:sz w:val="22"/>
          <w:szCs w:val="22"/>
        </w:rPr>
        <w:t xml:space="preserve"> or co</w:t>
      </w:r>
      <w:r w:rsidR="003B141B">
        <w:rPr>
          <w:sz w:val="22"/>
          <w:szCs w:val="22"/>
        </w:rPr>
        <w:t xml:space="preserve">me from disadvantaged </w:t>
      </w:r>
      <w:r w:rsidR="00E74BFF">
        <w:rPr>
          <w:sz w:val="22"/>
          <w:szCs w:val="22"/>
        </w:rPr>
        <w:t>backgrounds</w:t>
      </w:r>
      <w:r w:rsidR="003B141B">
        <w:rPr>
          <w:sz w:val="22"/>
          <w:szCs w:val="22"/>
        </w:rPr>
        <w:t xml:space="preserve">, that </w:t>
      </w:r>
      <w:r w:rsidR="005A2545">
        <w:rPr>
          <w:sz w:val="22"/>
          <w:szCs w:val="22"/>
        </w:rPr>
        <w:t>the prison population has been growing faster than the general population for decades</w:t>
      </w:r>
      <w:r w:rsidR="00A65A7B">
        <w:rPr>
          <w:sz w:val="22"/>
          <w:szCs w:val="22"/>
        </w:rPr>
        <w:t xml:space="preserve">, as have </w:t>
      </w:r>
      <w:r>
        <w:rPr>
          <w:sz w:val="22"/>
          <w:szCs w:val="22"/>
        </w:rPr>
        <w:t>prison</w:t>
      </w:r>
      <w:r w:rsidR="00CF24BF">
        <w:rPr>
          <w:sz w:val="22"/>
          <w:szCs w:val="22"/>
        </w:rPr>
        <w:t xml:space="preserve"> </w:t>
      </w:r>
      <w:r w:rsidR="00A65A7B">
        <w:rPr>
          <w:sz w:val="22"/>
          <w:szCs w:val="22"/>
        </w:rPr>
        <w:t xml:space="preserve">costs, </w:t>
      </w:r>
      <w:r w:rsidR="005A2545">
        <w:rPr>
          <w:sz w:val="22"/>
          <w:szCs w:val="22"/>
        </w:rPr>
        <w:t xml:space="preserve">and that </w:t>
      </w:r>
      <w:r w:rsidR="003B141B">
        <w:rPr>
          <w:sz w:val="22"/>
          <w:szCs w:val="22"/>
        </w:rPr>
        <w:t>Maori are</w:t>
      </w:r>
      <w:r w:rsidR="00DD4718" w:rsidRPr="005D5F6B">
        <w:rPr>
          <w:sz w:val="22"/>
          <w:szCs w:val="22"/>
        </w:rPr>
        <w:t xml:space="preserve"> huge</w:t>
      </w:r>
      <w:r w:rsidR="00A26699">
        <w:rPr>
          <w:sz w:val="22"/>
          <w:szCs w:val="22"/>
        </w:rPr>
        <w:t xml:space="preserve">ly </w:t>
      </w:r>
      <w:r w:rsidR="00E74BFF">
        <w:rPr>
          <w:sz w:val="22"/>
          <w:szCs w:val="22"/>
        </w:rPr>
        <w:t xml:space="preserve">over-represented in </w:t>
      </w:r>
      <w:r w:rsidR="003B141B">
        <w:rPr>
          <w:sz w:val="22"/>
          <w:szCs w:val="22"/>
        </w:rPr>
        <w:t xml:space="preserve">the prison population. </w:t>
      </w:r>
    </w:p>
    <w:p w14:paraId="19A74EF3" w14:textId="77777777" w:rsidR="00140B0E" w:rsidRDefault="00140B0E" w:rsidP="00DD4718">
      <w:pPr>
        <w:pStyle w:val="ListParagraph"/>
        <w:ind w:left="0"/>
        <w:rPr>
          <w:sz w:val="22"/>
          <w:szCs w:val="22"/>
        </w:rPr>
      </w:pPr>
    </w:p>
    <w:p w14:paraId="23A5C93E" w14:textId="77777777" w:rsidR="00140B0E" w:rsidRDefault="00140B0E" w:rsidP="00140B0E">
      <w:pPr>
        <w:pStyle w:val="ListParagraph"/>
        <w:ind w:left="0"/>
        <w:rPr>
          <w:sz w:val="22"/>
          <w:szCs w:val="22"/>
        </w:rPr>
      </w:pPr>
    </w:p>
    <w:p w14:paraId="2A26071F" w14:textId="77777777" w:rsidR="00140B0E" w:rsidRDefault="00140B0E" w:rsidP="00140B0E">
      <w:pPr>
        <w:pStyle w:val="ListParagraph"/>
        <w:ind w:left="0"/>
        <w:rPr>
          <w:sz w:val="22"/>
          <w:szCs w:val="22"/>
        </w:rPr>
      </w:pPr>
      <w:r w:rsidRPr="00B94A41">
        <w:rPr>
          <w:rFonts w:ascii="Arial" w:hAnsi="Arial" w:cs="Arial"/>
          <w:noProof/>
          <w:sz w:val="26"/>
          <w:szCs w:val="26"/>
        </w:rPr>
        <w:drawing>
          <wp:inline distT="0" distB="0" distL="0" distR="0" wp14:anchorId="0FEC0190" wp14:editId="6C04A7DC">
            <wp:extent cx="4038600" cy="2353522"/>
            <wp:effectExtent l="0" t="0" r="25400" b="34290"/>
            <wp:docPr id="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80CBD9C" w14:textId="77777777" w:rsidR="00403138" w:rsidRPr="009459AA" w:rsidRDefault="00403138" w:rsidP="00403138">
      <w:pPr>
        <w:rPr>
          <w:rFonts w:ascii="Arial Narrow" w:hAnsi="Arial Narrow" w:cs="Arial"/>
          <w:sz w:val="26"/>
          <w:szCs w:val="26"/>
        </w:rPr>
      </w:pPr>
      <w:proofErr w:type="spellStart"/>
      <w:r w:rsidRPr="009459AA">
        <w:rPr>
          <w:rFonts w:ascii="Arial Narrow" w:hAnsi="Arial Narrow"/>
          <w:sz w:val="20"/>
          <w:szCs w:val="20"/>
        </w:rPr>
        <w:t>Indig</w:t>
      </w:r>
      <w:proofErr w:type="spellEnd"/>
      <w:r w:rsidRPr="009459AA">
        <w:rPr>
          <w:rFonts w:ascii="Arial Narrow" w:hAnsi="Arial Narrow"/>
          <w:sz w:val="20"/>
          <w:szCs w:val="20"/>
        </w:rPr>
        <w:t xml:space="preserve">, Devon, Craig Gear and Kay Wilhelm (June 2016) </w:t>
      </w:r>
      <w:r w:rsidRPr="009459AA">
        <w:rPr>
          <w:rFonts w:ascii="Arial Narrow" w:hAnsi="Arial Narrow"/>
          <w:i/>
          <w:sz w:val="20"/>
          <w:szCs w:val="20"/>
        </w:rPr>
        <w:t>Comorbid substance use disorders and mental health disorders among New Zealand prisoners</w:t>
      </w:r>
      <w:r w:rsidRPr="009459AA">
        <w:rPr>
          <w:rFonts w:ascii="Arial Narrow" w:hAnsi="Arial Narrow"/>
          <w:sz w:val="20"/>
          <w:szCs w:val="20"/>
        </w:rPr>
        <w:t>. Department of Corrections</w:t>
      </w:r>
    </w:p>
    <w:p w14:paraId="428C83B7" w14:textId="77777777" w:rsidR="00140B0E" w:rsidRDefault="00140B0E" w:rsidP="00DD4718">
      <w:pPr>
        <w:pStyle w:val="ListParagraph"/>
        <w:ind w:left="0"/>
        <w:rPr>
          <w:sz w:val="22"/>
          <w:szCs w:val="22"/>
        </w:rPr>
      </w:pPr>
    </w:p>
    <w:p w14:paraId="1D70C7FE" w14:textId="77777777" w:rsidR="00EE006D" w:rsidRDefault="00EE006D" w:rsidP="00DD4718">
      <w:pPr>
        <w:pStyle w:val="ListParagraph"/>
        <w:ind w:left="0"/>
        <w:rPr>
          <w:sz w:val="22"/>
          <w:szCs w:val="22"/>
        </w:rPr>
      </w:pPr>
    </w:p>
    <w:p w14:paraId="4BB6B344" w14:textId="6120EEBE" w:rsidR="00DD4718" w:rsidRDefault="001D6C33" w:rsidP="00DD4718">
      <w:pPr>
        <w:pStyle w:val="ListParagraph"/>
        <w:ind w:left="0"/>
        <w:rPr>
          <w:sz w:val="22"/>
          <w:szCs w:val="22"/>
        </w:rPr>
      </w:pPr>
      <w:r>
        <w:rPr>
          <w:sz w:val="22"/>
          <w:szCs w:val="22"/>
        </w:rPr>
        <w:t>Maori are</w:t>
      </w:r>
      <w:r w:rsidR="003C0993">
        <w:rPr>
          <w:sz w:val="22"/>
          <w:szCs w:val="22"/>
        </w:rPr>
        <w:t xml:space="preserve"> </w:t>
      </w:r>
      <w:r w:rsidR="002E6F3F">
        <w:rPr>
          <w:sz w:val="22"/>
          <w:szCs w:val="22"/>
        </w:rPr>
        <w:t xml:space="preserve">15% of the general population </w:t>
      </w:r>
      <w:r w:rsidR="00E74BFF">
        <w:rPr>
          <w:sz w:val="22"/>
          <w:szCs w:val="22"/>
        </w:rPr>
        <w:t xml:space="preserve">but account for </w:t>
      </w:r>
      <w:r>
        <w:rPr>
          <w:sz w:val="22"/>
          <w:szCs w:val="22"/>
        </w:rPr>
        <w:t xml:space="preserve">51% of </w:t>
      </w:r>
      <w:r w:rsidR="00E74BFF">
        <w:rPr>
          <w:sz w:val="22"/>
          <w:szCs w:val="22"/>
        </w:rPr>
        <w:t>all prisoners.</w:t>
      </w:r>
      <w:r w:rsidR="00DD4718">
        <w:rPr>
          <w:sz w:val="22"/>
          <w:szCs w:val="22"/>
        </w:rPr>
        <w:t xml:space="preserve"> </w:t>
      </w:r>
      <w:r w:rsidR="00E74BFF">
        <w:rPr>
          <w:sz w:val="22"/>
          <w:szCs w:val="22"/>
        </w:rPr>
        <w:t xml:space="preserve">That’s a compelling </w:t>
      </w:r>
      <w:r w:rsidR="003C0993">
        <w:rPr>
          <w:sz w:val="22"/>
          <w:szCs w:val="22"/>
        </w:rPr>
        <w:t>sign that something is wrong</w:t>
      </w:r>
      <w:r w:rsidR="00DD4718">
        <w:rPr>
          <w:sz w:val="22"/>
          <w:szCs w:val="22"/>
        </w:rPr>
        <w:t xml:space="preserve">. </w:t>
      </w:r>
    </w:p>
    <w:p w14:paraId="53C3501E" w14:textId="77777777" w:rsidR="00FC0FBA" w:rsidRDefault="00FC0FBA" w:rsidP="00DD4718">
      <w:pPr>
        <w:pStyle w:val="ListParagraph"/>
        <w:ind w:left="0"/>
        <w:rPr>
          <w:sz w:val="22"/>
          <w:szCs w:val="22"/>
        </w:rPr>
      </w:pPr>
    </w:p>
    <w:p w14:paraId="2D1D67BC" w14:textId="77777777" w:rsidR="00FC0FBA" w:rsidRDefault="00FC0FBA" w:rsidP="00FC0FBA">
      <w:pPr>
        <w:pStyle w:val="ListParagraph"/>
        <w:ind w:left="0"/>
        <w:rPr>
          <w:sz w:val="22"/>
          <w:szCs w:val="22"/>
        </w:rPr>
      </w:pPr>
      <w:r>
        <w:rPr>
          <w:sz w:val="22"/>
          <w:szCs w:val="22"/>
        </w:rPr>
        <w:t>None of the facts or issues</w:t>
      </w:r>
      <w:r w:rsidRPr="005D5F6B">
        <w:rPr>
          <w:sz w:val="22"/>
          <w:szCs w:val="22"/>
        </w:rPr>
        <w:t xml:space="preserve"> </w:t>
      </w:r>
      <w:r>
        <w:rPr>
          <w:sz w:val="22"/>
          <w:szCs w:val="22"/>
        </w:rPr>
        <w:t xml:space="preserve">identified above </w:t>
      </w:r>
      <w:r w:rsidRPr="005D5F6B">
        <w:rPr>
          <w:sz w:val="22"/>
          <w:szCs w:val="22"/>
        </w:rPr>
        <w:t>would surprise Sir Clinton Roper (1918-1994)</w:t>
      </w:r>
      <w:r>
        <w:rPr>
          <w:sz w:val="22"/>
          <w:szCs w:val="22"/>
        </w:rPr>
        <w:t>,</w:t>
      </w:r>
      <w:r w:rsidRPr="005D5F6B">
        <w:rPr>
          <w:sz w:val="22"/>
          <w:szCs w:val="22"/>
        </w:rPr>
        <w:t xml:space="preserve"> or anyone who has read his 1989 report, </w:t>
      </w:r>
      <w:proofErr w:type="spellStart"/>
      <w:r w:rsidRPr="005D5F6B">
        <w:rPr>
          <w:i/>
          <w:sz w:val="22"/>
          <w:szCs w:val="22"/>
        </w:rPr>
        <w:t>Te</w:t>
      </w:r>
      <w:proofErr w:type="spellEnd"/>
      <w:r w:rsidRPr="005D5F6B">
        <w:rPr>
          <w:i/>
          <w:sz w:val="22"/>
          <w:szCs w:val="22"/>
        </w:rPr>
        <w:t xml:space="preserve"> </w:t>
      </w:r>
      <w:proofErr w:type="spellStart"/>
      <w:r w:rsidRPr="005D5F6B">
        <w:rPr>
          <w:i/>
          <w:sz w:val="22"/>
          <w:szCs w:val="22"/>
        </w:rPr>
        <w:t>Ara</w:t>
      </w:r>
      <w:proofErr w:type="spellEnd"/>
      <w:r w:rsidRPr="005D5F6B">
        <w:rPr>
          <w:i/>
          <w:sz w:val="22"/>
          <w:szCs w:val="22"/>
        </w:rPr>
        <w:t xml:space="preserve"> </w:t>
      </w:r>
      <w:proofErr w:type="spellStart"/>
      <w:r w:rsidRPr="005D5F6B">
        <w:rPr>
          <w:i/>
          <w:sz w:val="22"/>
          <w:szCs w:val="22"/>
        </w:rPr>
        <w:t>Hou</w:t>
      </w:r>
      <w:proofErr w:type="spellEnd"/>
      <w:r w:rsidRPr="005D5F6B">
        <w:rPr>
          <w:i/>
          <w:sz w:val="22"/>
          <w:szCs w:val="22"/>
        </w:rPr>
        <w:t>: The New Way</w:t>
      </w:r>
      <w:r w:rsidRPr="005D5F6B">
        <w:rPr>
          <w:sz w:val="22"/>
          <w:szCs w:val="22"/>
        </w:rPr>
        <w:t>, now over a quarter of a century old.</w:t>
      </w:r>
      <w:r w:rsidRPr="005D5F6B">
        <w:rPr>
          <w:rStyle w:val="FootnoteReference"/>
          <w:sz w:val="22"/>
          <w:szCs w:val="22"/>
        </w:rPr>
        <w:footnoteReference w:id="13"/>
      </w:r>
      <w:r w:rsidRPr="005D5F6B">
        <w:rPr>
          <w:sz w:val="22"/>
          <w:szCs w:val="22"/>
        </w:rPr>
        <w:t xml:space="preserve"> </w:t>
      </w:r>
    </w:p>
    <w:p w14:paraId="07D6C4AE" w14:textId="77777777" w:rsidR="00DD4718" w:rsidRDefault="00DD4718" w:rsidP="00DD4718">
      <w:pPr>
        <w:pStyle w:val="ListParagraph"/>
        <w:ind w:left="0"/>
        <w:rPr>
          <w:sz w:val="22"/>
          <w:szCs w:val="22"/>
        </w:rPr>
      </w:pPr>
    </w:p>
    <w:p w14:paraId="437446CE" w14:textId="302C0AE1" w:rsidR="00585BDF" w:rsidRDefault="00DD4718" w:rsidP="00DD4718">
      <w:pPr>
        <w:pStyle w:val="ListParagraph"/>
        <w:ind w:left="0"/>
        <w:rPr>
          <w:sz w:val="22"/>
          <w:szCs w:val="22"/>
        </w:rPr>
      </w:pPr>
      <w:r>
        <w:rPr>
          <w:sz w:val="22"/>
          <w:szCs w:val="22"/>
        </w:rPr>
        <w:t xml:space="preserve">Despite </w:t>
      </w:r>
      <w:r w:rsidR="00E74BFF">
        <w:rPr>
          <w:sz w:val="22"/>
          <w:szCs w:val="22"/>
        </w:rPr>
        <w:t xml:space="preserve">the problems being obvious for decades </w:t>
      </w:r>
      <w:r>
        <w:rPr>
          <w:sz w:val="22"/>
          <w:szCs w:val="22"/>
        </w:rPr>
        <w:t>Establis</w:t>
      </w:r>
      <w:r w:rsidR="003B141B">
        <w:rPr>
          <w:sz w:val="22"/>
          <w:szCs w:val="22"/>
        </w:rPr>
        <w:t xml:space="preserve">hment parties have failed </w:t>
      </w:r>
      <w:r w:rsidR="00BD1B5C">
        <w:rPr>
          <w:sz w:val="22"/>
          <w:szCs w:val="22"/>
        </w:rPr>
        <w:t xml:space="preserve">to </w:t>
      </w:r>
      <w:r w:rsidR="00E74BFF">
        <w:rPr>
          <w:sz w:val="22"/>
          <w:szCs w:val="22"/>
        </w:rPr>
        <w:t>implement effective solutions, and so the prison population has grown.</w:t>
      </w:r>
      <w:r w:rsidR="00680F2E">
        <w:rPr>
          <w:sz w:val="22"/>
          <w:szCs w:val="22"/>
        </w:rPr>
        <w:t xml:space="preserve"> More accurately, politicians have been too timid to take on a vociferous segment of the public who demand simplistic retribution – “lock ‘</w:t>
      </w:r>
      <w:proofErr w:type="spellStart"/>
      <w:r w:rsidR="00680F2E">
        <w:rPr>
          <w:sz w:val="22"/>
          <w:szCs w:val="22"/>
        </w:rPr>
        <w:t>em</w:t>
      </w:r>
      <w:proofErr w:type="spellEnd"/>
      <w:r w:rsidR="00680F2E">
        <w:rPr>
          <w:sz w:val="22"/>
          <w:szCs w:val="22"/>
        </w:rPr>
        <w:t xml:space="preserve"> up”. </w:t>
      </w:r>
    </w:p>
    <w:p w14:paraId="01C71034" w14:textId="77777777" w:rsidR="00585BDF" w:rsidRDefault="00585BDF" w:rsidP="00DD4718">
      <w:pPr>
        <w:pStyle w:val="ListParagraph"/>
        <w:ind w:left="0"/>
        <w:rPr>
          <w:sz w:val="22"/>
          <w:szCs w:val="22"/>
        </w:rPr>
      </w:pPr>
    </w:p>
    <w:p w14:paraId="506C2BC0" w14:textId="1DB1C8B9" w:rsidR="00BD1B5C" w:rsidRDefault="00BD1B5C" w:rsidP="00DD4718">
      <w:pPr>
        <w:pStyle w:val="ListParagraph"/>
        <w:ind w:left="0"/>
        <w:rPr>
          <w:sz w:val="22"/>
          <w:szCs w:val="22"/>
        </w:rPr>
      </w:pPr>
      <w:r w:rsidRPr="00462AB0">
        <w:rPr>
          <w:sz w:val="22"/>
          <w:szCs w:val="22"/>
        </w:rPr>
        <w:t>The media gives individual tragedies a</w:t>
      </w:r>
      <w:r w:rsidR="006877C6">
        <w:rPr>
          <w:sz w:val="22"/>
          <w:szCs w:val="22"/>
        </w:rPr>
        <w:t xml:space="preserve"> high profile</w:t>
      </w:r>
      <w:r w:rsidR="00680F2E">
        <w:rPr>
          <w:sz w:val="22"/>
          <w:szCs w:val="22"/>
        </w:rPr>
        <w:t xml:space="preserve">, </w:t>
      </w:r>
      <w:r w:rsidR="006877C6">
        <w:rPr>
          <w:sz w:val="22"/>
          <w:szCs w:val="22"/>
        </w:rPr>
        <w:t>politicians</w:t>
      </w:r>
      <w:r w:rsidR="000233AD">
        <w:rPr>
          <w:sz w:val="22"/>
          <w:szCs w:val="22"/>
        </w:rPr>
        <w:t xml:space="preserve"> </w:t>
      </w:r>
      <w:r w:rsidRPr="00462AB0">
        <w:rPr>
          <w:sz w:val="22"/>
          <w:szCs w:val="22"/>
        </w:rPr>
        <w:t xml:space="preserve">respond to </w:t>
      </w:r>
      <w:r w:rsidR="00680F2E">
        <w:rPr>
          <w:sz w:val="22"/>
          <w:szCs w:val="22"/>
        </w:rPr>
        <w:t xml:space="preserve">public </w:t>
      </w:r>
      <w:r w:rsidRPr="00462AB0">
        <w:rPr>
          <w:sz w:val="22"/>
          <w:szCs w:val="22"/>
        </w:rPr>
        <w:t>anxieties</w:t>
      </w:r>
      <w:r w:rsidR="00680F2E">
        <w:rPr>
          <w:sz w:val="22"/>
          <w:szCs w:val="22"/>
        </w:rPr>
        <w:t xml:space="preserve"> by enacting more </w:t>
      </w:r>
      <w:r w:rsidRPr="00462AB0">
        <w:rPr>
          <w:sz w:val="22"/>
          <w:szCs w:val="22"/>
        </w:rPr>
        <w:t xml:space="preserve">punitive </w:t>
      </w:r>
      <w:r w:rsidR="00680F2E">
        <w:rPr>
          <w:sz w:val="22"/>
          <w:szCs w:val="22"/>
        </w:rPr>
        <w:t xml:space="preserve">sentences to keep the public safe. </w:t>
      </w:r>
      <w:r w:rsidRPr="00462AB0">
        <w:rPr>
          <w:sz w:val="22"/>
          <w:szCs w:val="22"/>
        </w:rPr>
        <w:t>Successive governments have tightened bail conditions, lengthened custodial sentences and made paro</w:t>
      </w:r>
      <w:r w:rsidR="00F12914">
        <w:rPr>
          <w:sz w:val="22"/>
          <w:szCs w:val="22"/>
        </w:rPr>
        <w:t>le harder to get; in short, see</w:t>
      </w:r>
      <w:r w:rsidR="003C0993">
        <w:rPr>
          <w:sz w:val="22"/>
          <w:szCs w:val="22"/>
        </w:rPr>
        <w:t>n</w:t>
      </w:r>
      <w:r w:rsidRPr="00462AB0">
        <w:rPr>
          <w:sz w:val="22"/>
          <w:szCs w:val="22"/>
        </w:rPr>
        <w:t xml:space="preserve"> to it t</w:t>
      </w:r>
      <w:r>
        <w:rPr>
          <w:sz w:val="22"/>
          <w:szCs w:val="22"/>
        </w:rPr>
        <w:t>hat more people</w:t>
      </w:r>
      <w:r w:rsidR="00F45ADF">
        <w:rPr>
          <w:sz w:val="22"/>
          <w:szCs w:val="22"/>
        </w:rPr>
        <w:t xml:space="preserve"> are in prison for longer, with</w:t>
      </w:r>
      <w:r w:rsidR="00323ED7">
        <w:rPr>
          <w:sz w:val="22"/>
          <w:szCs w:val="22"/>
        </w:rPr>
        <w:t xml:space="preserve"> </w:t>
      </w:r>
      <w:r w:rsidR="00585BDF">
        <w:rPr>
          <w:sz w:val="22"/>
          <w:szCs w:val="22"/>
        </w:rPr>
        <w:t>little if any better</w:t>
      </w:r>
      <w:r w:rsidR="00563A93">
        <w:rPr>
          <w:sz w:val="22"/>
          <w:szCs w:val="22"/>
        </w:rPr>
        <w:t xml:space="preserve"> justice outcomes </w:t>
      </w:r>
      <w:r>
        <w:rPr>
          <w:sz w:val="22"/>
          <w:szCs w:val="22"/>
        </w:rPr>
        <w:t>to show for it.</w:t>
      </w:r>
    </w:p>
    <w:p w14:paraId="3C04BE7A" w14:textId="77777777" w:rsidR="00BD1B5C" w:rsidRDefault="00BD1B5C" w:rsidP="00DD4718">
      <w:pPr>
        <w:pStyle w:val="ListParagraph"/>
        <w:ind w:left="0"/>
        <w:rPr>
          <w:sz w:val="22"/>
          <w:szCs w:val="22"/>
        </w:rPr>
      </w:pPr>
    </w:p>
    <w:p w14:paraId="5543F4FE" w14:textId="486E2DEF" w:rsidR="00DD4718" w:rsidRDefault="00680F2E" w:rsidP="00DD4718">
      <w:pPr>
        <w:pStyle w:val="ListParagraph"/>
        <w:ind w:left="0"/>
        <w:rPr>
          <w:sz w:val="22"/>
          <w:szCs w:val="22"/>
        </w:rPr>
      </w:pPr>
      <w:r>
        <w:rPr>
          <w:sz w:val="22"/>
          <w:szCs w:val="22"/>
        </w:rPr>
        <w:lastRenderedPageBreak/>
        <w:t xml:space="preserve">Unsurprisingly, </w:t>
      </w:r>
      <w:r w:rsidR="00DD4718">
        <w:rPr>
          <w:sz w:val="22"/>
          <w:szCs w:val="22"/>
        </w:rPr>
        <w:t xml:space="preserve">our prison population has continued to grow and with it the cost to taxpayers. </w:t>
      </w:r>
    </w:p>
    <w:p w14:paraId="5583AE5F" w14:textId="77777777" w:rsidR="006147EF" w:rsidRDefault="006147EF" w:rsidP="00DD4718">
      <w:pPr>
        <w:pStyle w:val="ListParagraph"/>
        <w:ind w:left="0"/>
        <w:rPr>
          <w:sz w:val="22"/>
          <w:szCs w:val="22"/>
        </w:rPr>
      </w:pPr>
    </w:p>
    <w:p w14:paraId="37C554BE" w14:textId="1FC19DE0" w:rsidR="006147EF" w:rsidRDefault="006147EF" w:rsidP="00DD4718">
      <w:pPr>
        <w:pStyle w:val="ListParagraph"/>
        <w:ind w:left="0"/>
        <w:rPr>
          <w:sz w:val="22"/>
          <w:szCs w:val="22"/>
        </w:rPr>
      </w:pPr>
      <w:r>
        <w:rPr>
          <w:noProof/>
        </w:rPr>
        <w:drawing>
          <wp:inline distT="0" distB="0" distL="0" distR="0" wp14:anchorId="61D26647" wp14:editId="5FAA8BB5">
            <wp:extent cx="3807460" cy="2727113"/>
            <wp:effectExtent l="0" t="0" r="27940" b="165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017AE05" w14:textId="77777777" w:rsidR="009C10EF" w:rsidRPr="008A3EB4" w:rsidRDefault="009C10EF" w:rsidP="009C10EF">
      <w:pPr>
        <w:rPr>
          <w:rFonts w:ascii="Arial Narrow" w:hAnsi="Arial Narrow"/>
          <w:sz w:val="20"/>
          <w:szCs w:val="20"/>
          <w:lang w:val="en-NZ"/>
        </w:rPr>
      </w:pPr>
      <w:r w:rsidRPr="008A3EB4">
        <w:rPr>
          <w:rFonts w:ascii="Arial Narrow" w:hAnsi="Arial Narrow"/>
          <w:sz w:val="20"/>
          <w:szCs w:val="20"/>
          <w:lang w:val="en-NZ"/>
        </w:rPr>
        <w:t xml:space="preserve">Treasury budget documents, </w:t>
      </w:r>
      <w:r w:rsidRPr="008A3EB4">
        <w:rPr>
          <w:rFonts w:ascii="Arial Narrow" w:hAnsi="Arial Narrow"/>
          <w:i/>
          <w:sz w:val="20"/>
          <w:szCs w:val="20"/>
          <w:lang w:val="en-NZ"/>
        </w:rPr>
        <w:t>Vote Corrections</w:t>
      </w:r>
      <w:r w:rsidRPr="008A3EB4">
        <w:rPr>
          <w:rFonts w:ascii="Arial Narrow" w:hAnsi="Arial Narrow"/>
          <w:sz w:val="20"/>
          <w:szCs w:val="20"/>
          <w:lang w:val="en-NZ"/>
        </w:rPr>
        <w:t xml:space="preserve"> for relevant years</w:t>
      </w:r>
    </w:p>
    <w:p w14:paraId="2B1A8D71" w14:textId="77777777" w:rsidR="00DD4718" w:rsidRDefault="00DD4718" w:rsidP="00DD4718">
      <w:pPr>
        <w:pStyle w:val="ListParagraph"/>
        <w:ind w:left="0"/>
        <w:rPr>
          <w:sz w:val="22"/>
          <w:szCs w:val="22"/>
        </w:rPr>
      </w:pPr>
    </w:p>
    <w:p w14:paraId="57992E24" w14:textId="77777777" w:rsidR="00DD4718" w:rsidRDefault="00DD4718" w:rsidP="00DA3C8F">
      <w:pPr>
        <w:rPr>
          <w:rFonts w:asciiTheme="majorHAnsi" w:hAnsiTheme="majorHAnsi"/>
          <w:b/>
          <w:sz w:val="22"/>
          <w:szCs w:val="22"/>
          <w:lang w:val="en-NZ"/>
        </w:rPr>
      </w:pPr>
    </w:p>
    <w:p w14:paraId="555F7721" w14:textId="1BA11DFF" w:rsidR="00DD4718" w:rsidRPr="007D4092" w:rsidRDefault="00876290" w:rsidP="00DA3C8F">
      <w:pPr>
        <w:rPr>
          <w:rFonts w:asciiTheme="majorHAnsi" w:hAnsiTheme="majorHAnsi"/>
          <w:b/>
          <w:lang w:val="en-NZ"/>
        </w:rPr>
      </w:pPr>
      <w:r w:rsidRPr="007D4092">
        <w:rPr>
          <w:rFonts w:asciiTheme="majorHAnsi" w:hAnsiTheme="majorHAnsi"/>
          <w:b/>
          <w:lang w:val="en-NZ"/>
        </w:rPr>
        <w:t>A vicious cycle</w:t>
      </w:r>
    </w:p>
    <w:p w14:paraId="6FA36EB2" w14:textId="77777777" w:rsidR="003B66EA" w:rsidRDefault="003B66EA" w:rsidP="00A706BF">
      <w:pPr>
        <w:rPr>
          <w:rFonts w:cs="Arial"/>
          <w:sz w:val="22"/>
          <w:szCs w:val="22"/>
        </w:rPr>
      </w:pPr>
    </w:p>
    <w:p w14:paraId="64E15D01" w14:textId="3334CBA5" w:rsidR="00F20F5A" w:rsidRDefault="00F20F5A" w:rsidP="00A706BF">
      <w:pPr>
        <w:rPr>
          <w:rFonts w:cs="Arial"/>
          <w:sz w:val="22"/>
          <w:szCs w:val="22"/>
        </w:rPr>
      </w:pPr>
      <w:r>
        <w:rPr>
          <w:rFonts w:cs="Arial"/>
          <w:sz w:val="22"/>
          <w:szCs w:val="22"/>
        </w:rPr>
        <w:t xml:space="preserve">What will happen if the government </w:t>
      </w:r>
      <w:r w:rsidR="00680F2E">
        <w:rPr>
          <w:rFonts w:cs="Arial"/>
          <w:sz w:val="22"/>
          <w:szCs w:val="22"/>
        </w:rPr>
        <w:t xml:space="preserve">sticks with its current </w:t>
      </w:r>
      <w:r w:rsidR="00EA65AF">
        <w:rPr>
          <w:rFonts w:cs="Arial"/>
          <w:sz w:val="22"/>
          <w:szCs w:val="22"/>
        </w:rPr>
        <w:t xml:space="preserve">criminal </w:t>
      </w:r>
      <w:r w:rsidR="00680F2E">
        <w:rPr>
          <w:rFonts w:cs="Arial"/>
          <w:sz w:val="22"/>
          <w:szCs w:val="22"/>
        </w:rPr>
        <w:t>justice policies</w:t>
      </w:r>
      <w:r w:rsidR="003B66EA">
        <w:rPr>
          <w:rFonts w:cs="Arial"/>
          <w:sz w:val="22"/>
          <w:szCs w:val="22"/>
        </w:rPr>
        <w:t>? We</w:t>
      </w:r>
      <w:r>
        <w:rPr>
          <w:rFonts w:cs="Arial"/>
          <w:sz w:val="22"/>
          <w:szCs w:val="22"/>
        </w:rPr>
        <w:t xml:space="preserve"> have made a simple </w:t>
      </w:r>
      <w:r w:rsidR="005B1EC6">
        <w:rPr>
          <w:rFonts w:cs="Arial"/>
          <w:sz w:val="22"/>
          <w:szCs w:val="22"/>
        </w:rPr>
        <w:t>model</w:t>
      </w:r>
      <w:r w:rsidR="00EA0D15">
        <w:rPr>
          <w:rFonts w:cs="Arial"/>
          <w:sz w:val="22"/>
          <w:szCs w:val="22"/>
        </w:rPr>
        <w:t xml:space="preserve"> </w:t>
      </w:r>
      <w:r>
        <w:rPr>
          <w:rFonts w:cs="Arial"/>
          <w:sz w:val="22"/>
          <w:szCs w:val="22"/>
        </w:rPr>
        <w:t xml:space="preserve">of what </w:t>
      </w:r>
      <w:r w:rsidR="00217935">
        <w:rPr>
          <w:rFonts w:cs="Arial"/>
          <w:sz w:val="22"/>
          <w:szCs w:val="22"/>
        </w:rPr>
        <w:t xml:space="preserve">could </w:t>
      </w:r>
      <w:r>
        <w:rPr>
          <w:rFonts w:cs="Arial"/>
          <w:sz w:val="22"/>
          <w:szCs w:val="22"/>
        </w:rPr>
        <w:t>happen to the p</w:t>
      </w:r>
      <w:r w:rsidR="008779FE">
        <w:rPr>
          <w:rFonts w:cs="Arial"/>
          <w:sz w:val="22"/>
          <w:szCs w:val="22"/>
        </w:rPr>
        <w:t>rison population and</w:t>
      </w:r>
      <w:r>
        <w:rPr>
          <w:rFonts w:cs="Arial"/>
          <w:sz w:val="22"/>
          <w:szCs w:val="22"/>
        </w:rPr>
        <w:t xml:space="preserve"> the government’s </w:t>
      </w:r>
      <w:r w:rsidR="008779FE">
        <w:rPr>
          <w:rFonts w:cs="Arial"/>
          <w:sz w:val="22"/>
          <w:szCs w:val="22"/>
        </w:rPr>
        <w:t xml:space="preserve">prison </w:t>
      </w:r>
      <w:r>
        <w:rPr>
          <w:rFonts w:cs="Arial"/>
          <w:sz w:val="22"/>
          <w:szCs w:val="22"/>
        </w:rPr>
        <w:t>budget.</w:t>
      </w:r>
    </w:p>
    <w:p w14:paraId="6E3F33CE" w14:textId="77777777" w:rsidR="00163947" w:rsidRDefault="00163947" w:rsidP="00A706BF">
      <w:pPr>
        <w:rPr>
          <w:rFonts w:cs="Arial"/>
          <w:sz w:val="22"/>
          <w:szCs w:val="22"/>
        </w:rPr>
      </w:pPr>
    </w:p>
    <w:p w14:paraId="3D7637F8" w14:textId="0E932DB9" w:rsidR="00163947" w:rsidRDefault="00163947" w:rsidP="00163947">
      <w:pPr>
        <w:rPr>
          <w:rFonts w:cs="Arial"/>
          <w:sz w:val="22"/>
          <w:szCs w:val="22"/>
        </w:rPr>
      </w:pPr>
      <w:r>
        <w:rPr>
          <w:rFonts w:cs="Arial"/>
          <w:sz w:val="22"/>
          <w:szCs w:val="22"/>
        </w:rPr>
        <w:t>If the prison population continues to grow as it has during the 21</w:t>
      </w:r>
      <w:r w:rsidRPr="008C5CD4">
        <w:rPr>
          <w:rFonts w:cs="Arial"/>
          <w:sz w:val="22"/>
          <w:szCs w:val="22"/>
          <w:vertAlign w:val="superscript"/>
        </w:rPr>
        <w:t>st</w:t>
      </w:r>
      <w:r w:rsidR="00C77D8E">
        <w:rPr>
          <w:rFonts w:cs="Arial"/>
          <w:sz w:val="22"/>
          <w:szCs w:val="22"/>
        </w:rPr>
        <w:t xml:space="preserve"> century,</w:t>
      </w:r>
      <w:r w:rsidR="00421DBD">
        <w:rPr>
          <w:rFonts w:cs="Arial"/>
          <w:sz w:val="22"/>
          <w:szCs w:val="22"/>
        </w:rPr>
        <w:t xml:space="preserve"> by 2027 it will be</w:t>
      </w:r>
      <w:r w:rsidR="00C77D8E">
        <w:rPr>
          <w:rFonts w:cs="Arial"/>
          <w:sz w:val="22"/>
          <w:szCs w:val="22"/>
        </w:rPr>
        <w:t xml:space="preserve"> </w:t>
      </w:r>
      <w:r>
        <w:rPr>
          <w:rFonts w:cs="Arial"/>
          <w:sz w:val="22"/>
          <w:szCs w:val="22"/>
        </w:rPr>
        <w:t>about 12,500.</w:t>
      </w:r>
      <w:r w:rsidR="00656BEE">
        <w:rPr>
          <w:rFonts w:cs="Arial"/>
          <w:sz w:val="22"/>
          <w:szCs w:val="22"/>
        </w:rPr>
        <w:t xml:space="preserve"> </w:t>
      </w:r>
    </w:p>
    <w:p w14:paraId="343B2867" w14:textId="671EAD3B" w:rsidR="00A706BF" w:rsidRPr="002172E0" w:rsidRDefault="00A706BF" w:rsidP="00A706BF">
      <w:pPr>
        <w:rPr>
          <w:rFonts w:cs="Arial"/>
          <w:sz w:val="22"/>
          <w:szCs w:val="22"/>
        </w:rPr>
      </w:pPr>
    </w:p>
    <w:p w14:paraId="0789CFF5" w14:textId="2E44C68F" w:rsidR="00FB620B" w:rsidRPr="004B58F6" w:rsidRDefault="00A706BF" w:rsidP="00DA3C8F">
      <w:pPr>
        <w:rPr>
          <w:b/>
          <w:sz w:val="22"/>
          <w:szCs w:val="22"/>
          <w:lang w:val="en-NZ"/>
        </w:rPr>
      </w:pPr>
      <w:r>
        <w:rPr>
          <w:noProof/>
        </w:rPr>
        <w:drawing>
          <wp:inline distT="0" distB="0" distL="0" distR="0" wp14:anchorId="1F821C9D" wp14:editId="1A341451">
            <wp:extent cx="4491990" cy="2890732"/>
            <wp:effectExtent l="0" t="0" r="29210" b="3048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1FFB940" w14:textId="77777777" w:rsidR="0098593A" w:rsidRDefault="0098593A" w:rsidP="0098593A">
      <w:pPr>
        <w:rPr>
          <w:rFonts w:ascii="Arial Narrow" w:hAnsi="Arial Narrow"/>
        </w:rPr>
      </w:pPr>
      <w:r>
        <w:rPr>
          <w:rFonts w:ascii="Arial Narrow" w:eastAsia="Times New Roman" w:hAnsi="Arial Narrow" w:cs="Times New Roman"/>
          <w:color w:val="000000"/>
          <w:sz w:val="18"/>
          <w:szCs w:val="18"/>
          <w:lang w:val="en-NZ"/>
        </w:rPr>
        <w:t xml:space="preserve">Data from </w:t>
      </w:r>
      <w:r w:rsidRPr="002F5CEB">
        <w:rPr>
          <w:rFonts w:ascii="Arial Narrow" w:eastAsia="Times New Roman" w:hAnsi="Arial Narrow" w:cs="Times New Roman"/>
          <w:color w:val="000000"/>
          <w:sz w:val="18"/>
          <w:szCs w:val="18"/>
          <w:lang w:val="en-NZ"/>
        </w:rPr>
        <w:t>World Prison Brief, Institute for Criminal Policy Research</w:t>
      </w:r>
    </w:p>
    <w:p w14:paraId="0A3BBA43" w14:textId="77777777" w:rsidR="00AA41CD" w:rsidRDefault="00AA41CD" w:rsidP="00DA3C8F">
      <w:pPr>
        <w:rPr>
          <w:rFonts w:cs="Arial"/>
          <w:sz w:val="22"/>
          <w:szCs w:val="22"/>
        </w:rPr>
      </w:pPr>
    </w:p>
    <w:p w14:paraId="306554FD" w14:textId="7211F8DB" w:rsidR="00AA41CD" w:rsidRDefault="00272E61" w:rsidP="00DA3C8F">
      <w:pPr>
        <w:rPr>
          <w:rFonts w:asciiTheme="majorHAnsi" w:hAnsiTheme="majorHAnsi"/>
          <w:b/>
          <w:sz w:val="22"/>
          <w:szCs w:val="22"/>
          <w:lang w:val="en-NZ"/>
        </w:rPr>
      </w:pPr>
      <w:r>
        <w:rPr>
          <w:rFonts w:cs="Arial"/>
          <w:sz w:val="22"/>
          <w:szCs w:val="22"/>
        </w:rPr>
        <w:lastRenderedPageBreak/>
        <w:t>T</w:t>
      </w:r>
      <w:r w:rsidR="00C71FDD">
        <w:rPr>
          <w:rFonts w:cs="Arial"/>
          <w:sz w:val="22"/>
          <w:szCs w:val="22"/>
        </w:rPr>
        <w:t>he fiscal</w:t>
      </w:r>
      <w:r w:rsidR="00AA41CD">
        <w:rPr>
          <w:rFonts w:cs="Arial"/>
          <w:sz w:val="22"/>
          <w:szCs w:val="22"/>
        </w:rPr>
        <w:t xml:space="preserve"> consequences of this </w:t>
      </w:r>
      <w:r>
        <w:rPr>
          <w:rFonts w:cs="Arial"/>
          <w:sz w:val="22"/>
          <w:szCs w:val="22"/>
        </w:rPr>
        <w:t xml:space="preserve">prison </w:t>
      </w:r>
      <w:r w:rsidR="00AA41CD">
        <w:rPr>
          <w:rFonts w:cs="Arial"/>
          <w:sz w:val="22"/>
          <w:szCs w:val="22"/>
        </w:rPr>
        <w:t>popul</w:t>
      </w:r>
      <w:r w:rsidR="00366756">
        <w:rPr>
          <w:rFonts w:cs="Arial"/>
          <w:sz w:val="22"/>
          <w:szCs w:val="22"/>
        </w:rPr>
        <w:t>ation</w:t>
      </w:r>
      <w:r w:rsidR="00A860AE">
        <w:rPr>
          <w:rFonts w:cs="Arial"/>
          <w:sz w:val="22"/>
          <w:szCs w:val="22"/>
        </w:rPr>
        <w:t xml:space="preserve"> are modeled </w:t>
      </w:r>
      <w:r w:rsidR="00835987">
        <w:rPr>
          <w:rFonts w:cs="Arial"/>
          <w:sz w:val="22"/>
          <w:szCs w:val="22"/>
        </w:rPr>
        <w:t xml:space="preserve">in </w:t>
      </w:r>
      <w:r w:rsidR="00A860AE">
        <w:rPr>
          <w:rFonts w:cs="Arial"/>
          <w:sz w:val="22"/>
          <w:szCs w:val="22"/>
        </w:rPr>
        <w:t>the table below. We make some simplifying assumptions:</w:t>
      </w:r>
      <w:r>
        <w:rPr>
          <w:rFonts w:cs="Arial"/>
          <w:sz w:val="22"/>
          <w:szCs w:val="22"/>
        </w:rPr>
        <w:t xml:space="preserve"> </w:t>
      </w:r>
      <w:r w:rsidR="00A860AE">
        <w:rPr>
          <w:rFonts w:cs="Arial"/>
          <w:sz w:val="22"/>
          <w:szCs w:val="22"/>
        </w:rPr>
        <w:t>t</w:t>
      </w:r>
      <w:r w:rsidR="00366756">
        <w:rPr>
          <w:rFonts w:cs="Arial"/>
          <w:sz w:val="22"/>
          <w:szCs w:val="22"/>
        </w:rPr>
        <w:t>hat each occupied prison bed</w:t>
      </w:r>
      <w:r w:rsidR="00AA41CD">
        <w:rPr>
          <w:rFonts w:cs="Arial"/>
          <w:sz w:val="22"/>
          <w:szCs w:val="22"/>
        </w:rPr>
        <w:t xml:space="preserve"> costs $100,000</w:t>
      </w:r>
      <w:r w:rsidR="00534A18">
        <w:rPr>
          <w:rFonts w:cs="Arial"/>
          <w:sz w:val="22"/>
          <w:szCs w:val="22"/>
        </w:rPr>
        <w:t xml:space="preserve"> a year</w:t>
      </w:r>
      <w:r w:rsidR="00534A18">
        <w:rPr>
          <w:rStyle w:val="FootnoteReference"/>
          <w:rFonts w:cs="Arial"/>
          <w:sz w:val="22"/>
          <w:szCs w:val="22"/>
        </w:rPr>
        <w:footnoteReference w:id="14"/>
      </w:r>
      <w:r w:rsidR="00534A18">
        <w:rPr>
          <w:rFonts w:cs="Arial"/>
          <w:sz w:val="22"/>
          <w:szCs w:val="22"/>
        </w:rPr>
        <w:t xml:space="preserve"> </w:t>
      </w:r>
      <w:r w:rsidR="00366756">
        <w:rPr>
          <w:rFonts w:cs="Arial"/>
          <w:sz w:val="22"/>
          <w:szCs w:val="22"/>
        </w:rPr>
        <w:t xml:space="preserve">and that the capital costs of new prisons are $1bn for 1,800 </w:t>
      </w:r>
      <w:r w:rsidR="00A860AE">
        <w:rPr>
          <w:rFonts w:cs="Arial"/>
          <w:sz w:val="22"/>
          <w:szCs w:val="22"/>
        </w:rPr>
        <w:t xml:space="preserve">prison </w:t>
      </w:r>
      <w:r w:rsidR="00366756">
        <w:rPr>
          <w:rFonts w:cs="Arial"/>
          <w:sz w:val="22"/>
          <w:szCs w:val="22"/>
        </w:rPr>
        <w:t>beds.</w:t>
      </w:r>
      <w:r w:rsidR="00813273">
        <w:rPr>
          <w:rStyle w:val="FootnoteReference"/>
          <w:rFonts w:cs="Arial"/>
          <w:sz w:val="22"/>
          <w:szCs w:val="22"/>
        </w:rPr>
        <w:footnoteReference w:id="15"/>
      </w:r>
      <w:r w:rsidR="00366756">
        <w:rPr>
          <w:rFonts w:cs="Arial"/>
          <w:sz w:val="22"/>
          <w:szCs w:val="22"/>
        </w:rPr>
        <w:t xml:space="preserve"> </w:t>
      </w:r>
    </w:p>
    <w:p w14:paraId="053D79D2" w14:textId="77777777" w:rsidR="006137EE" w:rsidRDefault="006137EE" w:rsidP="006137EE"/>
    <w:p w14:paraId="22773346" w14:textId="1EDCD09F" w:rsidR="006137EE" w:rsidRPr="00114F29" w:rsidRDefault="001E49CE" w:rsidP="006137EE">
      <w:pPr>
        <w:rPr>
          <w:rFonts w:ascii="Arial" w:hAnsi="Arial" w:cs="Arial"/>
          <w:b/>
          <w:i/>
          <w:sz w:val="20"/>
          <w:szCs w:val="20"/>
        </w:rPr>
      </w:pPr>
      <w:r>
        <w:rPr>
          <w:rFonts w:ascii="Arial" w:hAnsi="Arial" w:cs="Arial"/>
          <w:b/>
          <w:i/>
          <w:sz w:val="20"/>
          <w:szCs w:val="20"/>
        </w:rPr>
        <w:t>Financial p</w:t>
      </w:r>
      <w:r w:rsidR="006137EE" w:rsidRPr="00114F29">
        <w:rPr>
          <w:rFonts w:ascii="Arial" w:hAnsi="Arial" w:cs="Arial"/>
          <w:b/>
          <w:i/>
          <w:sz w:val="20"/>
          <w:szCs w:val="20"/>
        </w:rPr>
        <w:t xml:space="preserve">rojection </w:t>
      </w:r>
      <w:r w:rsidR="006137EE">
        <w:rPr>
          <w:rFonts w:ascii="Arial" w:hAnsi="Arial" w:cs="Arial"/>
          <w:b/>
          <w:i/>
          <w:sz w:val="20"/>
          <w:szCs w:val="20"/>
        </w:rPr>
        <w:t>1</w:t>
      </w:r>
      <w:r w:rsidR="006137EE" w:rsidRPr="00114F29">
        <w:rPr>
          <w:rFonts w:ascii="Arial" w:hAnsi="Arial" w:cs="Arial"/>
          <w:b/>
          <w:i/>
          <w:sz w:val="20"/>
          <w:szCs w:val="20"/>
        </w:rPr>
        <w:t>: Costs if prison population keeps growing as it has so far in the 21</w:t>
      </w:r>
      <w:r w:rsidR="006137EE" w:rsidRPr="00114F29">
        <w:rPr>
          <w:rFonts w:ascii="Arial" w:hAnsi="Arial" w:cs="Arial"/>
          <w:b/>
          <w:i/>
          <w:sz w:val="20"/>
          <w:szCs w:val="20"/>
          <w:vertAlign w:val="superscript"/>
        </w:rPr>
        <w:t>st</w:t>
      </w:r>
      <w:r w:rsidR="006137EE" w:rsidRPr="00114F29">
        <w:rPr>
          <w:rFonts w:ascii="Arial" w:hAnsi="Arial" w:cs="Arial"/>
          <w:b/>
          <w:i/>
          <w:sz w:val="20"/>
          <w:szCs w:val="20"/>
        </w:rPr>
        <w:t xml:space="preserve"> century – 2017-2027</w:t>
      </w:r>
    </w:p>
    <w:tbl>
      <w:tblPr>
        <w:tblStyle w:val="TableGrid"/>
        <w:tblW w:w="0" w:type="auto"/>
        <w:tblLook w:val="04A0" w:firstRow="1" w:lastRow="0" w:firstColumn="1" w:lastColumn="0" w:noHBand="0" w:noVBand="1"/>
      </w:tblPr>
      <w:tblGrid>
        <w:gridCol w:w="876"/>
        <w:gridCol w:w="1139"/>
        <w:gridCol w:w="1000"/>
        <w:gridCol w:w="1267"/>
        <w:gridCol w:w="1483"/>
        <w:gridCol w:w="1147"/>
        <w:gridCol w:w="1231"/>
      </w:tblGrid>
      <w:tr w:rsidR="006137EE" w:rsidRPr="00C21926" w14:paraId="06FA3E27" w14:textId="77777777" w:rsidTr="007D4092">
        <w:tc>
          <w:tcPr>
            <w:tcW w:w="876" w:type="dxa"/>
            <w:shd w:val="clear" w:color="auto" w:fill="F2F2F2" w:themeFill="background1" w:themeFillShade="F2"/>
          </w:tcPr>
          <w:p w14:paraId="51F6D0EE" w14:textId="77777777" w:rsidR="006137EE" w:rsidRPr="00B31D1B" w:rsidRDefault="006137EE" w:rsidP="007D4092">
            <w:pPr>
              <w:jc w:val="center"/>
              <w:rPr>
                <w:rFonts w:ascii="Arial Narrow" w:hAnsi="Arial Narrow"/>
                <w:b/>
                <w:sz w:val="18"/>
                <w:szCs w:val="18"/>
              </w:rPr>
            </w:pPr>
            <w:r w:rsidRPr="00B31D1B">
              <w:rPr>
                <w:rFonts w:ascii="Arial Narrow" w:hAnsi="Arial Narrow"/>
                <w:b/>
                <w:sz w:val="18"/>
                <w:szCs w:val="18"/>
              </w:rPr>
              <w:t>Year</w:t>
            </w:r>
          </w:p>
        </w:tc>
        <w:tc>
          <w:tcPr>
            <w:tcW w:w="1139" w:type="dxa"/>
            <w:shd w:val="clear" w:color="auto" w:fill="F2F2F2" w:themeFill="background1" w:themeFillShade="F2"/>
          </w:tcPr>
          <w:p w14:paraId="04BA25C3" w14:textId="51424C99" w:rsidR="006137EE" w:rsidRPr="00B31D1B" w:rsidRDefault="001E49CE" w:rsidP="007D4092">
            <w:pPr>
              <w:jc w:val="center"/>
              <w:rPr>
                <w:rFonts w:ascii="Arial Narrow" w:hAnsi="Arial Narrow"/>
                <w:b/>
                <w:sz w:val="18"/>
                <w:szCs w:val="18"/>
              </w:rPr>
            </w:pPr>
            <w:r>
              <w:rPr>
                <w:rFonts w:ascii="Arial Narrow" w:hAnsi="Arial Narrow"/>
                <w:b/>
                <w:sz w:val="18"/>
                <w:szCs w:val="18"/>
              </w:rPr>
              <w:t xml:space="preserve">Prison population </w:t>
            </w:r>
            <w:proofErr w:type="spellStart"/>
            <w:r>
              <w:rPr>
                <w:rFonts w:ascii="Arial Narrow" w:hAnsi="Arial Narrow"/>
                <w:b/>
                <w:sz w:val="18"/>
                <w:szCs w:val="18"/>
              </w:rPr>
              <w:t>trendline</w:t>
            </w:r>
            <w:proofErr w:type="spellEnd"/>
          </w:p>
        </w:tc>
        <w:tc>
          <w:tcPr>
            <w:tcW w:w="1000" w:type="dxa"/>
            <w:shd w:val="clear" w:color="auto" w:fill="F2F2F2" w:themeFill="background1" w:themeFillShade="F2"/>
          </w:tcPr>
          <w:p w14:paraId="74476182" w14:textId="77777777" w:rsidR="006137EE" w:rsidRPr="00B31D1B" w:rsidRDefault="006137EE" w:rsidP="007D4092">
            <w:pPr>
              <w:jc w:val="center"/>
              <w:rPr>
                <w:rFonts w:ascii="Arial Narrow" w:hAnsi="Arial Narrow"/>
                <w:b/>
                <w:sz w:val="18"/>
                <w:szCs w:val="18"/>
              </w:rPr>
            </w:pPr>
            <w:r w:rsidRPr="00B31D1B">
              <w:rPr>
                <w:rFonts w:ascii="Arial Narrow" w:hAnsi="Arial Narrow"/>
                <w:b/>
                <w:sz w:val="18"/>
                <w:szCs w:val="18"/>
              </w:rPr>
              <w:t>2017 +</w:t>
            </w:r>
          </w:p>
        </w:tc>
        <w:tc>
          <w:tcPr>
            <w:tcW w:w="1267" w:type="dxa"/>
            <w:shd w:val="clear" w:color="auto" w:fill="F2F2F2" w:themeFill="background1" w:themeFillShade="F2"/>
          </w:tcPr>
          <w:p w14:paraId="7174B6DA" w14:textId="77777777" w:rsidR="006137EE" w:rsidRPr="00B31D1B" w:rsidRDefault="006137EE" w:rsidP="007D4092">
            <w:pPr>
              <w:jc w:val="center"/>
              <w:rPr>
                <w:rFonts w:ascii="Arial Narrow" w:hAnsi="Arial Narrow"/>
                <w:b/>
                <w:sz w:val="18"/>
                <w:szCs w:val="18"/>
              </w:rPr>
            </w:pPr>
            <w:r w:rsidRPr="00B31D1B">
              <w:rPr>
                <w:rFonts w:ascii="Arial Narrow" w:hAnsi="Arial Narrow"/>
                <w:b/>
                <w:sz w:val="18"/>
                <w:szCs w:val="18"/>
              </w:rPr>
              <w:t>Operating cost</w:t>
            </w:r>
          </w:p>
          <w:p w14:paraId="2597C880" w14:textId="77777777" w:rsidR="006137EE" w:rsidRPr="00B31D1B" w:rsidRDefault="006137EE" w:rsidP="007D4092">
            <w:pPr>
              <w:jc w:val="center"/>
              <w:rPr>
                <w:rFonts w:ascii="Arial Narrow" w:hAnsi="Arial Narrow"/>
                <w:b/>
                <w:sz w:val="18"/>
                <w:szCs w:val="18"/>
              </w:rPr>
            </w:pPr>
            <w:r w:rsidRPr="00B31D1B">
              <w:rPr>
                <w:rFonts w:ascii="Arial Narrow" w:hAnsi="Arial Narrow"/>
                <w:b/>
                <w:sz w:val="18"/>
                <w:szCs w:val="18"/>
              </w:rPr>
              <w:t>($millions)</w:t>
            </w:r>
          </w:p>
        </w:tc>
        <w:tc>
          <w:tcPr>
            <w:tcW w:w="1483" w:type="dxa"/>
            <w:shd w:val="clear" w:color="auto" w:fill="F2F2F2" w:themeFill="background1" w:themeFillShade="F2"/>
          </w:tcPr>
          <w:p w14:paraId="4AF3A15A" w14:textId="77777777" w:rsidR="006137EE" w:rsidRPr="00B31D1B" w:rsidRDefault="006137EE" w:rsidP="007D4092">
            <w:pPr>
              <w:jc w:val="center"/>
              <w:rPr>
                <w:rFonts w:ascii="Arial Narrow" w:hAnsi="Arial Narrow"/>
                <w:b/>
                <w:sz w:val="18"/>
                <w:szCs w:val="18"/>
              </w:rPr>
            </w:pPr>
            <w:r w:rsidRPr="00B31D1B">
              <w:rPr>
                <w:rFonts w:ascii="Arial Narrow" w:hAnsi="Arial Narrow"/>
                <w:b/>
                <w:sz w:val="18"/>
                <w:szCs w:val="18"/>
              </w:rPr>
              <w:t>Cumulating Operating cost</w:t>
            </w:r>
          </w:p>
          <w:p w14:paraId="7F81E524" w14:textId="77777777" w:rsidR="006137EE" w:rsidRPr="00B31D1B" w:rsidRDefault="006137EE" w:rsidP="007D4092">
            <w:pPr>
              <w:jc w:val="center"/>
              <w:rPr>
                <w:rFonts w:ascii="Arial Narrow" w:hAnsi="Arial Narrow"/>
                <w:b/>
                <w:sz w:val="18"/>
                <w:szCs w:val="18"/>
              </w:rPr>
            </w:pPr>
            <w:r w:rsidRPr="00B31D1B">
              <w:rPr>
                <w:rFonts w:ascii="Arial Narrow" w:hAnsi="Arial Narrow"/>
                <w:b/>
                <w:sz w:val="18"/>
                <w:szCs w:val="18"/>
              </w:rPr>
              <w:t>($millions)</w:t>
            </w:r>
          </w:p>
        </w:tc>
        <w:tc>
          <w:tcPr>
            <w:tcW w:w="1147" w:type="dxa"/>
            <w:shd w:val="clear" w:color="auto" w:fill="F2F2F2" w:themeFill="background1" w:themeFillShade="F2"/>
          </w:tcPr>
          <w:p w14:paraId="3540820D" w14:textId="77777777" w:rsidR="006137EE" w:rsidRPr="00B31D1B" w:rsidRDefault="006137EE" w:rsidP="007D4092">
            <w:pPr>
              <w:jc w:val="center"/>
              <w:rPr>
                <w:rFonts w:ascii="Arial Narrow" w:hAnsi="Arial Narrow"/>
                <w:b/>
                <w:sz w:val="18"/>
                <w:szCs w:val="18"/>
              </w:rPr>
            </w:pPr>
            <w:r w:rsidRPr="00B31D1B">
              <w:rPr>
                <w:rFonts w:ascii="Arial Narrow" w:hAnsi="Arial Narrow"/>
                <w:b/>
                <w:sz w:val="18"/>
                <w:szCs w:val="18"/>
              </w:rPr>
              <w:t>Capital cost</w:t>
            </w:r>
          </w:p>
          <w:p w14:paraId="06C9FCD3" w14:textId="77777777" w:rsidR="006137EE" w:rsidRPr="00B31D1B" w:rsidRDefault="006137EE" w:rsidP="007D4092">
            <w:pPr>
              <w:jc w:val="center"/>
              <w:rPr>
                <w:rFonts w:ascii="Arial Narrow" w:hAnsi="Arial Narrow"/>
                <w:b/>
                <w:sz w:val="18"/>
                <w:szCs w:val="18"/>
              </w:rPr>
            </w:pPr>
            <w:r w:rsidRPr="00B31D1B">
              <w:rPr>
                <w:rFonts w:ascii="Arial Narrow" w:hAnsi="Arial Narrow"/>
                <w:b/>
                <w:sz w:val="18"/>
                <w:szCs w:val="18"/>
              </w:rPr>
              <w:t>($millions)</w:t>
            </w:r>
          </w:p>
        </w:tc>
        <w:tc>
          <w:tcPr>
            <w:tcW w:w="1231" w:type="dxa"/>
            <w:shd w:val="clear" w:color="auto" w:fill="F2F2F2" w:themeFill="background1" w:themeFillShade="F2"/>
          </w:tcPr>
          <w:p w14:paraId="0DF4E4CD" w14:textId="77777777" w:rsidR="006137EE" w:rsidRPr="00B31D1B" w:rsidRDefault="006137EE" w:rsidP="007D4092">
            <w:pPr>
              <w:ind w:right="-11"/>
              <w:jc w:val="center"/>
              <w:rPr>
                <w:rFonts w:ascii="Arial Narrow" w:hAnsi="Arial Narrow"/>
                <w:b/>
                <w:sz w:val="18"/>
                <w:szCs w:val="18"/>
              </w:rPr>
            </w:pPr>
            <w:r w:rsidRPr="00B31D1B">
              <w:rPr>
                <w:rFonts w:ascii="Arial Narrow" w:hAnsi="Arial Narrow"/>
                <w:b/>
                <w:sz w:val="18"/>
                <w:szCs w:val="18"/>
              </w:rPr>
              <w:t>Operating + Capital, cumulating ($millions)</w:t>
            </w:r>
          </w:p>
        </w:tc>
      </w:tr>
      <w:tr w:rsidR="006137EE" w14:paraId="572A58F9" w14:textId="77777777" w:rsidTr="007D4092">
        <w:tc>
          <w:tcPr>
            <w:tcW w:w="876" w:type="dxa"/>
          </w:tcPr>
          <w:p w14:paraId="492F220E" w14:textId="77777777" w:rsidR="006137EE" w:rsidRPr="008C5F8F" w:rsidRDefault="006137EE" w:rsidP="007D4092">
            <w:pPr>
              <w:rPr>
                <w:rFonts w:ascii="Arial Narrow" w:hAnsi="Arial Narrow"/>
                <w:sz w:val="20"/>
                <w:szCs w:val="20"/>
              </w:rPr>
            </w:pPr>
          </w:p>
        </w:tc>
        <w:tc>
          <w:tcPr>
            <w:tcW w:w="1139" w:type="dxa"/>
          </w:tcPr>
          <w:p w14:paraId="303A3C4B" w14:textId="77777777" w:rsidR="006137EE" w:rsidRPr="00BC2148" w:rsidRDefault="006137EE" w:rsidP="007D4092">
            <w:pPr>
              <w:rPr>
                <w:rFonts w:ascii="Arial Narrow" w:hAnsi="Arial Narrow"/>
                <w:i/>
                <w:sz w:val="20"/>
                <w:szCs w:val="20"/>
              </w:rPr>
            </w:pPr>
            <w:r w:rsidRPr="00BC2148">
              <w:rPr>
                <w:rFonts w:ascii="Arial Narrow" w:hAnsi="Arial Narrow"/>
                <w:i/>
                <w:sz w:val="20"/>
                <w:szCs w:val="20"/>
              </w:rPr>
              <w:t>A</w:t>
            </w:r>
          </w:p>
        </w:tc>
        <w:tc>
          <w:tcPr>
            <w:tcW w:w="1000" w:type="dxa"/>
          </w:tcPr>
          <w:p w14:paraId="4527CE7B" w14:textId="77777777" w:rsidR="006137EE" w:rsidRPr="00BC2148" w:rsidRDefault="006137EE" w:rsidP="007D4092">
            <w:pPr>
              <w:rPr>
                <w:rFonts w:ascii="Arial Narrow" w:hAnsi="Arial Narrow"/>
                <w:i/>
                <w:sz w:val="20"/>
                <w:szCs w:val="20"/>
              </w:rPr>
            </w:pPr>
            <w:r w:rsidRPr="00BC2148">
              <w:rPr>
                <w:rFonts w:ascii="Arial Narrow" w:hAnsi="Arial Narrow"/>
                <w:i/>
                <w:sz w:val="20"/>
                <w:szCs w:val="20"/>
              </w:rPr>
              <w:t>B</w:t>
            </w:r>
          </w:p>
        </w:tc>
        <w:tc>
          <w:tcPr>
            <w:tcW w:w="1267" w:type="dxa"/>
          </w:tcPr>
          <w:p w14:paraId="2329183B" w14:textId="77777777" w:rsidR="006137EE" w:rsidRPr="00BC2148" w:rsidRDefault="006137EE" w:rsidP="007D4092">
            <w:pPr>
              <w:rPr>
                <w:rFonts w:ascii="Arial Narrow" w:hAnsi="Arial Narrow"/>
                <w:i/>
                <w:sz w:val="20"/>
                <w:szCs w:val="20"/>
              </w:rPr>
            </w:pPr>
            <w:r w:rsidRPr="00BC2148">
              <w:rPr>
                <w:rFonts w:ascii="Arial Narrow" w:hAnsi="Arial Narrow"/>
                <w:i/>
                <w:sz w:val="20"/>
                <w:szCs w:val="20"/>
              </w:rPr>
              <w:t>C</w:t>
            </w:r>
          </w:p>
        </w:tc>
        <w:tc>
          <w:tcPr>
            <w:tcW w:w="1483" w:type="dxa"/>
          </w:tcPr>
          <w:p w14:paraId="7A935736" w14:textId="77777777" w:rsidR="006137EE" w:rsidRPr="00BC2148" w:rsidRDefault="006137EE" w:rsidP="007D4092">
            <w:pPr>
              <w:rPr>
                <w:rFonts w:ascii="Arial Narrow" w:hAnsi="Arial Narrow"/>
                <w:i/>
                <w:sz w:val="20"/>
                <w:szCs w:val="20"/>
              </w:rPr>
            </w:pPr>
            <w:r w:rsidRPr="00BC2148">
              <w:rPr>
                <w:rFonts w:ascii="Arial Narrow" w:hAnsi="Arial Narrow"/>
                <w:i/>
                <w:sz w:val="20"/>
                <w:szCs w:val="20"/>
              </w:rPr>
              <w:t>D</w:t>
            </w:r>
          </w:p>
        </w:tc>
        <w:tc>
          <w:tcPr>
            <w:tcW w:w="1147" w:type="dxa"/>
          </w:tcPr>
          <w:p w14:paraId="0185B346" w14:textId="77777777" w:rsidR="006137EE" w:rsidRPr="00BC2148" w:rsidRDefault="006137EE" w:rsidP="007D4092">
            <w:pPr>
              <w:rPr>
                <w:rFonts w:ascii="Arial Narrow" w:hAnsi="Arial Narrow"/>
                <w:i/>
                <w:sz w:val="20"/>
                <w:szCs w:val="20"/>
              </w:rPr>
            </w:pPr>
            <w:r w:rsidRPr="00BC2148">
              <w:rPr>
                <w:rFonts w:ascii="Arial Narrow" w:hAnsi="Arial Narrow"/>
                <w:i/>
                <w:sz w:val="20"/>
                <w:szCs w:val="20"/>
              </w:rPr>
              <w:t>E</w:t>
            </w:r>
          </w:p>
        </w:tc>
        <w:tc>
          <w:tcPr>
            <w:tcW w:w="1231" w:type="dxa"/>
          </w:tcPr>
          <w:p w14:paraId="013B3344" w14:textId="77777777" w:rsidR="006137EE" w:rsidRPr="00BC2148" w:rsidRDefault="006137EE" w:rsidP="007D4092">
            <w:pPr>
              <w:rPr>
                <w:rFonts w:ascii="Arial Narrow" w:hAnsi="Arial Narrow"/>
                <w:i/>
                <w:sz w:val="20"/>
                <w:szCs w:val="20"/>
              </w:rPr>
            </w:pPr>
            <w:r w:rsidRPr="00BC2148">
              <w:rPr>
                <w:rFonts w:ascii="Arial Narrow" w:hAnsi="Arial Narrow"/>
                <w:i/>
                <w:sz w:val="20"/>
                <w:szCs w:val="20"/>
              </w:rPr>
              <w:t>F</w:t>
            </w:r>
          </w:p>
        </w:tc>
      </w:tr>
      <w:tr w:rsidR="006137EE" w14:paraId="2484FBD7" w14:textId="77777777" w:rsidTr="007D4092">
        <w:tc>
          <w:tcPr>
            <w:tcW w:w="876" w:type="dxa"/>
          </w:tcPr>
          <w:p w14:paraId="0EA42050" w14:textId="77777777" w:rsidR="006137EE" w:rsidRPr="008C5F8F" w:rsidRDefault="006137EE" w:rsidP="007D4092">
            <w:pPr>
              <w:rPr>
                <w:rFonts w:ascii="Arial Narrow" w:hAnsi="Arial Narrow"/>
                <w:sz w:val="20"/>
                <w:szCs w:val="20"/>
              </w:rPr>
            </w:pPr>
          </w:p>
        </w:tc>
        <w:tc>
          <w:tcPr>
            <w:tcW w:w="1139" w:type="dxa"/>
          </w:tcPr>
          <w:p w14:paraId="49784BBE" w14:textId="77777777" w:rsidR="006137EE" w:rsidRPr="00BC2148" w:rsidRDefault="006137EE" w:rsidP="007D4092">
            <w:pPr>
              <w:rPr>
                <w:rFonts w:ascii="Arial Narrow" w:hAnsi="Arial Narrow"/>
                <w:i/>
                <w:sz w:val="20"/>
                <w:szCs w:val="20"/>
              </w:rPr>
            </w:pPr>
          </w:p>
        </w:tc>
        <w:tc>
          <w:tcPr>
            <w:tcW w:w="1000" w:type="dxa"/>
          </w:tcPr>
          <w:p w14:paraId="26FE9815" w14:textId="77777777" w:rsidR="006137EE" w:rsidRPr="00BC2148" w:rsidRDefault="006137EE" w:rsidP="007D4092">
            <w:pPr>
              <w:rPr>
                <w:rFonts w:ascii="Arial Narrow" w:hAnsi="Arial Narrow"/>
                <w:i/>
                <w:sz w:val="20"/>
                <w:szCs w:val="20"/>
              </w:rPr>
            </w:pPr>
          </w:p>
        </w:tc>
        <w:tc>
          <w:tcPr>
            <w:tcW w:w="1267" w:type="dxa"/>
          </w:tcPr>
          <w:p w14:paraId="101D323A" w14:textId="77777777" w:rsidR="006137EE" w:rsidRPr="00BC2148" w:rsidRDefault="006137EE" w:rsidP="007D4092">
            <w:pPr>
              <w:rPr>
                <w:rFonts w:ascii="Arial Narrow" w:hAnsi="Arial Narrow"/>
                <w:i/>
                <w:sz w:val="20"/>
                <w:szCs w:val="20"/>
              </w:rPr>
            </w:pPr>
            <w:r>
              <w:rPr>
                <w:rFonts w:ascii="Arial Narrow" w:hAnsi="Arial Narrow"/>
                <w:i/>
                <w:sz w:val="20"/>
                <w:szCs w:val="20"/>
              </w:rPr>
              <w:t>= A*$100</w:t>
            </w:r>
            <w:r w:rsidRPr="00BC2148">
              <w:rPr>
                <w:rFonts w:ascii="Arial Narrow" w:hAnsi="Arial Narrow"/>
                <w:i/>
                <w:sz w:val="20"/>
                <w:szCs w:val="20"/>
              </w:rPr>
              <w:t>,000</w:t>
            </w:r>
          </w:p>
        </w:tc>
        <w:tc>
          <w:tcPr>
            <w:tcW w:w="1483" w:type="dxa"/>
          </w:tcPr>
          <w:p w14:paraId="4B1C9151" w14:textId="77777777" w:rsidR="006137EE" w:rsidRPr="00BC2148" w:rsidRDefault="006137EE" w:rsidP="007D4092">
            <w:pPr>
              <w:rPr>
                <w:rFonts w:ascii="Arial Narrow" w:hAnsi="Arial Narrow"/>
                <w:i/>
                <w:sz w:val="20"/>
                <w:szCs w:val="20"/>
              </w:rPr>
            </w:pPr>
          </w:p>
        </w:tc>
        <w:tc>
          <w:tcPr>
            <w:tcW w:w="1147" w:type="dxa"/>
          </w:tcPr>
          <w:p w14:paraId="21FFBDC0" w14:textId="77777777" w:rsidR="006137EE" w:rsidRPr="00BC2148" w:rsidRDefault="006137EE" w:rsidP="007D4092">
            <w:pPr>
              <w:rPr>
                <w:rFonts w:ascii="Arial Narrow" w:hAnsi="Arial Narrow"/>
                <w:i/>
                <w:sz w:val="20"/>
                <w:szCs w:val="20"/>
              </w:rPr>
            </w:pPr>
          </w:p>
        </w:tc>
        <w:tc>
          <w:tcPr>
            <w:tcW w:w="1231" w:type="dxa"/>
          </w:tcPr>
          <w:p w14:paraId="6B1F22BF" w14:textId="77777777" w:rsidR="006137EE" w:rsidRPr="00BC2148" w:rsidRDefault="006137EE" w:rsidP="007D4092">
            <w:pPr>
              <w:rPr>
                <w:rFonts w:ascii="Arial Narrow" w:hAnsi="Arial Narrow"/>
                <w:i/>
                <w:sz w:val="20"/>
                <w:szCs w:val="20"/>
              </w:rPr>
            </w:pPr>
            <w:r>
              <w:rPr>
                <w:rFonts w:ascii="Arial Narrow" w:hAnsi="Arial Narrow"/>
                <w:i/>
                <w:sz w:val="20"/>
                <w:szCs w:val="20"/>
              </w:rPr>
              <w:t>= D + E cumulating</w:t>
            </w:r>
          </w:p>
        </w:tc>
      </w:tr>
      <w:tr w:rsidR="006137EE" w14:paraId="4CB4BF52" w14:textId="77777777" w:rsidTr="007D4092">
        <w:tc>
          <w:tcPr>
            <w:tcW w:w="876" w:type="dxa"/>
          </w:tcPr>
          <w:p w14:paraId="1CBE23BA" w14:textId="77777777" w:rsidR="006137EE" w:rsidRPr="00620228" w:rsidRDefault="006137EE" w:rsidP="007D4092">
            <w:pPr>
              <w:rPr>
                <w:rFonts w:ascii="Arial" w:hAnsi="Arial" w:cs="Arial"/>
                <w:sz w:val="20"/>
                <w:szCs w:val="20"/>
              </w:rPr>
            </w:pPr>
            <w:r w:rsidRPr="00620228">
              <w:rPr>
                <w:rFonts w:ascii="Arial" w:hAnsi="Arial" w:cs="Arial"/>
                <w:sz w:val="20"/>
                <w:szCs w:val="20"/>
              </w:rPr>
              <w:t>2017</w:t>
            </w:r>
          </w:p>
        </w:tc>
        <w:tc>
          <w:tcPr>
            <w:tcW w:w="1139" w:type="dxa"/>
          </w:tcPr>
          <w:p w14:paraId="456D4806" w14:textId="77777777" w:rsidR="006137EE" w:rsidRPr="0095340F" w:rsidRDefault="006137EE" w:rsidP="007D4092">
            <w:pPr>
              <w:rPr>
                <w:rFonts w:ascii="Arial Narrow" w:hAnsi="Arial Narrow"/>
                <w:sz w:val="20"/>
                <w:szCs w:val="20"/>
              </w:rPr>
            </w:pPr>
            <w:r w:rsidRPr="0095340F">
              <w:rPr>
                <w:rFonts w:ascii="Arial Narrow" w:hAnsi="Arial Narrow"/>
                <w:sz w:val="20"/>
                <w:szCs w:val="20"/>
              </w:rPr>
              <w:t>9999</w:t>
            </w:r>
          </w:p>
        </w:tc>
        <w:tc>
          <w:tcPr>
            <w:tcW w:w="1000" w:type="dxa"/>
          </w:tcPr>
          <w:p w14:paraId="0C70E387" w14:textId="77777777" w:rsidR="006137EE" w:rsidRPr="0095340F" w:rsidRDefault="006137EE" w:rsidP="007D4092">
            <w:pPr>
              <w:rPr>
                <w:rFonts w:ascii="Arial Narrow" w:hAnsi="Arial Narrow"/>
                <w:sz w:val="20"/>
                <w:szCs w:val="20"/>
              </w:rPr>
            </w:pPr>
            <w:r w:rsidRPr="0095340F">
              <w:rPr>
                <w:rFonts w:ascii="Arial Narrow" w:hAnsi="Arial Narrow"/>
                <w:sz w:val="20"/>
                <w:szCs w:val="20"/>
              </w:rPr>
              <w:t>(1)</w:t>
            </w:r>
          </w:p>
        </w:tc>
        <w:tc>
          <w:tcPr>
            <w:tcW w:w="1267" w:type="dxa"/>
          </w:tcPr>
          <w:p w14:paraId="61D5613F" w14:textId="77777777" w:rsidR="006137EE" w:rsidRPr="0095340F" w:rsidRDefault="006137EE" w:rsidP="007D4092">
            <w:pPr>
              <w:rPr>
                <w:rFonts w:ascii="Arial Narrow" w:hAnsi="Arial Narrow"/>
                <w:sz w:val="20"/>
                <w:szCs w:val="20"/>
              </w:rPr>
            </w:pPr>
            <w:r>
              <w:rPr>
                <w:rFonts w:ascii="Arial Narrow" w:hAnsi="Arial Narrow"/>
                <w:sz w:val="20"/>
                <w:szCs w:val="20"/>
              </w:rPr>
              <w:t>$999.9</w:t>
            </w:r>
          </w:p>
        </w:tc>
        <w:tc>
          <w:tcPr>
            <w:tcW w:w="1483" w:type="dxa"/>
          </w:tcPr>
          <w:p w14:paraId="5200985C" w14:textId="77777777" w:rsidR="006137EE" w:rsidRPr="0095340F" w:rsidRDefault="006137EE" w:rsidP="007D4092">
            <w:pPr>
              <w:rPr>
                <w:rFonts w:ascii="Arial Narrow" w:hAnsi="Arial Narrow"/>
                <w:sz w:val="20"/>
                <w:szCs w:val="20"/>
              </w:rPr>
            </w:pPr>
            <w:r>
              <w:rPr>
                <w:rFonts w:ascii="Arial Narrow" w:hAnsi="Arial Narrow"/>
                <w:sz w:val="20"/>
                <w:szCs w:val="20"/>
              </w:rPr>
              <w:t>$999.9</w:t>
            </w:r>
          </w:p>
        </w:tc>
        <w:tc>
          <w:tcPr>
            <w:tcW w:w="1147" w:type="dxa"/>
          </w:tcPr>
          <w:p w14:paraId="7BE1DF87" w14:textId="77777777" w:rsidR="006137EE" w:rsidRPr="0095340F" w:rsidRDefault="006137EE" w:rsidP="007D4092">
            <w:pPr>
              <w:rPr>
                <w:rFonts w:ascii="Arial Narrow" w:hAnsi="Arial Narrow"/>
                <w:sz w:val="20"/>
                <w:szCs w:val="20"/>
              </w:rPr>
            </w:pPr>
          </w:p>
        </w:tc>
        <w:tc>
          <w:tcPr>
            <w:tcW w:w="1231" w:type="dxa"/>
          </w:tcPr>
          <w:p w14:paraId="234943A4" w14:textId="77777777" w:rsidR="006137EE" w:rsidRPr="0095340F" w:rsidRDefault="006137EE" w:rsidP="007D4092">
            <w:pPr>
              <w:rPr>
                <w:rFonts w:ascii="Arial Narrow" w:hAnsi="Arial Narrow"/>
                <w:sz w:val="20"/>
                <w:szCs w:val="20"/>
              </w:rPr>
            </w:pPr>
            <w:r>
              <w:rPr>
                <w:rFonts w:ascii="Arial Narrow" w:hAnsi="Arial Narrow"/>
                <w:sz w:val="20"/>
                <w:szCs w:val="20"/>
              </w:rPr>
              <w:t>$999.9</w:t>
            </w:r>
          </w:p>
        </w:tc>
      </w:tr>
      <w:tr w:rsidR="006137EE" w14:paraId="7A6D01C2" w14:textId="77777777" w:rsidTr="007D4092">
        <w:tc>
          <w:tcPr>
            <w:tcW w:w="876" w:type="dxa"/>
          </w:tcPr>
          <w:p w14:paraId="4D1C9756" w14:textId="77777777" w:rsidR="006137EE" w:rsidRPr="00620228" w:rsidRDefault="006137EE" w:rsidP="007D4092">
            <w:pPr>
              <w:rPr>
                <w:rFonts w:ascii="Arial" w:hAnsi="Arial" w:cs="Arial"/>
                <w:sz w:val="20"/>
                <w:szCs w:val="20"/>
              </w:rPr>
            </w:pPr>
            <w:r w:rsidRPr="00620228">
              <w:rPr>
                <w:rFonts w:ascii="Arial" w:hAnsi="Arial" w:cs="Arial"/>
                <w:sz w:val="20"/>
                <w:szCs w:val="20"/>
              </w:rPr>
              <w:t>2018</w:t>
            </w:r>
          </w:p>
        </w:tc>
        <w:tc>
          <w:tcPr>
            <w:tcW w:w="1139" w:type="dxa"/>
          </w:tcPr>
          <w:p w14:paraId="5CE6A352" w14:textId="77777777" w:rsidR="006137EE" w:rsidRPr="0095340F" w:rsidRDefault="006137EE" w:rsidP="007D4092">
            <w:pPr>
              <w:rPr>
                <w:rFonts w:ascii="Arial Narrow" w:hAnsi="Arial Narrow"/>
                <w:sz w:val="20"/>
                <w:szCs w:val="20"/>
              </w:rPr>
            </w:pPr>
            <w:r w:rsidRPr="0095340F">
              <w:rPr>
                <w:rFonts w:ascii="Arial Narrow" w:hAnsi="Arial Narrow"/>
                <w:sz w:val="20"/>
                <w:szCs w:val="20"/>
              </w:rPr>
              <w:t>10,255</w:t>
            </w:r>
          </w:p>
        </w:tc>
        <w:tc>
          <w:tcPr>
            <w:tcW w:w="1000" w:type="dxa"/>
          </w:tcPr>
          <w:p w14:paraId="17145BE8" w14:textId="77777777" w:rsidR="006137EE" w:rsidRPr="0095340F" w:rsidRDefault="006137EE" w:rsidP="007D4092">
            <w:pPr>
              <w:rPr>
                <w:rFonts w:ascii="Arial Narrow" w:hAnsi="Arial Narrow"/>
                <w:sz w:val="20"/>
                <w:szCs w:val="20"/>
              </w:rPr>
            </w:pPr>
            <w:r w:rsidRPr="0095340F">
              <w:rPr>
                <w:rFonts w:ascii="Arial Narrow" w:hAnsi="Arial Narrow"/>
                <w:sz w:val="20"/>
                <w:szCs w:val="20"/>
              </w:rPr>
              <w:t>255</w:t>
            </w:r>
          </w:p>
        </w:tc>
        <w:tc>
          <w:tcPr>
            <w:tcW w:w="1267" w:type="dxa"/>
          </w:tcPr>
          <w:p w14:paraId="031681F7" w14:textId="77777777" w:rsidR="006137EE" w:rsidRPr="0095340F" w:rsidRDefault="006137EE" w:rsidP="007D4092">
            <w:pPr>
              <w:rPr>
                <w:rFonts w:ascii="Arial Narrow" w:hAnsi="Arial Narrow"/>
                <w:sz w:val="20"/>
                <w:szCs w:val="20"/>
              </w:rPr>
            </w:pPr>
            <w:r>
              <w:rPr>
                <w:rFonts w:ascii="Arial Narrow" w:hAnsi="Arial Narrow"/>
                <w:sz w:val="20"/>
                <w:szCs w:val="20"/>
              </w:rPr>
              <w:t>$1,025.5</w:t>
            </w:r>
          </w:p>
        </w:tc>
        <w:tc>
          <w:tcPr>
            <w:tcW w:w="1483" w:type="dxa"/>
          </w:tcPr>
          <w:p w14:paraId="11849A6E" w14:textId="77777777" w:rsidR="006137EE" w:rsidRPr="0095340F" w:rsidRDefault="006137EE" w:rsidP="007D4092">
            <w:pPr>
              <w:rPr>
                <w:rFonts w:ascii="Arial Narrow" w:hAnsi="Arial Narrow"/>
                <w:sz w:val="20"/>
                <w:szCs w:val="20"/>
              </w:rPr>
            </w:pPr>
            <w:r>
              <w:rPr>
                <w:rFonts w:ascii="Arial Narrow" w:hAnsi="Arial Narrow"/>
                <w:sz w:val="20"/>
                <w:szCs w:val="20"/>
              </w:rPr>
              <w:t>$2,025.4</w:t>
            </w:r>
          </w:p>
        </w:tc>
        <w:tc>
          <w:tcPr>
            <w:tcW w:w="1147" w:type="dxa"/>
          </w:tcPr>
          <w:p w14:paraId="27251C32" w14:textId="77777777" w:rsidR="006137EE" w:rsidRPr="0095340F" w:rsidRDefault="006137EE" w:rsidP="007D4092">
            <w:pPr>
              <w:rPr>
                <w:rFonts w:ascii="Arial Narrow" w:hAnsi="Arial Narrow"/>
                <w:sz w:val="20"/>
                <w:szCs w:val="20"/>
              </w:rPr>
            </w:pPr>
            <w:r w:rsidRPr="0095340F">
              <w:rPr>
                <w:rFonts w:ascii="Arial Narrow" w:hAnsi="Arial Narrow"/>
                <w:sz w:val="20"/>
                <w:szCs w:val="20"/>
              </w:rPr>
              <w:t>$1000</w:t>
            </w:r>
          </w:p>
        </w:tc>
        <w:tc>
          <w:tcPr>
            <w:tcW w:w="1231" w:type="dxa"/>
          </w:tcPr>
          <w:p w14:paraId="55B7776A" w14:textId="77777777" w:rsidR="006137EE" w:rsidRPr="0095340F" w:rsidRDefault="006137EE" w:rsidP="007D4092">
            <w:pPr>
              <w:ind w:right="-581"/>
              <w:rPr>
                <w:rFonts w:ascii="Arial Narrow" w:hAnsi="Arial Narrow"/>
                <w:sz w:val="20"/>
                <w:szCs w:val="20"/>
              </w:rPr>
            </w:pPr>
            <w:r>
              <w:rPr>
                <w:rFonts w:ascii="Arial Narrow" w:hAnsi="Arial Narrow"/>
                <w:sz w:val="20"/>
                <w:szCs w:val="20"/>
              </w:rPr>
              <w:t>$3,025.4</w:t>
            </w:r>
          </w:p>
        </w:tc>
      </w:tr>
      <w:tr w:rsidR="006137EE" w14:paraId="57BBF173" w14:textId="77777777" w:rsidTr="007D4092">
        <w:tc>
          <w:tcPr>
            <w:tcW w:w="876" w:type="dxa"/>
          </w:tcPr>
          <w:p w14:paraId="42E97107" w14:textId="77777777" w:rsidR="006137EE" w:rsidRPr="00620228" w:rsidRDefault="006137EE" w:rsidP="007D4092">
            <w:pPr>
              <w:rPr>
                <w:rFonts w:ascii="Arial" w:hAnsi="Arial" w:cs="Arial"/>
                <w:sz w:val="20"/>
                <w:szCs w:val="20"/>
              </w:rPr>
            </w:pPr>
            <w:r w:rsidRPr="00620228">
              <w:rPr>
                <w:rFonts w:ascii="Arial" w:hAnsi="Arial" w:cs="Arial"/>
                <w:sz w:val="20"/>
                <w:szCs w:val="20"/>
              </w:rPr>
              <w:t>2019</w:t>
            </w:r>
          </w:p>
        </w:tc>
        <w:tc>
          <w:tcPr>
            <w:tcW w:w="1139" w:type="dxa"/>
          </w:tcPr>
          <w:p w14:paraId="10A1F5A2" w14:textId="77777777" w:rsidR="006137EE" w:rsidRPr="0095340F" w:rsidRDefault="006137EE" w:rsidP="007D4092">
            <w:pPr>
              <w:rPr>
                <w:rFonts w:ascii="Arial Narrow" w:hAnsi="Arial Narrow"/>
                <w:sz w:val="20"/>
                <w:szCs w:val="20"/>
              </w:rPr>
            </w:pPr>
            <w:r w:rsidRPr="0095340F">
              <w:rPr>
                <w:rFonts w:ascii="Arial Narrow" w:hAnsi="Arial Narrow"/>
                <w:sz w:val="20"/>
                <w:szCs w:val="20"/>
              </w:rPr>
              <w:t>10,511</w:t>
            </w:r>
          </w:p>
        </w:tc>
        <w:tc>
          <w:tcPr>
            <w:tcW w:w="1000" w:type="dxa"/>
          </w:tcPr>
          <w:p w14:paraId="30590465" w14:textId="77777777" w:rsidR="006137EE" w:rsidRPr="0095340F" w:rsidRDefault="006137EE" w:rsidP="007D4092">
            <w:pPr>
              <w:rPr>
                <w:rFonts w:ascii="Arial Narrow" w:hAnsi="Arial Narrow"/>
                <w:sz w:val="20"/>
                <w:szCs w:val="20"/>
              </w:rPr>
            </w:pPr>
            <w:r w:rsidRPr="0095340F">
              <w:rPr>
                <w:rFonts w:ascii="Arial Narrow" w:hAnsi="Arial Narrow"/>
                <w:sz w:val="20"/>
                <w:szCs w:val="20"/>
              </w:rPr>
              <w:t>511</w:t>
            </w:r>
          </w:p>
        </w:tc>
        <w:tc>
          <w:tcPr>
            <w:tcW w:w="1267" w:type="dxa"/>
          </w:tcPr>
          <w:p w14:paraId="620A678A" w14:textId="77777777" w:rsidR="006137EE" w:rsidRPr="0095340F" w:rsidRDefault="006137EE" w:rsidP="007D4092">
            <w:pPr>
              <w:rPr>
                <w:rFonts w:ascii="Arial Narrow" w:hAnsi="Arial Narrow"/>
                <w:sz w:val="20"/>
                <w:szCs w:val="20"/>
              </w:rPr>
            </w:pPr>
            <w:r>
              <w:rPr>
                <w:rFonts w:ascii="Arial Narrow" w:hAnsi="Arial Narrow"/>
                <w:sz w:val="20"/>
                <w:szCs w:val="20"/>
              </w:rPr>
              <w:t>$1,051.1</w:t>
            </w:r>
          </w:p>
        </w:tc>
        <w:tc>
          <w:tcPr>
            <w:tcW w:w="1483" w:type="dxa"/>
          </w:tcPr>
          <w:p w14:paraId="4432F299" w14:textId="77777777" w:rsidR="006137EE" w:rsidRPr="0095340F" w:rsidRDefault="006137EE" w:rsidP="007D4092">
            <w:pPr>
              <w:rPr>
                <w:rFonts w:ascii="Arial Narrow" w:hAnsi="Arial Narrow"/>
                <w:sz w:val="20"/>
                <w:szCs w:val="20"/>
              </w:rPr>
            </w:pPr>
            <w:r>
              <w:rPr>
                <w:rFonts w:ascii="Arial Narrow" w:hAnsi="Arial Narrow"/>
                <w:sz w:val="20"/>
                <w:szCs w:val="20"/>
              </w:rPr>
              <w:t>$3,076.5</w:t>
            </w:r>
          </w:p>
        </w:tc>
        <w:tc>
          <w:tcPr>
            <w:tcW w:w="1147" w:type="dxa"/>
          </w:tcPr>
          <w:p w14:paraId="7191ACC6" w14:textId="77777777" w:rsidR="006137EE" w:rsidRPr="0095340F" w:rsidRDefault="006137EE" w:rsidP="007D4092">
            <w:pPr>
              <w:rPr>
                <w:rFonts w:ascii="Arial Narrow" w:hAnsi="Arial Narrow"/>
                <w:sz w:val="20"/>
                <w:szCs w:val="20"/>
              </w:rPr>
            </w:pPr>
          </w:p>
        </w:tc>
        <w:tc>
          <w:tcPr>
            <w:tcW w:w="1231" w:type="dxa"/>
          </w:tcPr>
          <w:p w14:paraId="7C9E15EC" w14:textId="77777777" w:rsidR="006137EE" w:rsidRPr="0095340F" w:rsidRDefault="006137EE" w:rsidP="007D4092">
            <w:pPr>
              <w:rPr>
                <w:rFonts w:ascii="Arial Narrow" w:hAnsi="Arial Narrow"/>
                <w:sz w:val="20"/>
                <w:szCs w:val="20"/>
              </w:rPr>
            </w:pPr>
            <w:r>
              <w:rPr>
                <w:rFonts w:ascii="Arial Narrow" w:hAnsi="Arial Narrow"/>
                <w:sz w:val="20"/>
                <w:szCs w:val="20"/>
              </w:rPr>
              <w:t>$4,076.5</w:t>
            </w:r>
          </w:p>
        </w:tc>
      </w:tr>
      <w:tr w:rsidR="006137EE" w14:paraId="1594727F" w14:textId="77777777" w:rsidTr="007D4092">
        <w:tc>
          <w:tcPr>
            <w:tcW w:w="876" w:type="dxa"/>
          </w:tcPr>
          <w:p w14:paraId="602AA636" w14:textId="77777777" w:rsidR="006137EE" w:rsidRPr="00620228" w:rsidRDefault="006137EE" w:rsidP="007D4092">
            <w:pPr>
              <w:rPr>
                <w:rFonts w:ascii="Arial" w:hAnsi="Arial" w:cs="Arial"/>
                <w:sz w:val="20"/>
                <w:szCs w:val="20"/>
              </w:rPr>
            </w:pPr>
            <w:r w:rsidRPr="00620228">
              <w:rPr>
                <w:rFonts w:ascii="Arial" w:hAnsi="Arial" w:cs="Arial"/>
                <w:sz w:val="20"/>
                <w:szCs w:val="20"/>
              </w:rPr>
              <w:t>2020</w:t>
            </w:r>
          </w:p>
        </w:tc>
        <w:tc>
          <w:tcPr>
            <w:tcW w:w="1139" w:type="dxa"/>
          </w:tcPr>
          <w:p w14:paraId="5F3752DC" w14:textId="77777777" w:rsidR="006137EE" w:rsidRPr="0095340F" w:rsidRDefault="006137EE" w:rsidP="007D4092">
            <w:pPr>
              <w:rPr>
                <w:rFonts w:ascii="Arial Narrow" w:hAnsi="Arial Narrow"/>
                <w:sz w:val="20"/>
                <w:szCs w:val="20"/>
              </w:rPr>
            </w:pPr>
            <w:r w:rsidRPr="0095340F">
              <w:rPr>
                <w:rFonts w:ascii="Arial Narrow" w:hAnsi="Arial Narrow"/>
                <w:sz w:val="20"/>
                <w:szCs w:val="20"/>
              </w:rPr>
              <w:t>10,767</w:t>
            </w:r>
          </w:p>
        </w:tc>
        <w:tc>
          <w:tcPr>
            <w:tcW w:w="1000" w:type="dxa"/>
          </w:tcPr>
          <w:p w14:paraId="6872BBAE" w14:textId="77777777" w:rsidR="006137EE" w:rsidRPr="0095340F" w:rsidRDefault="006137EE" w:rsidP="007D4092">
            <w:pPr>
              <w:rPr>
                <w:rFonts w:ascii="Arial Narrow" w:hAnsi="Arial Narrow"/>
                <w:sz w:val="20"/>
                <w:szCs w:val="20"/>
              </w:rPr>
            </w:pPr>
            <w:r w:rsidRPr="0095340F">
              <w:rPr>
                <w:rFonts w:ascii="Arial Narrow" w:hAnsi="Arial Narrow"/>
                <w:sz w:val="20"/>
                <w:szCs w:val="20"/>
              </w:rPr>
              <w:t>767</w:t>
            </w:r>
          </w:p>
        </w:tc>
        <w:tc>
          <w:tcPr>
            <w:tcW w:w="1267" w:type="dxa"/>
          </w:tcPr>
          <w:p w14:paraId="1496E26C" w14:textId="77777777" w:rsidR="006137EE" w:rsidRPr="0095340F" w:rsidRDefault="006137EE" w:rsidP="007D4092">
            <w:pPr>
              <w:rPr>
                <w:rFonts w:ascii="Arial Narrow" w:hAnsi="Arial Narrow"/>
                <w:sz w:val="20"/>
                <w:szCs w:val="20"/>
              </w:rPr>
            </w:pPr>
            <w:r>
              <w:rPr>
                <w:rFonts w:ascii="Arial Narrow" w:hAnsi="Arial Narrow"/>
                <w:sz w:val="20"/>
                <w:szCs w:val="20"/>
              </w:rPr>
              <w:t>$1,076.7</w:t>
            </w:r>
          </w:p>
        </w:tc>
        <w:tc>
          <w:tcPr>
            <w:tcW w:w="1483" w:type="dxa"/>
          </w:tcPr>
          <w:p w14:paraId="7B790566" w14:textId="77777777" w:rsidR="006137EE" w:rsidRPr="0095340F" w:rsidRDefault="006137EE" w:rsidP="007D4092">
            <w:pPr>
              <w:rPr>
                <w:rFonts w:ascii="Arial Narrow" w:hAnsi="Arial Narrow"/>
                <w:sz w:val="20"/>
                <w:szCs w:val="20"/>
              </w:rPr>
            </w:pPr>
            <w:r>
              <w:rPr>
                <w:rFonts w:ascii="Arial Narrow" w:hAnsi="Arial Narrow"/>
                <w:sz w:val="20"/>
                <w:szCs w:val="20"/>
              </w:rPr>
              <w:t>$4,153.2</w:t>
            </w:r>
          </w:p>
        </w:tc>
        <w:tc>
          <w:tcPr>
            <w:tcW w:w="1147" w:type="dxa"/>
          </w:tcPr>
          <w:p w14:paraId="6CD114C9" w14:textId="77777777" w:rsidR="006137EE" w:rsidRPr="0095340F" w:rsidRDefault="006137EE" w:rsidP="007D4092">
            <w:pPr>
              <w:rPr>
                <w:rFonts w:ascii="Arial Narrow" w:hAnsi="Arial Narrow"/>
                <w:sz w:val="20"/>
                <w:szCs w:val="20"/>
              </w:rPr>
            </w:pPr>
          </w:p>
        </w:tc>
        <w:tc>
          <w:tcPr>
            <w:tcW w:w="1231" w:type="dxa"/>
          </w:tcPr>
          <w:p w14:paraId="2C17513E" w14:textId="77777777" w:rsidR="006137EE" w:rsidRPr="0095340F" w:rsidRDefault="006137EE" w:rsidP="007D4092">
            <w:pPr>
              <w:rPr>
                <w:rFonts w:ascii="Arial Narrow" w:hAnsi="Arial Narrow"/>
                <w:sz w:val="20"/>
                <w:szCs w:val="20"/>
              </w:rPr>
            </w:pPr>
            <w:r>
              <w:rPr>
                <w:rFonts w:ascii="Arial Narrow" w:hAnsi="Arial Narrow"/>
                <w:sz w:val="20"/>
                <w:szCs w:val="20"/>
              </w:rPr>
              <w:t>$5,153.2</w:t>
            </w:r>
          </w:p>
        </w:tc>
      </w:tr>
      <w:tr w:rsidR="006137EE" w14:paraId="28A08002" w14:textId="77777777" w:rsidTr="007D4092">
        <w:tc>
          <w:tcPr>
            <w:tcW w:w="876" w:type="dxa"/>
          </w:tcPr>
          <w:p w14:paraId="7AF923BC" w14:textId="77777777" w:rsidR="006137EE" w:rsidRPr="00620228" w:rsidRDefault="006137EE" w:rsidP="007D4092">
            <w:pPr>
              <w:rPr>
                <w:rFonts w:ascii="Arial" w:hAnsi="Arial" w:cs="Arial"/>
                <w:sz w:val="20"/>
                <w:szCs w:val="20"/>
              </w:rPr>
            </w:pPr>
            <w:r w:rsidRPr="00620228">
              <w:rPr>
                <w:rFonts w:ascii="Arial" w:hAnsi="Arial" w:cs="Arial"/>
                <w:sz w:val="20"/>
                <w:szCs w:val="20"/>
              </w:rPr>
              <w:t>2021</w:t>
            </w:r>
          </w:p>
        </w:tc>
        <w:tc>
          <w:tcPr>
            <w:tcW w:w="1139" w:type="dxa"/>
          </w:tcPr>
          <w:p w14:paraId="42DCECF1" w14:textId="77777777" w:rsidR="006137EE" w:rsidRPr="0095340F" w:rsidRDefault="006137EE" w:rsidP="007D4092">
            <w:pPr>
              <w:rPr>
                <w:rFonts w:ascii="Arial Narrow" w:hAnsi="Arial Narrow"/>
                <w:sz w:val="20"/>
                <w:szCs w:val="20"/>
              </w:rPr>
            </w:pPr>
            <w:r w:rsidRPr="0095340F">
              <w:rPr>
                <w:rFonts w:ascii="Arial Narrow" w:hAnsi="Arial Narrow"/>
                <w:sz w:val="20"/>
                <w:szCs w:val="20"/>
              </w:rPr>
              <w:t>11,024</w:t>
            </w:r>
          </w:p>
        </w:tc>
        <w:tc>
          <w:tcPr>
            <w:tcW w:w="1000" w:type="dxa"/>
          </w:tcPr>
          <w:p w14:paraId="307AA6F4" w14:textId="77777777" w:rsidR="006137EE" w:rsidRPr="0095340F" w:rsidRDefault="006137EE" w:rsidP="007D4092">
            <w:pPr>
              <w:rPr>
                <w:rFonts w:ascii="Arial Narrow" w:hAnsi="Arial Narrow"/>
                <w:sz w:val="20"/>
                <w:szCs w:val="20"/>
              </w:rPr>
            </w:pPr>
            <w:r w:rsidRPr="0095340F">
              <w:rPr>
                <w:rFonts w:ascii="Arial Narrow" w:hAnsi="Arial Narrow"/>
                <w:sz w:val="20"/>
                <w:szCs w:val="20"/>
              </w:rPr>
              <w:t>1,024</w:t>
            </w:r>
          </w:p>
        </w:tc>
        <w:tc>
          <w:tcPr>
            <w:tcW w:w="1267" w:type="dxa"/>
          </w:tcPr>
          <w:p w14:paraId="6C63AA77" w14:textId="77777777" w:rsidR="006137EE" w:rsidRPr="0095340F" w:rsidRDefault="006137EE" w:rsidP="007D4092">
            <w:pPr>
              <w:rPr>
                <w:rFonts w:ascii="Arial Narrow" w:hAnsi="Arial Narrow"/>
                <w:sz w:val="20"/>
                <w:szCs w:val="20"/>
              </w:rPr>
            </w:pPr>
            <w:r>
              <w:rPr>
                <w:rFonts w:ascii="Arial Narrow" w:hAnsi="Arial Narrow"/>
                <w:sz w:val="20"/>
                <w:szCs w:val="20"/>
              </w:rPr>
              <w:t>$1,102.4</w:t>
            </w:r>
          </w:p>
        </w:tc>
        <w:tc>
          <w:tcPr>
            <w:tcW w:w="1483" w:type="dxa"/>
          </w:tcPr>
          <w:p w14:paraId="468F908A" w14:textId="77777777" w:rsidR="006137EE" w:rsidRPr="0095340F" w:rsidRDefault="006137EE" w:rsidP="007D4092">
            <w:pPr>
              <w:rPr>
                <w:rFonts w:ascii="Arial Narrow" w:hAnsi="Arial Narrow"/>
                <w:sz w:val="20"/>
                <w:szCs w:val="20"/>
              </w:rPr>
            </w:pPr>
            <w:r>
              <w:rPr>
                <w:rFonts w:ascii="Arial Narrow" w:hAnsi="Arial Narrow"/>
                <w:sz w:val="20"/>
                <w:szCs w:val="20"/>
              </w:rPr>
              <w:t>$5,255.6</w:t>
            </w:r>
          </w:p>
        </w:tc>
        <w:tc>
          <w:tcPr>
            <w:tcW w:w="1147" w:type="dxa"/>
          </w:tcPr>
          <w:p w14:paraId="0CA8DAF9" w14:textId="77777777" w:rsidR="006137EE" w:rsidRPr="0095340F" w:rsidRDefault="006137EE" w:rsidP="007D4092">
            <w:pPr>
              <w:rPr>
                <w:rFonts w:ascii="Arial Narrow" w:hAnsi="Arial Narrow"/>
                <w:sz w:val="20"/>
                <w:szCs w:val="20"/>
              </w:rPr>
            </w:pPr>
          </w:p>
        </w:tc>
        <w:tc>
          <w:tcPr>
            <w:tcW w:w="1231" w:type="dxa"/>
          </w:tcPr>
          <w:p w14:paraId="44E537F5" w14:textId="77777777" w:rsidR="006137EE" w:rsidRPr="0095340F" w:rsidRDefault="006137EE" w:rsidP="007D4092">
            <w:pPr>
              <w:rPr>
                <w:rFonts w:ascii="Arial Narrow" w:hAnsi="Arial Narrow"/>
                <w:sz w:val="20"/>
                <w:szCs w:val="20"/>
              </w:rPr>
            </w:pPr>
            <w:r>
              <w:rPr>
                <w:rFonts w:ascii="Arial Narrow" w:hAnsi="Arial Narrow"/>
                <w:sz w:val="20"/>
                <w:szCs w:val="20"/>
              </w:rPr>
              <w:t>$6,255.6</w:t>
            </w:r>
          </w:p>
        </w:tc>
      </w:tr>
      <w:tr w:rsidR="006137EE" w14:paraId="2DC32336" w14:textId="77777777" w:rsidTr="007D4092">
        <w:tc>
          <w:tcPr>
            <w:tcW w:w="876" w:type="dxa"/>
          </w:tcPr>
          <w:p w14:paraId="305B8393" w14:textId="77777777" w:rsidR="006137EE" w:rsidRPr="00620228" w:rsidRDefault="006137EE" w:rsidP="007D4092">
            <w:pPr>
              <w:rPr>
                <w:rFonts w:ascii="Arial" w:hAnsi="Arial" w:cs="Arial"/>
                <w:sz w:val="20"/>
                <w:szCs w:val="20"/>
              </w:rPr>
            </w:pPr>
            <w:r w:rsidRPr="00620228">
              <w:rPr>
                <w:rFonts w:ascii="Arial" w:hAnsi="Arial" w:cs="Arial"/>
                <w:sz w:val="20"/>
                <w:szCs w:val="20"/>
              </w:rPr>
              <w:t>2022</w:t>
            </w:r>
          </w:p>
        </w:tc>
        <w:tc>
          <w:tcPr>
            <w:tcW w:w="1139" w:type="dxa"/>
          </w:tcPr>
          <w:p w14:paraId="41D376BE" w14:textId="77777777" w:rsidR="006137EE" w:rsidRPr="0095340F" w:rsidRDefault="006137EE" w:rsidP="007D4092">
            <w:pPr>
              <w:rPr>
                <w:rFonts w:ascii="Arial Narrow" w:hAnsi="Arial Narrow"/>
                <w:sz w:val="20"/>
                <w:szCs w:val="20"/>
              </w:rPr>
            </w:pPr>
            <w:r w:rsidRPr="0095340F">
              <w:rPr>
                <w:rFonts w:ascii="Arial Narrow" w:hAnsi="Arial Narrow"/>
                <w:sz w:val="20"/>
                <w:szCs w:val="20"/>
              </w:rPr>
              <w:t>11,279</w:t>
            </w:r>
          </w:p>
        </w:tc>
        <w:tc>
          <w:tcPr>
            <w:tcW w:w="1000" w:type="dxa"/>
          </w:tcPr>
          <w:p w14:paraId="687F36C8" w14:textId="77777777" w:rsidR="006137EE" w:rsidRPr="0095340F" w:rsidRDefault="006137EE" w:rsidP="007D4092">
            <w:pPr>
              <w:rPr>
                <w:rFonts w:ascii="Arial Narrow" w:hAnsi="Arial Narrow"/>
                <w:sz w:val="20"/>
                <w:szCs w:val="20"/>
              </w:rPr>
            </w:pPr>
            <w:r w:rsidRPr="0095340F">
              <w:rPr>
                <w:rFonts w:ascii="Arial Narrow" w:hAnsi="Arial Narrow"/>
                <w:sz w:val="20"/>
                <w:szCs w:val="20"/>
              </w:rPr>
              <w:t>1,279</w:t>
            </w:r>
          </w:p>
        </w:tc>
        <w:tc>
          <w:tcPr>
            <w:tcW w:w="1267" w:type="dxa"/>
          </w:tcPr>
          <w:p w14:paraId="736575BD" w14:textId="77777777" w:rsidR="006137EE" w:rsidRPr="0095340F" w:rsidRDefault="006137EE" w:rsidP="007D4092">
            <w:pPr>
              <w:rPr>
                <w:rFonts w:ascii="Arial Narrow" w:hAnsi="Arial Narrow"/>
                <w:sz w:val="20"/>
                <w:szCs w:val="20"/>
              </w:rPr>
            </w:pPr>
            <w:r>
              <w:rPr>
                <w:rFonts w:ascii="Arial Narrow" w:hAnsi="Arial Narrow"/>
                <w:sz w:val="20"/>
                <w:szCs w:val="20"/>
              </w:rPr>
              <w:t>$1,127.9</w:t>
            </w:r>
          </w:p>
        </w:tc>
        <w:tc>
          <w:tcPr>
            <w:tcW w:w="1483" w:type="dxa"/>
          </w:tcPr>
          <w:p w14:paraId="1662C0C2" w14:textId="77777777" w:rsidR="006137EE" w:rsidRPr="0095340F" w:rsidRDefault="006137EE" w:rsidP="007D4092">
            <w:pPr>
              <w:rPr>
                <w:rFonts w:ascii="Arial Narrow" w:hAnsi="Arial Narrow"/>
                <w:sz w:val="20"/>
                <w:szCs w:val="20"/>
              </w:rPr>
            </w:pPr>
            <w:r>
              <w:rPr>
                <w:rFonts w:ascii="Arial Narrow" w:hAnsi="Arial Narrow"/>
                <w:sz w:val="20"/>
                <w:szCs w:val="20"/>
              </w:rPr>
              <w:t>$6,383.5</w:t>
            </w:r>
          </w:p>
        </w:tc>
        <w:tc>
          <w:tcPr>
            <w:tcW w:w="1147" w:type="dxa"/>
          </w:tcPr>
          <w:p w14:paraId="658997EF" w14:textId="77777777" w:rsidR="006137EE" w:rsidRPr="0095340F" w:rsidRDefault="006137EE" w:rsidP="007D4092">
            <w:pPr>
              <w:rPr>
                <w:rFonts w:ascii="Arial Narrow" w:hAnsi="Arial Narrow"/>
                <w:sz w:val="20"/>
                <w:szCs w:val="20"/>
              </w:rPr>
            </w:pPr>
          </w:p>
        </w:tc>
        <w:tc>
          <w:tcPr>
            <w:tcW w:w="1231" w:type="dxa"/>
          </w:tcPr>
          <w:p w14:paraId="6A969446" w14:textId="77777777" w:rsidR="006137EE" w:rsidRPr="0095340F" w:rsidRDefault="006137EE" w:rsidP="007D4092">
            <w:pPr>
              <w:rPr>
                <w:rFonts w:ascii="Arial Narrow" w:hAnsi="Arial Narrow"/>
                <w:sz w:val="20"/>
                <w:szCs w:val="20"/>
              </w:rPr>
            </w:pPr>
            <w:r>
              <w:rPr>
                <w:rFonts w:ascii="Arial Narrow" w:hAnsi="Arial Narrow"/>
                <w:sz w:val="20"/>
                <w:szCs w:val="20"/>
              </w:rPr>
              <w:t>$7,383.5</w:t>
            </w:r>
          </w:p>
        </w:tc>
      </w:tr>
      <w:tr w:rsidR="006137EE" w14:paraId="41354964" w14:textId="77777777" w:rsidTr="007D4092">
        <w:tc>
          <w:tcPr>
            <w:tcW w:w="876" w:type="dxa"/>
          </w:tcPr>
          <w:p w14:paraId="322AAA08" w14:textId="77777777" w:rsidR="006137EE" w:rsidRPr="00620228" w:rsidRDefault="006137EE" w:rsidP="007D4092">
            <w:pPr>
              <w:rPr>
                <w:rFonts w:ascii="Arial" w:hAnsi="Arial" w:cs="Arial"/>
                <w:sz w:val="20"/>
                <w:szCs w:val="20"/>
              </w:rPr>
            </w:pPr>
            <w:r w:rsidRPr="00620228">
              <w:rPr>
                <w:rFonts w:ascii="Arial" w:hAnsi="Arial" w:cs="Arial"/>
                <w:sz w:val="20"/>
                <w:szCs w:val="20"/>
              </w:rPr>
              <w:t>2023</w:t>
            </w:r>
          </w:p>
        </w:tc>
        <w:tc>
          <w:tcPr>
            <w:tcW w:w="1139" w:type="dxa"/>
          </w:tcPr>
          <w:p w14:paraId="29C9BF76" w14:textId="77777777" w:rsidR="006137EE" w:rsidRPr="0095340F" w:rsidRDefault="006137EE" w:rsidP="007D4092">
            <w:pPr>
              <w:rPr>
                <w:rFonts w:ascii="Arial Narrow" w:hAnsi="Arial Narrow"/>
                <w:sz w:val="20"/>
                <w:szCs w:val="20"/>
              </w:rPr>
            </w:pPr>
            <w:r w:rsidRPr="0095340F">
              <w:rPr>
                <w:rFonts w:ascii="Arial Narrow" w:hAnsi="Arial Narrow"/>
                <w:sz w:val="20"/>
                <w:szCs w:val="20"/>
              </w:rPr>
              <w:t>11,536</w:t>
            </w:r>
          </w:p>
        </w:tc>
        <w:tc>
          <w:tcPr>
            <w:tcW w:w="1000" w:type="dxa"/>
          </w:tcPr>
          <w:p w14:paraId="3BC2E171" w14:textId="77777777" w:rsidR="006137EE" w:rsidRPr="0095340F" w:rsidRDefault="006137EE" w:rsidP="007D4092">
            <w:pPr>
              <w:rPr>
                <w:rFonts w:ascii="Arial Narrow" w:hAnsi="Arial Narrow"/>
                <w:sz w:val="20"/>
                <w:szCs w:val="20"/>
              </w:rPr>
            </w:pPr>
            <w:r w:rsidRPr="0095340F">
              <w:rPr>
                <w:rFonts w:ascii="Arial Narrow" w:hAnsi="Arial Narrow"/>
                <w:sz w:val="20"/>
                <w:szCs w:val="20"/>
              </w:rPr>
              <w:t>1,536</w:t>
            </w:r>
          </w:p>
        </w:tc>
        <w:tc>
          <w:tcPr>
            <w:tcW w:w="1267" w:type="dxa"/>
          </w:tcPr>
          <w:p w14:paraId="3E4F8225" w14:textId="77777777" w:rsidR="006137EE" w:rsidRPr="0095340F" w:rsidRDefault="006137EE" w:rsidP="007D4092">
            <w:pPr>
              <w:rPr>
                <w:rFonts w:ascii="Arial Narrow" w:hAnsi="Arial Narrow"/>
                <w:sz w:val="20"/>
                <w:szCs w:val="20"/>
              </w:rPr>
            </w:pPr>
            <w:r>
              <w:rPr>
                <w:rFonts w:ascii="Arial Narrow" w:hAnsi="Arial Narrow"/>
                <w:sz w:val="20"/>
                <w:szCs w:val="20"/>
              </w:rPr>
              <w:t>$1,153.6</w:t>
            </w:r>
          </w:p>
        </w:tc>
        <w:tc>
          <w:tcPr>
            <w:tcW w:w="1483" w:type="dxa"/>
          </w:tcPr>
          <w:p w14:paraId="0B4093F8" w14:textId="77777777" w:rsidR="006137EE" w:rsidRPr="0095340F" w:rsidRDefault="006137EE" w:rsidP="007D4092">
            <w:pPr>
              <w:rPr>
                <w:rFonts w:ascii="Arial Narrow" w:hAnsi="Arial Narrow"/>
                <w:sz w:val="20"/>
                <w:szCs w:val="20"/>
              </w:rPr>
            </w:pPr>
            <w:r>
              <w:rPr>
                <w:rFonts w:ascii="Arial Narrow" w:hAnsi="Arial Narrow"/>
                <w:sz w:val="20"/>
                <w:szCs w:val="20"/>
              </w:rPr>
              <w:t>$7,547.1</w:t>
            </w:r>
          </w:p>
        </w:tc>
        <w:tc>
          <w:tcPr>
            <w:tcW w:w="1147" w:type="dxa"/>
          </w:tcPr>
          <w:p w14:paraId="4779525B" w14:textId="77777777" w:rsidR="006137EE" w:rsidRPr="0095340F" w:rsidRDefault="006137EE" w:rsidP="007D4092">
            <w:pPr>
              <w:rPr>
                <w:rFonts w:ascii="Arial Narrow" w:hAnsi="Arial Narrow"/>
                <w:sz w:val="20"/>
                <w:szCs w:val="20"/>
              </w:rPr>
            </w:pPr>
          </w:p>
        </w:tc>
        <w:tc>
          <w:tcPr>
            <w:tcW w:w="1231" w:type="dxa"/>
          </w:tcPr>
          <w:p w14:paraId="14594EEB" w14:textId="77777777" w:rsidR="006137EE" w:rsidRPr="0095340F" w:rsidRDefault="006137EE" w:rsidP="007D4092">
            <w:pPr>
              <w:rPr>
                <w:rFonts w:ascii="Arial Narrow" w:hAnsi="Arial Narrow"/>
                <w:sz w:val="20"/>
                <w:szCs w:val="20"/>
              </w:rPr>
            </w:pPr>
            <w:r>
              <w:rPr>
                <w:rFonts w:ascii="Arial Narrow" w:hAnsi="Arial Narrow"/>
                <w:sz w:val="20"/>
                <w:szCs w:val="20"/>
              </w:rPr>
              <w:t>$8,547.1</w:t>
            </w:r>
          </w:p>
        </w:tc>
      </w:tr>
      <w:tr w:rsidR="006137EE" w14:paraId="0B0EF9DA" w14:textId="77777777" w:rsidTr="007D4092">
        <w:tc>
          <w:tcPr>
            <w:tcW w:w="876" w:type="dxa"/>
          </w:tcPr>
          <w:p w14:paraId="344D47C3" w14:textId="77777777" w:rsidR="006137EE" w:rsidRPr="00620228" w:rsidRDefault="006137EE" w:rsidP="007D4092">
            <w:pPr>
              <w:rPr>
                <w:rFonts w:ascii="Arial" w:hAnsi="Arial" w:cs="Arial"/>
                <w:sz w:val="20"/>
                <w:szCs w:val="20"/>
              </w:rPr>
            </w:pPr>
            <w:r w:rsidRPr="00620228">
              <w:rPr>
                <w:rFonts w:ascii="Arial" w:hAnsi="Arial" w:cs="Arial"/>
                <w:sz w:val="20"/>
                <w:szCs w:val="20"/>
              </w:rPr>
              <w:t>2024</w:t>
            </w:r>
          </w:p>
        </w:tc>
        <w:tc>
          <w:tcPr>
            <w:tcW w:w="1139" w:type="dxa"/>
          </w:tcPr>
          <w:p w14:paraId="13C6D3CB" w14:textId="77777777" w:rsidR="006137EE" w:rsidRPr="0095340F" w:rsidRDefault="006137EE" w:rsidP="007D4092">
            <w:pPr>
              <w:rPr>
                <w:rFonts w:ascii="Arial Narrow" w:hAnsi="Arial Narrow"/>
                <w:sz w:val="20"/>
                <w:szCs w:val="20"/>
              </w:rPr>
            </w:pPr>
            <w:r w:rsidRPr="0095340F">
              <w:rPr>
                <w:rFonts w:ascii="Arial Narrow" w:hAnsi="Arial Narrow"/>
                <w:sz w:val="20"/>
                <w:szCs w:val="20"/>
              </w:rPr>
              <w:t>11,792</w:t>
            </w:r>
          </w:p>
        </w:tc>
        <w:tc>
          <w:tcPr>
            <w:tcW w:w="1000" w:type="dxa"/>
          </w:tcPr>
          <w:p w14:paraId="4DB7BEF4" w14:textId="77777777" w:rsidR="006137EE" w:rsidRPr="0095340F" w:rsidRDefault="006137EE" w:rsidP="007D4092">
            <w:pPr>
              <w:rPr>
                <w:rFonts w:ascii="Arial Narrow" w:hAnsi="Arial Narrow"/>
                <w:sz w:val="20"/>
                <w:szCs w:val="20"/>
              </w:rPr>
            </w:pPr>
            <w:r w:rsidRPr="0095340F">
              <w:rPr>
                <w:rFonts w:ascii="Arial Narrow" w:hAnsi="Arial Narrow"/>
                <w:sz w:val="20"/>
                <w:szCs w:val="20"/>
              </w:rPr>
              <w:t>1,792</w:t>
            </w:r>
          </w:p>
        </w:tc>
        <w:tc>
          <w:tcPr>
            <w:tcW w:w="1267" w:type="dxa"/>
          </w:tcPr>
          <w:p w14:paraId="1D2576ED" w14:textId="77777777" w:rsidR="006137EE" w:rsidRPr="0095340F" w:rsidRDefault="006137EE" w:rsidP="007D4092">
            <w:pPr>
              <w:rPr>
                <w:rFonts w:ascii="Arial Narrow" w:hAnsi="Arial Narrow"/>
                <w:sz w:val="20"/>
                <w:szCs w:val="20"/>
              </w:rPr>
            </w:pPr>
            <w:r>
              <w:rPr>
                <w:rFonts w:ascii="Arial Narrow" w:hAnsi="Arial Narrow"/>
                <w:sz w:val="20"/>
                <w:szCs w:val="20"/>
              </w:rPr>
              <w:t>$1,179.2</w:t>
            </w:r>
          </w:p>
        </w:tc>
        <w:tc>
          <w:tcPr>
            <w:tcW w:w="1483" w:type="dxa"/>
          </w:tcPr>
          <w:p w14:paraId="4150253C" w14:textId="77777777" w:rsidR="006137EE" w:rsidRPr="0095340F" w:rsidRDefault="006137EE" w:rsidP="007D4092">
            <w:pPr>
              <w:rPr>
                <w:rFonts w:ascii="Arial Narrow" w:hAnsi="Arial Narrow"/>
                <w:sz w:val="20"/>
                <w:szCs w:val="20"/>
              </w:rPr>
            </w:pPr>
            <w:r>
              <w:rPr>
                <w:rFonts w:ascii="Arial Narrow" w:hAnsi="Arial Narrow"/>
                <w:sz w:val="20"/>
                <w:szCs w:val="20"/>
              </w:rPr>
              <w:t>$8,726.3</w:t>
            </w:r>
          </w:p>
        </w:tc>
        <w:tc>
          <w:tcPr>
            <w:tcW w:w="1147" w:type="dxa"/>
          </w:tcPr>
          <w:p w14:paraId="3AB13F0C" w14:textId="77777777" w:rsidR="006137EE" w:rsidRPr="0095340F" w:rsidRDefault="006137EE" w:rsidP="007D4092">
            <w:pPr>
              <w:rPr>
                <w:rFonts w:ascii="Arial Narrow" w:hAnsi="Arial Narrow"/>
                <w:sz w:val="20"/>
                <w:szCs w:val="20"/>
              </w:rPr>
            </w:pPr>
            <w:r w:rsidRPr="0095340F">
              <w:rPr>
                <w:rFonts w:ascii="Arial Narrow" w:hAnsi="Arial Narrow"/>
                <w:sz w:val="20"/>
                <w:szCs w:val="20"/>
              </w:rPr>
              <w:t>$1000</w:t>
            </w:r>
          </w:p>
        </w:tc>
        <w:tc>
          <w:tcPr>
            <w:tcW w:w="1231" w:type="dxa"/>
          </w:tcPr>
          <w:p w14:paraId="3CCC7771" w14:textId="77777777" w:rsidR="006137EE" w:rsidRPr="0095340F" w:rsidRDefault="006137EE" w:rsidP="007D4092">
            <w:pPr>
              <w:ind w:right="-581"/>
              <w:rPr>
                <w:rFonts w:ascii="Arial Narrow" w:hAnsi="Arial Narrow"/>
                <w:sz w:val="20"/>
                <w:szCs w:val="20"/>
              </w:rPr>
            </w:pPr>
            <w:r>
              <w:rPr>
                <w:rFonts w:ascii="Arial Narrow" w:hAnsi="Arial Narrow"/>
                <w:sz w:val="20"/>
                <w:szCs w:val="20"/>
              </w:rPr>
              <w:t>$10,726.3</w:t>
            </w:r>
          </w:p>
        </w:tc>
      </w:tr>
      <w:tr w:rsidR="006137EE" w14:paraId="46B49E1C" w14:textId="77777777" w:rsidTr="007D4092">
        <w:tc>
          <w:tcPr>
            <w:tcW w:w="876" w:type="dxa"/>
          </w:tcPr>
          <w:p w14:paraId="5893E4D4" w14:textId="77777777" w:rsidR="006137EE" w:rsidRPr="00620228" w:rsidRDefault="006137EE" w:rsidP="007D4092">
            <w:pPr>
              <w:rPr>
                <w:rFonts w:ascii="Arial" w:hAnsi="Arial" w:cs="Arial"/>
                <w:sz w:val="20"/>
                <w:szCs w:val="20"/>
              </w:rPr>
            </w:pPr>
            <w:r w:rsidRPr="00620228">
              <w:rPr>
                <w:rFonts w:ascii="Arial" w:hAnsi="Arial" w:cs="Arial"/>
                <w:sz w:val="20"/>
                <w:szCs w:val="20"/>
              </w:rPr>
              <w:t>2025</w:t>
            </w:r>
          </w:p>
        </w:tc>
        <w:tc>
          <w:tcPr>
            <w:tcW w:w="1139" w:type="dxa"/>
          </w:tcPr>
          <w:p w14:paraId="3CBE818B" w14:textId="77777777" w:rsidR="006137EE" w:rsidRPr="0095340F" w:rsidRDefault="006137EE" w:rsidP="007D4092">
            <w:pPr>
              <w:rPr>
                <w:rFonts w:ascii="Arial Narrow" w:hAnsi="Arial Narrow"/>
                <w:sz w:val="20"/>
                <w:szCs w:val="20"/>
              </w:rPr>
            </w:pPr>
            <w:r w:rsidRPr="0095340F">
              <w:rPr>
                <w:rFonts w:ascii="Arial Narrow" w:hAnsi="Arial Narrow"/>
                <w:sz w:val="20"/>
                <w:szCs w:val="20"/>
              </w:rPr>
              <w:t>12,049</w:t>
            </w:r>
          </w:p>
        </w:tc>
        <w:tc>
          <w:tcPr>
            <w:tcW w:w="1000" w:type="dxa"/>
          </w:tcPr>
          <w:p w14:paraId="737C73E1" w14:textId="77777777" w:rsidR="006137EE" w:rsidRPr="0095340F" w:rsidRDefault="006137EE" w:rsidP="007D4092">
            <w:pPr>
              <w:rPr>
                <w:rFonts w:ascii="Arial Narrow" w:hAnsi="Arial Narrow"/>
                <w:sz w:val="20"/>
                <w:szCs w:val="20"/>
              </w:rPr>
            </w:pPr>
            <w:r w:rsidRPr="0095340F">
              <w:rPr>
                <w:rFonts w:ascii="Arial Narrow" w:hAnsi="Arial Narrow"/>
                <w:sz w:val="20"/>
                <w:szCs w:val="20"/>
              </w:rPr>
              <w:t>2,049</w:t>
            </w:r>
          </w:p>
        </w:tc>
        <w:tc>
          <w:tcPr>
            <w:tcW w:w="1267" w:type="dxa"/>
          </w:tcPr>
          <w:p w14:paraId="08767C66" w14:textId="77777777" w:rsidR="006137EE" w:rsidRPr="0095340F" w:rsidRDefault="006137EE" w:rsidP="007D4092">
            <w:pPr>
              <w:rPr>
                <w:rFonts w:ascii="Arial Narrow" w:hAnsi="Arial Narrow"/>
                <w:sz w:val="20"/>
                <w:szCs w:val="20"/>
              </w:rPr>
            </w:pPr>
            <w:r>
              <w:rPr>
                <w:rFonts w:ascii="Arial Narrow" w:hAnsi="Arial Narrow"/>
                <w:sz w:val="20"/>
                <w:szCs w:val="20"/>
              </w:rPr>
              <w:t>$1,204.9</w:t>
            </w:r>
          </w:p>
        </w:tc>
        <w:tc>
          <w:tcPr>
            <w:tcW w:w="1483" w:type="dxa"/>
          </w:tcPr>
          <w:p w14:paraId="448EF9B2" w14:textId="77777777" w:rsidR="006137EE" w:rsidRPr="0095340F" w:rsidRDefault="006137EE" w:rsidP="007D4092">
            <w:pPr>
              <w:rPr>
                <w:rFonts w:ascii="Arial Narrow" w:hAnsi="Arial Narrow"/>
                <w:sz w:val="20"/>
                <w:szCs w:val="20"/>
              </w:rPr>
            </w:pPr>
            <w:r>
              <w:rPr>
                <w:rFonts w:ascii="Arial Narrow" w:hAnsi="Arial Narrow"/>
                <w:sz w:val="20"/>
                <w:szCs w:val="20"/>
              </w:rPr>
              <w:t>$9,931.2</w:t>
            </w:r>
          </w:p>
        </w:tc>
        <w:tc>
          <w:tcPr>
            <w:tcW w:w="1147" w:type="dxa"/>
          </w:tcPr>
          <w:p w14:paraId="3C0DF4AF" w14:textId="77777777" w:rsidR="006137EE" w:rsidRPr="0095340F" w:rsidRDefault="006137EE" w:rsidP="007D4092">
            <w:pPr>
              <w:rPr>
                <w:rFonts w:ascii="Arial Narrow" w:hAnsi="Arial Narrow"/>
                <w:sz w:val="20"/>
                <w:szCs w:val="20"/>
              </w:rPr>
            </w:pPr>
          </w:p>
        </w:tc>
        <w:tc>
          <w:tcPr>
            <w:tcW w:w="1231" w:type="dxa"/>
          </w:tcPr>
          <w:p w14:paraId="7E70C14D" w14:textId="77777777" w:rsidR="006137EE" w:rsidRPr="0095340F" w:rsidRDefault="006137EE" w:rsidP="007D4092">
            <w:pPr>
              <w:rPr>
                <w:rFonts w:ascii="Arial Narrow" w:hAnsi="Arial Narrow"/>
                <w:sz w:val="20"/>
                <w:szCs w:val="20"/>
              </w:rPr>
            </w:pPr>
            <w:r>
              <w:rPr>
                <w:rFonts w:ascii="Arial Narrow" w:hAnsi="Arial Narrow"/>
                <w:sz w:val="20"/>
                <w:szCs w:val="20"/>
              </w:rPr>
              <w:t>$11,931.2</w:t>
            </w:r>
          </w:p>
        </w:tc>
      </w:tr>
      <w:tr w:rsidR="006137EE" w14:paraId="76919C1B" w14:textId="77777777" w:rsidTr="007D4092">
        <w:tc>
          <w:tcPr>
            <w:tcW w:w="876" w:type="dxa"/>
          </w:tcPr>
          <w:p w14:paraId="1A226AD2" w14:textId="77777777" w:rsidR="006137EE" w:rsidRPr="00620228" w:rsidRDefault="006137EE" w:rsidP="007D4092">
            <w:pPr>
              <w:rPr>
                <w:rFonts w:ascii="Arial" w:hAnsi="Arial" w:cs="Arial"/>
                <w:sz w:val="20"/>
                <w:szCs w:val="20"/>
              </w:rPr>
            </w:pPr>
            <w:r w:rsidRPr="00620228">
              <w:rPr>
                <w:rFonts w:ascii="Arial" w:hAnsi="Arial" w:cs="Arial"/>
                <w:sz w:val="20"/>
                <w:szCs w:val="20"/>
              </w:rPr>
              <w:t>2026</w:t>
            </w:r>
          </w:p>
        </w:tc>
        <w:tc>
          <w:tcPr>
            <w:tcW w:w="1139" w:type="dxa"/>
          </w:tcPr>
          <w:p w14:paraId="3568BB2E" w14:textId="77777777" w:rsidR="006137EE" w:rsidRPr="0095340F" w:rsidRDefault="006137EE" w:rsidP="007D4092">
            <w:pPr>
              <w:rPr>
                <w:rFonts w:ascii="Arial Narrow" w:hAnsi="Arial Narrow"/>
                <w:sz w:val="20"/>
                <w:szCs w:val="20"/>
              </w:rPr>
            </w:pPr>
            <w:r w:rsidRPr="0095340F">
              <w:rPr>
                <w:rFonts w:ascii="Arial Narrow" w:hAnsi="Arial Narrow"/>
                <w:sz w:val="20"/>
                <w:szCs w:val="20"/>
              </w:rPr>
              <w:t>12,305</w:t>
            </w:r>
          </w:p>
        </w:tc>
        <w:tc>
          <w:tcPr>
            <w:tcW w:w="1000" w:type="dxa"/>
          </w:tcPr>
          <w:p w14:paraId="0DE192BB" w14:textId="77777777" w:rsidR="006137EE" w:rsidRPr="0095340F" w:rsidRDefault="006137EE" w:rsidP="007D4092">
            <w:pPr>
              <w:rPr>
                <w:rFonts w:ascii="Arial Narrow" w:hAnsi="Arial Narrow"/>
                <w:sz w:val="20"/>
                <w:szCs w:val="20"/>
              </w:rPr>
            </w:pPr>
            <w:r w:rsidRPr="0095340F">
              <w:rPr>
                <w:rFonts w:ascii="Arial Narrow" w:hAnsi="Arial Narrow"/>
                <w:sz w:val="20"/>
                <w:szCs w:val="20"/>
              </w:rPr>
              <w:t>2,305</w:t>
            </w:r>
          </w:p>
        </w:tc>
        <w:tc>
          <w:tcPr>
            <w:tcW w:w="1267" w:type="dxa"/>
          </w:tcPr>
          <w:p w14:paraId="21C6BA32" w14:textId="77777777" w:rsidR="006137EE" w:rsidRPr="0095340F" w:rsidRDefault="006137EE" w:rsidP="007D4092">
            <w:pPr>
              <w:rPr>
                <w:rFonts w:ascii="Arial Narrow" w:hAnsi="Arial Narrow"/>
                <w:sz w:val="20"/>
                <w:szCs w:val="20"/>
              </w:rPr>
            </w:pPr>
            <w:r>
              <w:rPr>
                <w:rFonts w:ascii="Arial Narrow" w:hAnsi="Arial Narrow"/>
                <w:sz w:val="20"/>
                <w:szCs w:val="20"/>
              </w:rPr>
              <w:t>$1,230.5</w:t>
            </w:r>
          </w:p>
        </w:tc>
        <w:tc>
          <w:tcPr>
            <w:tcW w:w="1483" w:type="dxa"/>
          </w:tcPr>
          <w:p w14:paraId="5FE1D4B9" w14:textId="77777777" w:rsidR="006137EE" w:rsidRPr="0095340F" w:rsidRDefault="006137EE" w:rsidP="007D4092">
            <w:pPr>
              <w:rPr>
                <w:rFonts w:ascii="Arial Narrow" w:hAnsi="Arial Narrow"/>
                <w:sz w:val="20"/>
                <w:szCs w:val="20"/>
              </w:rPr>
            </w:pPr>
            <w:r>
              <w:rPr>
                <w:rFonts w:ascii="Arial Narrow" w:hAnsi="Arial Narrow"/>
                <w:sz w:val="20"/>
                <w:szCs w:val="20"/>
              </w:rPr>
              <w:t>$11,161.7</w:t>
            </w:r>
          </w:p>
        </w:tc>
        <w:tc>
          <w:tcPr>
            <w:tcW w:w="1147" w:type="dxa"/>
          </w:tcPr>
          <w:p w14:paraId="75AA9EC3" w14:textId="77777777" w:rsidR="006137EE" w:rsidRPr="0095340F" w:rsidRDefault="006137EE" w:rsidP="007D4092">
            <w:pPr>
              <w:rPr>
                <w:rFonts w:ascii="Arial Narrow" w:hAnsi="Arial Narrow"/>
                <w:sz w:val="20"/>
                <w:szCs w:val="20"/>
              </w:rPr>
            </w:pPr>
          </w:p>
        </w:tc>
        <w:tc>
          <w:tcPr>
            <w:tcW w:w="1231" w:type="dxa"/>
          </w:tcPr>
          <w:p w14:paraId="2D998BB6" w14:textId="77777777" w:rsidR="006137EE" w:rsidRPr="0095340F" w:rsidRDefault="006137EE" w:rsidP="007D4092">
            <w:pPr>
              <w:rPr>
                <w:rFonts w:ascii="Arial Narrow" w:hAnsi="Arial Narrow"/>
                <w:sz w:val="20"/>
                <w:szCs w:val="20"/>
              </w:rPr>
            </w:pPr>
            <w:r>
              <w:rPr>
                <w:rFonts w:ascii="Arial Narrow" w:hAnsi="Arial Narrow"/>
                <w:sz w:val="20"/>
                <w:szCs w:val="20"/>
              </w:rPr>
              <w:t>$13,161.7</w:t>
            </w:r>
          </w:p>
        </w:tc>
      </w:tr>
      <w:tr w:rsidR="006137EE" w14:paraId="3EAF5734" w14:textId="77777777" w:rsidTr="007D4092">
        <w:tc>
          <w:tcPr>
            <w:tcW w:w="876" w:type="dxa"/>
          </w:tcPr>
          <w:p w14:paraId="4B1EB397" w14:textId="77777777" w:rsidR="006137EE" w:rsidRPr="00620228" w:rsidRDefault="006137EE" w:rsidP="007D4092">
            <w:pPr>
              <w:rPr>
                <w:rFonts w:ascii="Arial" w:hAnsi="Arial" w:cs="Arial"/>
                <w:sz w:val="20"/>
                <w:szCs w:val="20"/>
              </w:rPr>
            </w:pPr>
            <w:r w:rsidRPr="00620228">
              <w:rPr>
                <w:rFonts w:ascii="Arial" w:hAnsi="Arial" w:cs="Arial"/>
                <w:sz w:val="20"/>
                <w:szCs w:val="20"/>
              </w:rPr>
              <w:t>2027</w:t>
            </w:r>
          </w:p>
        </w:tc>
        <w:tc>
          <w:tcPr>
            <w:tcW w:w="1139" w:type="dxa"/>
          </w:tcPr>
          <w:p w14:paraId="73DC8464" w14:textId="77777777" w:rsidR="006137EE" w:rsidRPr="0095340F" w:rsidRDefault="006137EE" w:rsidP="007D4092">
            <w:pPr>
              <w:rPr>
                <w:rFonts w:ascii="Arial Narrow" w:hAnsi="Arial Narrow"/>
                <w:sz w:val="20"/>
                <w:szCs w:val="20"/>
              </w:rPr>
            </w:pPr>
            <w:r w:rsidRPr="0095340F">
              <w:rPr>
                <w:rFonts w:ascii="Arial Narrow" w:hAnsi="Arial Narrow"/>
                <w:sz w:val="20"/>
                <w:szCs w:val="20"/>
              </w:rPr>
              <w:t>12,561</w:t>
            </w:r>
          </w:p>
        </w:tc>
        <w:tc>
          <w:tcPr>
            <w:tcW w:w="1000" w:type="dxa"/>
          </w:tcPr>
          <w:p w14:paraId="6DCFD6AD" w14:textId="77777777" w:rsidR="006137EE" w:rsidRPr="0095340F" w:rsidRDefault="006137EE" w:rsidP="007D4092">
            <w:pPr>
              <w:rPr>
                <w:rFonts w:ascii="Arial Narrow" w:hAnsi="Arial Narrow"/>
                <w:sz w:val="20"/>
                <w:szCs w:val="20"/>
              </w:rPr>
            </w:pPr>
            <w:r w:rsidRPr="0095340F">
              <w:rPr>
                <w:rFonts w:ascii="Arial Narrow" w:hAnsi="Arial Narrow"/>
                <w:sz w:val="20"/>
                <w:szCs w:val="20"/>
              </w:rPr>
              <w:t>2,561</w:t>
            </w:r>
          </w:p>
        </w:tc>
        <w:tc>
          <w:tcPr>
            <w:tcW w:w="1267" w:type="dxa"/>
          </w:tcPr>
          <w:p w14:paraId="596BAFD8" w14:textId="77777777" w:rsidR="006137EE" w:rsidRPr="0095340F" w:rsidRDefault="006137EE" w:rsidP="007D4092">
            <w:pPr>
              <w:rPr>
                <w:rFonts w:ascii="Arial Narrow" w:hAnsi="Arial Narrow"/>
                <w:sz w:val="20"/>
                <w:szCs w:val="20"/>
              </w:rPr>
            </w:pPr>
            <w:r>
              <w:rPr>
                <w:rFonts w:ascii="Arial Narrow" w:hAnsi="Arial Narrow"/>
                <w:sz w:val="20"/>
                <w:szCs w:val="20"/>
              </w:rPr>
              <w:t>$1,256.1</w:t>
            </w:r>
          </w:p>
        </w:tc>
        <w:tc>
          <w:tcPr>
            <w:tcW w:w="1483" w:type="dxa"/>
          </w:tcPr>
          <w:p w14:paraId="1345DB32" w14:textId="77777777" w:rsidR="006137EE" w:rsidRPr="0095340F" w:rsidRDefault="006137EE" w:rsidP="007D4092">
            <w:pPr>
              <w:rPr>
                <w:rFonts w:ascii="Arial Narrow" w:hAnsi="Arial Narrow"/>
                <w:sz w:val="20"/>
                <w:szCs w:val="20"/>
              </w:rPr>
            </w:pPr>
            <w:r>
              <w:rPr>
                <w:rFonts w:ascii="Arial Narrow" w:hAnsi="Arial Narrow"/>
                <w:sz w:val="20"/>
                <w:szCs w:val="20"/>
              </w:rPr>
              <w:t>$12,417.8</w:t>
            </w:r>
          </w:p>
        </w:tc>
        <w:tc>
          <w:tcPr>
            <w:tcW w:w="1147" w:type="dxa"/>
          </w:tcPr>
          <w:p w14:paraId="79F6CBF3" w14:textId="77777777" w:rsidR="006137EE" w:rsidRPr="0095340F" w:rsidRDefault="006137EE" w:rsidP="007D4092">
            <w:pPr>
              <w:rPr>
                <w:rFonts w:ascii="Arial Narrow" w:hAnsi="Arial Narrow"/>
                <w:sz w:val="20"/>
                <w:szCs w:val="20"/>
              </w:rPr>
            </w:pPr>
          </w:p>
        </w:tc>
        <w:tc>
          <w:tcPr>
            <w:tcW w:w="1231" w:type="dxa"/>
          </w:tcPr>
          <w:p w14:paraId="0BFB31BA" w14:textId="77777777" w:rsidR="006137EE" w:rsidRPr="0095340F" w:rsidRDefault="006137EE" w:rsidP="007D4092">
            <w:pPr>
              <w:rPr>
                <w:rFonts w:ascii="Arial Narrow" w:hAnsi="Arial Narrow"/>
                <w:sz w:val="20"/>
                <w:szCs w:val="20"/>
              </w:rPr>
            </w:pPr>
            <w:r>
              <w:rPr>
                <w:rFonts w:ascii="Arial Narrow" w:hAnsi="Arial Narrow"/>
                <w:sz w:val="20"/>
                <w:szCs w:val="20"/>
              </w:rPr>
              <w:t>$14,417.8</w:t>
            </w:r>
          </w:p>
        </w:tc>
      </w:tr>
    </w:tbl>
    <w:p w14:paraId="67B14D4A" w14:textId="77777777" w:rsidR="006137EE" w:rsidRDefault="006137EE" w:rsidP="006137EE">
      <w:pPr>
        <w:spacing w:after="80"/>
      </w:pPr>
    </w:p>
    <w:p w14:paraId="755C217D" w14:textId="77777777" w:rsidR="00DA1403" w:rsidRPr="00863E90" w:rsidRDefault="00DA1403" w:rsidP="00267892">
      <w:pPr>
        <w:spacing w:before="80"/>
        <w:rPr>
          <w:sz w:val="22"/>
          <w:szCs w:val="22"/>
        </w:rPr>
      </w:pPr>
    </w:p>
    <w:p w14:paraId="12FD6C73" w14:textId="3C70FC61" w:rsidR="00B859B7" w:rsidRPr="001F6D5C" w:rsidRDefault="00876290" w:rsidP="00B859B7">
      <w:pPr>
        <w:spacing w:before="20" w:after="80"/>
        <w:rPr>
          <w:rFonts w:asciiTheme="majorHAnsi" w:hAnsiTheme="majorHAnsi" w:cs="Arial"/>
          <w:b/>
          <w:lang w:val="en-NZ"/>
        </w:rPr>
      </w:pPr>
      <w:r w:rsidRPr="001F6D5C">
        <w:rPr>
          <w:rFonts w:asciiTheme="majorHAnsi" w:hAnsiTheme="majorHAnsi" w:cs="Arial"/>
          <w:b/>
          <w:lang w:val="en-NZ"/>
        </w:rPr>
        <w:t>Policies to b</w:t>
      </w:r>
      <w:r w:rsidR="00ED4055" w:rsidRPr="001F6D5C">
        <w:rPr>
          <w:rFonts w:asciiTheme="majorHAnsi" w:hAnsiTheme="majorHAnsi" w:cs="Arial"/>
          <w:b/>
          <w:lang w:val="en-NZ"/>
        </w:rPr>
        <w:t xml:space="preserve">reak the </w:t>
      </w:r>
      <w:r w:rsidR="000E10B2">
        <w:rPr>
          <w:rFonts w:asciiTheme="majorHAnsi" w:hAnsiTheme="majorHAnsi" w:cs="Arial"/>
          <w:b/>
          <w:lang w:val="en-NZ"/>
        </w:rPr>
        <w:t xml:space="preserve">vicious </w:t>
      </w:r>
      <w:r w:rsidR="00ED4055" w:rsidRPr="001F6D5C">
        <w:rPr>
          <w:rFonts w:asciiTheme="majorHAnsi" w:hAnsiTheme="majorHAnsi" w:cs="Arial"/>
          <w:b/>
          <w:lang w:val="en-NZ"/>
        </w:rPr>
        <w:t>cycle</w:t>
      </w:r>
    </w:p>
    <w:p w14:paraId="2DBE6E05" w14:textId="77777777" w:rsidR="00E9640A" w:rsidRDefault="00E9640A" w:rsidP="00B859B7">
      <w:pPr>
        <w:spacing w:before="20" w:after="80"/>
        <w:rPr>
          <w:rFonts w:asciiTheme="majorHAnsi" w:hAnsiTheme="majorHAnsi" w:cs="Arial"/>
          <w:b/>
          <w:sz w:val="22"/>
          <w:szCs w:val="22"/>
          <w:lang w:val="en-NZ"/>
        </w:rPr>
      </w:pPr>
    </w:p>
    <w:p w14:paraId="6A587960" w14:textId="4F0950D3" w:rsidR="0008456D" w:rsidRPr="00B859B7" w:rsidRDefault="0008456D" w:rsidP="0008456D">
      <w:pPr>
        <w:spacing w:before="20" w:after="80"/>
        <w:rPr>
          <w:rFonts w:ascii="Arial" w:hAnsi="Arial" w:cs="Arial"/>
          <w:sz w:val="22"/>
          <w:szCs w:val="22"/>
        </w:rPr>
      </w:pPr>
      <w:r>
        <w:rPr>
          <w:rFonts w:ascii="Arial" w:hAnsi="Arial" w:cs="Arial"/>
          <w:sz w:val="22"/>
          <w:szCs w:val="22"/>
        </w:rPr>
        <w:t xml:space="preserve">1. </w:t>
      </w:r>
      <w:r w:rsidRPr="00B859B7">
        <w:rPr>
          <w:rFonts w:ascii="Arial" w:hAnsi="Arial" w:cs="Arial"/>
          <w:sz w:val="22"/>
          <w:szCs w:val="22"/>
        </w:rPr>
        <w:t>Reverse the effects of the Bail Amendment Act 2013</w:t>
      </w:r>
      <w:r w:rsidR="00F90B5B">
        <w:rPr>
          <w:rFonts w:ascii="Arial" w:hAnsi="Arial" w:cs="Arial"/>
          <w:sz w:val="22"/>
          <w:szCs w:val="22"/>
        </w:rPr>
        <w:t xml:space="preserve"> to lower the remand prison population (prisoners awaiting trial or sentencing)</w:t>
      </w:r>
      <w:r w:rsidRPr="00B859B7">
        <w:rPr>
          <w:rFonts w:ascii="Arial" w:hAnsi="Arial" w:cs="Arial"/>
          <w:sz w:val="22"/>
          <w:szCs w:val="22"/>
        </w:rPr>
        <w:t>.</w:t>
      </w:r>
    </w:p>
    <w:p w14:paraId="087C5E2C" w14:textId="43963385" w:rsidR="00C47CAF" w:rsidRPr="00A214EE" w:rsidRDefault="005E1B95" w:rsidP="00B859B7">
      <w:pPr>
        <w:spacing w:before="20" w:after="80"/>
        <w:rPr>
          <w:rFonts w:cs="Arial"/>
          <w:sz w:val="22"/>
          <w:szCs w:val="22"/>
          <w:lang w:val="en-NZ"/>
        </w:rPr>
      </w:pPr>
      <w:r>
        <w:rPr>
          <w:rFonts w:cs="Arial"/>
          <w:sz w:val="22"/>
          <w:szCs w:val="22"/>
          <w:lang w:val="en-NZ"/>
        </w:rPr>
        <w:t>A</w:t>
      </w:r>
      <w:r w:rsidR="00A214EE">
        <w:rPr>
          <w:rFonts w:cs="Arial"/>
          <w:sz w:val="22"/>
          <w:szCs w:val="22"/>
          <w:lang w:val="en-NZ"/>
        </w:rPr>
        <w:t xml:space="preserve"> first step is to reverse the effects of the Bail Amenment Act 2013</w:t>
      </w:r>
      <w:r>
        <w:rPr>
          <w:rFonts w:cs="Arial"/>
          <w:sz w:val="22"/>
          <w:szCs w:val="22"/>
          <w:lang w:val="en-NZ"/>
        </w:rPr>
        <w:t xml:space="preserve"> and lower the remand prison population (defendants </w:t>
      </w:r>
      <w:r w:rsidR="00E72AB1">
        <w:rPr>
          <w:rFonts w:cs="Arial"/>
          <w:sz w:val="22"/>
          <w:szCs w:val="22"/>
          <w:lang w:val="en-NZ"/>
        </w:rPr>
        <w:t xml:space="preserve">in prison </w:t>
      </w:r>
      <w:r>
        <w:rPr>
          <w:rFonts w:cs="Arial"/>
          <w:sz w:val="22"/>
          <w:szCs w:val="22"/>
          <w:lang w:val="en-NZ"/>
        </w:rPr>
        <w:t>awaiting trial or sentencing)</w:t>
      </w:r>
      <w:r w:rsidR="0097385E">
        <w:rPr>
          <w:rFonts w:cs="Arial"/>
          <w:sz w:val="22"/>
          <w:szCs w:val="22"/>
          <w:lang w:val="en-NZ"/>
        </w:rPr>
        <w:t xml:space="preserve">. </w:t>
      </w:r>
      <w:r w:rsidR="00272E61">
        <w:rPr>
          <w:rFonts w:cs="Arial"/>
          <w:sz w:val="22"/>
          <w:szCs w:val="22"/>
          <w:lang w:val="en-NZ"/>
        </w:rPr>
        <w:t>T</w:t>
      </w:r>
      <w:r w:rsidR="0097385E">
        <w:rPr>
          <w:rFonts w:cs="Arial"/>
          <w:sz w:val="22"/>
          <w:szCs w:val="22"/>
          <w:lang w:val="en-NZ"/>
        </w:rPr>
        <w:t xml:space="preserve">he </w:t>
      </w:r>
      <w:r>
        <w:rPr>
          <w:rFonts w:cs="Arial"/>
          <w:sz w:val="22"/>
          <w:szCs w:val="22"/>
          <w:lang w:val="en-NZ"/>
        </w:rPr>
        <w:t xml:space="preserve">2013 </w:t>
      </w:r>
      <w:r w:rsidR="0097385E">
        <w:rPr>
          <w:rFonts w:cs="Arial"/>
          <w:sz w:val="22"/>
          <w:szCs w:val="22"/>
          <w:lang w:val="en-NZ"/>
        </w:rPr>
        <w:t>amendment</w:t>
      </w:r>
      <w:r w:rsidR="00317B1A">
        <w:rPr>
          <w:rFonts w:cs="Arial"/>
          <w:sz w:val="22"/>
          <w:szCs w:val="22"/>
          <w:lang w:val="en-NZ"/>
        </w:rPr>
        <w:t xml:space="preserve"> to t</w:t>
      </w:r>
      <w:r>
        <w:rPr>
          <w:rFonts w:cs="Arial"/>
          <w:sz w:val="22"/>
          <w:szCs w:val="22"/>
          <w:lang w:val="en-NZ"/>
        </w:rPr>
        <w:t>he</w:t>
      </w:r>
      <w:r w:rsidR="00317B1A">
        <w:rPr>
          <w:rFonts w:cs="Arial"/>
          <w:sz w:val="22"/>
          <w:szCs w:val="22"/>
          <w:lang w:val="en-NZ"/>
        </w:rPr>
        <w:t xml:space="preserve"> bail law</w:t>
      </w:r>
      <w:r w:rsidR="00272E61">
        <w:rPr>
          <w:rFonts w:cs="Arial"/>
          <w:sz w:val="22"/>
          <w:szCs w:val="22"/>
          <w:lang w:val="en-NZ"/>
        </w:rPr>
        <w:t xml:space="preserve"> </w:t>
      </w:r>
      <w:r w:rsidR="0008456D">
        <w:rPr>
          <w:rFonts w:cs="Arial"/>
          <w:sz w:val="22"/>
          <w:szCs w:val="22"/>
          <w:lang w:val="en-NZ"/>
        </w:rPr>
        <w:t xml:space="preserve">lead to a jump in </w:t>
      </w:r>
      <w:r w:rsidR="0097385E">
        <w:rPr>
          <w:rFonts w:cs="Arial"/>
          <w:sz w:val="22"/>
          <w:szCs w:val="22"/>
          <w:lang w:val="en-NZ"/>
        </w:rPr>
        <w:t>t</w:t>
      </w:r>
      <w:r>
        <w:rPr>
          <w:rFonts w:cs="Arial"/>
          <w:sz w:val="22"/>
          <w:szCs w:val="22"/>
          <w:lang w:val="en-NZ"/>
        </w:rPr>
        <w:t>he remand population</w:t>
      </w:r>
      <w:r w:rsidR="0008456D">
        <w:rPr>
          <w:rFonts w:cs="Arial"/>
          <w:sz w:val="22"/>
          <w:szCs w:val="22"/>
          <w:lang w:val="en-NZ"/>
        </w:rPr>
        <w:t>, which</w:t>
      </w:r>
      <w:r w:rsidR="009B62CA">
        <w:rPr>
          <w:rFonts w:cs="Arial"/>
          <w:sz w:val="22"/>
          <w:szCs w:val="22"/>
          <w:lang w:val="en-NZ"/>
        </w:rPr>
        <w:t xml:space="preserve"> is now almost a third of the prison population.</w:t>
      </w:r>
    </w:p>
    <w:p w14:paraId="5E61637D" w14:textId="7D2BCCFA" w:rsidR="00B859B7" w:rsidRDefault="00B859B7" w:rsidP="009A2B8C">
      <w:pPr>
        <w:rPr>
          <w:rFonts w:cs="Arial"/>
          <w:sz w:val="22"/>
          <w:szCs w:val="22"/>
          <w:lang w:val="en-NZ"/>
        </w:rPr>
      </w:pPr>
      <w:r w:rsidRPr="00782419">
        <w:rPr>
          <w:rFonts w:cs="Arial"/>
          <w:sz w:val="22"/>
          <w:szCs w:val="22"/>
          <w:lang w:val="en-NZ"/>
        </w:rPr>
        <w:t>The </w:t>
      </w:r>
      <w:r w:rsidRPr="00782419">
        <w:rPr>
          <w:rFonts w:cs="Arial"/>
          <w:iCs/>
          <w:sz w:val="22"/>
          <w:szCs w:val="22"/>
          <w:lang w:val="en-NZ"/>
        </w:rPr>
        <w:t>Bail Amendment Act 2013 amended the Bail Act 2000</w:t>
      </w:r>
      <w:r w:rsidRPr="00782419">
        <w:rPr>
          <w:rFonts w:cs="Arial"/>
          <w:sz w:val="22"/>
          <w:szCs w:val="22"/>
          <w:lang w:val="en-NZ"/>
        </w:rPr>
        <w:t xml:space="preserve"> to make it more difficult for defendents to get bail</w:t>
      </w:r>
      <w:r w:rsidR="00863E90">
        <w:rPr>
          <w:rFonts w:cs="Arial"/>
          <w:sz w:val="22"/>
          <w:szCs w:val="22"/>
          <w:lang w:val="en-NZ"/>
        </w:rPr>
        <w:t xml:space="preserve"> from the court</w:t>
      </w:r>
      <w:r w:rsidR="0097385E">
        <w:rPr>
          <w:rFonts w:cs="Arial"/>
          <w:sz w:val="22"/>
          <w:szCs w:val="22"/>
          <w:lang w:val="en-NZ"/>
        </w:rPr>
        <w:t xml:space="preserve">. </w:t>
      </w:r>
      <w:r w:rsidR="009A2B8C">
        <w:rPr>
          <w:rFonts w:cs="Arial"/>
          <w:sz w:val="22"/>
          <w:szCs w:val="22"/>
          <w:lang w:val="en-NZ"/>
        </w:rPr>
        <w:t>The general rule guiding a court is that</w:t>
      </w:r>
      <w:r w:rsidR="004703E5" w:rsidRPr="004703E5">
        <w:rPr>
          <w:rFonts w:cs="Arial"/>
          <w:sz w:val="22"/>
          <w:szCs w:val="22"/>
          <w:lang w:val="en-NZ"/>
        </w:rPr>
        <w:t xml:space="preserve"> </w:t>
      </w:r>
      <w:r w:rsidR="004703E5">
        <w:rPr>
          <w:rFonts w:cs="Arial"/>
          <w:sz w:val="22"/>
          <w:szCs w:val="22"/>
          <w:lang w:val="en-NZ"/>
        </w:rPr>
        <w:t>before it has anyone detained,</w:t>
      </w:r>
      <w:r w:rsidR="009A2B8C">
        <w:rPr>
          <w:rFonts w:cs="Arial"/>
          <w:sz w:val="22"/>
          <w:szCs w:val="22"/>
          <w:lang w:val="en-NZ"/>
        </w:rPr>
        <w:t xml:space="preserve"> the police or prosecution must </w:t>
      </w:r>
      <w:r w:rsidR="009A2B8C" w:rsidRPr="000A1EE2">
        <w:rPr>
          <w:rFonts w:cs="Arial"/>
          <w:sz w:val="22"/>
          <w:szCs w:val="22"/>
          <w:lang w:val="en-NZ"/>
        </w:rPr>
        <w:t>satisfy the cour</w:t>
      </w:r>
      <w:r w:rsidR="004703E5">
        <w:rPr>
          <w:rFonts w:cs="Arial"/>
          <w:sz w:val="22"/>
          <w:szCs w:val="22"/>
          <w:lang w:val="en-NZ"/>
        </w:rPr>
        <w:t xml:space="preserve">t that there is just cause for the </w:t>
      </w:r>
      <w:r w:rsidR="009A2B8C" w:rsidRPr="000A1EE2">
        <w:rPr>
          <w:rFonts w:cs="Arial"/>
          <w:sz w:val="22"/>
          <w:szCs w:val="22"/>
          <w:lang w:val="en-NZ"/>
        </w:rPr>
        <w:t>detention</w:t>
      </w:r>
      <w:r w:rsidR="009B7702">
        <w:rPr>
          <w:rFonts w:cs="Arial"/>
          <w:sz w:val="22"/>
          <w:szCs w:val="22"/>
          <w:lang w:val="en-NZ"/>
        </w:rPr>
        <w:t>. The Bail Amenment Act changes</w:t>
      </w:r>
      <w:r w:rsidR="009A2B8C">
        <w:rPr>
          <w:rFonts w:cs="Arial"/>
          <w:sz w:val="22"/>
          <w:szCs w:val="22"/>
          <w:lang w:val="en-NZ"/>
        </w:rPr>
        <w:t xml:space="preserve"> this for bail hearings (with </w:t>
      </w:r>
      <w:r w:rsidR="00003EC5">
        <w:rPr>
          <w:rFonts w:cs="Arial"/>
          <w:sz w:val="22"/>
          <w:szCs w:val="22"/>
          <w:lang w:val="en-NZ"/>
        </w:rPr>
        <w:t xml:space="preserve">some </w:t>
      </w:r>
      <w:r w:rsidR="009A2B8C">
        <w:rPr>
          <w:rFonts w:cs="Arial"/>
          <w:sz w:val="22"/>
          <w:szCs w:val="22"/>
          <w:lang w:val="en-NZ"/>
        </w:rPr>
        <w:t>exceptions) and s</w:t>
      </w:r>
      <w:r w:rsidR="00FF17AC">
        <w:rPr>
          <w:rFonts w:cs="Arial"/>
          <w:sz w:val="22"/>
          <w:szCs w:val="22"/>
          <w:lang w:val="en-NZ"/>
        </w:rPr>
        <w:t>hifts</w:t>
      </w:r>
      <w:r w:rsidR="009A2B8C">
        <w:rPr>
          <w:rFonts w:cs="Arial"/>
          <w:sz w:val="22"/>
          <w:szCs w:val="22"/>
          <w:lang w:val="en-NZ"/>
        </w:rPr>
        <w:t xml:space="preserve"> the </w:t>
      </w:r>
      <w:r w:rsidR="009B7702">
        <w:rPr>
          <w:rFonts w:cs="Arial"/>
          <w:sz w:val="22"/>
          <w:szCs w:val="22"/>
          <w:lang w:val="en-NZ"/>
        </w:rPr>
        <w:t>‘</w:t>
      </w:r>
      <w:r w:rsidR="009A2B8C">
        <w:rPr>
          <w:rFonts w:cs="Arial"/>
          <w:sz w:val="22"/>
          <w:szCs w:val="22"/>
          <w:lang w:val="en-NZ"/>
        </w:rPr>
        <w:t>onus of proof</w:t>
      </w:r>
      <w:r w:rsidR="009B7702">
        <w:rPr>
          <w:rFonts w:cs="Arial"/>
          <w:sz w:val="22"/>
          <w:szCs w:val="22"/>
          <w:lang w:val="en-NZ"/>
        </w:rPr>
        <w:t>’</w:t>
      </w:r>
      <w:r w:rsidR="009A2B8C">
        <w:rPr>
          <w:rFonts w:cs="Arial"/>
          <w:sz w:val="22"/>
          <w:szCs w:val="22"/>
          <w:lang w:val="en-NZ"/>
        </w:rPr>
        <w:t xml:space="preserve"> to the defendant</w:t>
      </w:r>
      <w:r w:rsidR="009A2B8C" w:rsidRPr="000A1EE2">
        <w:rPr>
          <w:rFonts w:cs="Arial"/>
          <w:sz w:val="22"/>
          <w:szCs w:val="22"/>
          <w:lang w:val="en-NZ"/>
        </w:rPr>
        <w:t xml:space="preserve"> seeking bail</w:t>
      </w:r>
      <w:r w:rsidR="0097385E">
        <w:rPr>
          <w:rFonts w:cs="Arial"/>
          <w:sz w:val="22"/>
          <w:szCs w:val="22"/>
          <w:lang w:val="en-NZ"/>
        </w:rPr>
        <w:t>.</w:t>
      </w:r>
      <w:r w:rsidR="00EA0D15">
        <w:rPr>
          <w:rFonts w:cs="Arial"/>
          <w:sz w:val="22"/>
          <w:szCs w:val="22"/>
          <w:lang w:val="en-NZ"/>
        </w:rPr>
        <w:t xml:space="preserve"> That is a bit like saying some people are guilty until proven innocent. </w:t>
      </w:r>
    </w:p>
    <w:p w14:paraId="3922FA75" w14:textId="77777777" w:rsidR="009B7702" w:rsidRDefault="009B7702" w:rsidP="009A2B8C">
      <w:pPr>
        <w:rPr>
          <w:rFonts w:cs="Arial"/>
          <w:sz w:val="22"/>
          <w:szCs w:val="22"/>
          <w:lang w:val="en-NZ"/>
        </w:rPr>
      </w:pPr>
    </w:p>
    <w:p w14:paraId="2C50CD7D" w14:textId="1AC670E6" w:rsidR="00D954D1" w:rsidRDefault="009C7674" w:rsidP="009A2B8C">
      <w:pPr>
        <w:rPr>
          <w:rFonts w:cs="Arial"/>
          <w:sz w:val="22"/>
          <w:szCs w:val="22"/>
          <w:lang w:val="en-NZ"/>
        </w:rPr>
      </w:pPr>
      <w:r>
        <w:rPr>
          <w:rFonts w:cs="Arial"/>
          <w:sz w:val="22"/>
          <w:szCs w:val="22"/>
          <w:lang w:val="en-NZ"/>
        </w:rPr>
        <w:t>Reversing the effects of the Bail Amendment Act</w:t>
      </w:r>
      <w:r w:rsidR="00FF17AC">
        <w:rPr>
          <w:rFonts w:cs="Arial"/>
          <w:sz w:val="22"/>
          <w:szCs w:val="22"/>
          <w:lang w:val="en-NZ"/>
        </w:rPr>
        <w:t xml:space="preserve"> will </w:t>
      </w:r>
      <w:r w:rsidR="000B489B">
        <w:rPr>
          <w:rFonts w:cs="Arial"/>
          <w:sz w:val="22"/>
          <w:szCs w:val="22"/>
          <w:lang w:val="en-NZ"/>
        </w:rPr>
        <w:t xml:space="preserve">create a one-off reduction in </w:t>
      </w:r>
      <w:r w:rsidR="00FF17AC">
        <w:rPr>
          <w:rFonts w:cs="Arial"/>
          <w:sz w:val="22"/>
          <w:szCs w:val="22"/>
          <w:lang w:val="en-NZ"/>
        </w:rPr>
        <w:t>the</w:t>
      </w:r>
      <w:r w:rsidR="00317B1A">
        <w:rPr>
          <w:rFonts w:cs="Arial"/>
          <w:sz w:val="22"/>
          <w:szCs w:val="22"/>
          <w:lang w:val="en-NZ"/>
        </w:rPr>
        <w:t xml:space="preserve"> </w:t>
      </w:r>
      <w:r w:rsidR="00FF17AC">
        <w:rPr>
          <w:rFonts w:cs="Arial"/>
          <w:sz w:val="22"/>
          <w:szCs w:val="22"/>
          <w:lang w:val="en-NZ"/>
        </w:rPr>
        <w:t xml:space="preserve">prison population </w:t>
      </w:r>
      <w:r w:rsidR="00512506">
        <w:rPr>
          <w:rFonts w:cs="Arial"/>
          <w:sz w:val="22"/>
          <w:szCs w:val="22"/>
          <w:lang w:val="en-NZ"/>
        </w:rPr>
        <w:t xml:space="preserve">of </w:t>
      </w:r>
      <w:r w:rsidR="003F66F8">
        <w:rPr>
          <w:rFonts w:cs="Arial"/>
          <w:sz w:val="22"/>
          <w:szCs w:val="22"/>
          <w:lang w:val="en-NZ"/>
        </w:rPr>
        <w:t>about 1,500</w:t>
      </w:r>
      <w:r w:rsidR="000B489B">
        <w:rPr>
          <w:rFonts w:cs="Arial"/>
          <w:sz w:val="22"/>
          <w:szCs w:val="22"/>
          <w:lang w:val="en-NZ"/>
        </w:rPr>
        <w:t xml:space="preserve"> </w:t>
      </w:r>
      <w:r w:rsidR="00FF17AC">
        <w:rPr>
          <w:rFonts w:cs="Arial"/>
          <w:sz w:val="22"/>
          <w:szCs w:val="22"/>
          <w:lang w:val="en-NZ"/>
        </w:rPr>
        <w:t xml:space="preserve">but will not </w:t>
      </w:r>
      <w:r w:rsidR="000B489B">
        <w:rPr>
          <w:rFonts w:cs="Arial"/>
          <w:sz w:val="22"/>
          <w:szCs w:val="22"/>
          <w:lang w:val="en-NZ"/>
        </w:rPr>
        <w:t>alone stop the long term increasing trend</w:t>
      </w:r>
      <w:r w:rsidR="00D954D1">
        <w:rPr>
          <w:rFonts w:cs="Arial"/>
          <w:sz w:val="22"/>
          <w:szCs w:val="22"/>
          <w:lang w:val="en-NZ"/>
        </w:rPr>
        <w:t>.</w:t>
      </w:r>
    </w:p>
    <w:p w14:paraId="12056895" w14:textId="77777777" w:rsidR="00BD056B" w:rsidRDefault="00BD056B" w:rsidP="009A2B8C">
      <w:pPr>
        <w:rPr>
          <w:rFonts w:cs="Arial"/>
          <w:sz w:val="22"/>
          <w:szCs w:val="22"/>
          <w:lang w:val="en-NZ"/>
        </w:rPr>
      </w:pPr>
    </w:p>
    <w:p w14:paraId="275FA106" w14:textId="6C22C88C" w:rsidR="00FF17AC" w:rsidRPr="00BD056B" w:rsidRDefault="00164BD2" w:rsidP="009A2B8C">
      <w:pPr>
        <w:rPr>
          <w:rFonts w:asciiTheme="majorHAnsi" w:hAnsiTheme="majorHAnsi" w:cs="Arial"/>
          <w:b/>
          <w:sz w:val="22"/>
          <w:szCs w:val="22"/>
          <w:lang w:val="en-NZ"/>
        </w:rPr>
      </w:pPr>
      <w:r>
        <w:rPr>
          <w:rFonts w:asciiTheme="majorHAnsi" w:hAnsiTheme="majorHAnsi" w:cs="Arial"/>
          <w:b/>
          <w:sz w:val="22"/>
          <w:szCs w:val="22"/>
          <w:lang w:val="en-NZ"/>
        </w:rPr>
        <w:t>Invest more i</w:t>
      </w:r>
      <w:r w:rsidR="00282F65">
        <w:rPr>
          <w:rFonts w:asciiTheme="majorHAnsi" w:hAnsiTheme="majorHAnsi" w:cs="Arial"/>
          <w:b/>
          <w:sz w:val="22"/>
          <w:szCs w:val="22"/>
          <w:lang w:val="en-NZ"/>
        </w:rPr>
        <w:t>n parts of</w:t>
      </w:r>
      <w:r w:rsidR="0087340A">
        <w:rPr>
          <w:rFonts w:asciiTheme="majorHAnsi" w:hAnsiTheme="majorHAnsi" w:cs="Arial"/>
          <w:b/>
          <w:sz w:val="22"/>
          <w:szCs w:val="22"/>
          <w:lang w:val="en-NZ"/>
        </w:rPr>
        <w:t xml:space="preserve"> the criminal justice system</w:t>
      </w:r>
      <w:r w:rsidR="0087340A">
        <w:rPr>
          <w:rFonts w:cs="Arial"/>
          <w:sz w:val="22"/>
          <w:szCs w:val="22"/>
          <w:lang w:val="en-NZ"/>
        </w:rPr>
        <w:t xml:space="preserve"> </w:t>
      </w:r>
      <w:r w:rsidR="00282F65">
        <w:rPr>
          <w:rFonts w:asciiTheme="majorHAnsi" w:hAnsiTheme="majorHAnsi" w:cs="Arial"/>
          <w:b/>
          <w:sz w:val="22"/>
          <w:szCs w:val="22"/>
          <w:lang w:val="en-NZ"/>
        </w:rPr>
        <w:t>that are</w:t>
      </w:r>
      <w:r>
        <w:rPr>
          <w:rFonts w:asciiTheme="majorHAnsi" w:hAnsiTheme="majorHAnsi" w:cs="Arial"/>
          <w:b/>
          <w:sz w:val="22"/>
          <w:szCs w:val="22"/>
          <w:lang w:val="en-NZ"/>
        </w:rPr>
        <w:t xml:space="preserve"> known to </w:t>
      </w:r>
      <w:r w:rsidR="00BD056B" w:rsidRPr="00BD056B">
        <w:rPr>
          <w:rFonts w:asciiTheme="majorHAnsi" w:hAnsiTheme="majorHAnsi" w:cs="Arial"/>
          <w:b/>
          <w:sz w:val="22"/>
          <w:szCs w:val="22"/>
          <w:lang w:val="en-NZ"/>
        </w:rPr>
        <w:t>work</w:t>
      </w:r>
      <w:r>
        <w:rPr>
          <w:rFonts w:asciiTheme="majorHAnsi" w:hAnsiTheme="majorHAnsi" w:cs="Arial"/>
          <w:b/>
          <w:sz w:val="22"/>
          <w:szCs w:val="22"/>
          <w:lang w:val="en-NZ"/>
        </w:rPr>
        <w:t xml:space="preserve"> </w:t>
      </w:r>
    </w:p>
    <w:p w14:paraId="5150D830" w14:textId="77777777" w:rsidR="000B489B" w:rsidRDefault="000B489B" w:rsidP="009A2B8C">
      <w:pPr>
        <w:rPr>
          <w:rFonts w:cs="Arial"/>
          <w:sz w:val="22"/>
          <w:szCs w:val="22"/>
          <w:lang w:val="en-NZ"/>
        </w:rPr>
      </w:pPr>
    </w:p>
    <w:p w14:paraId="0DEF2DAD" w14:textId="7F8CA006" w:rsidR="009B7702" w:rsidRPr="00782419" w:rsidRDefault="00060BD7" w:rsidP="009A2B8C">
      <w:pPr>
        <w:rPr>
          <w:rFonts w:cs="Arial"/>
          <w:sz w:val="22"/>
          <w:szCs w:val="22"/>
          <w:lang w:val="en-NZ"/>
        </w:rPr>
      </w:pPr>
      <w:r>
        <w:rPr>
          <w:rFonts w:cs="Arial"/>
          <w:sz w:val="22"/>
          <w:szCs w:val="22"/>
          <w:lang w:val="en-NZ"/>
        </w:rPr>
        <w:t>S</w:t>
      </w:r>
      <w:r w:rsidR="00FF17AC">
        <w:rPr>
          <w:rFonts w:cs="Arial"/>
          <w:sz w:val="22"/>
          <w:szCs w:val="22"/>
          <w:lang w:val="en-NZ"/>
        </w:rPr>
        <w:t>avings</w:t>
      </w:r>
      <w:r w:rsidR="00E3515F">
        <w:rPr>
          <w:rFonts w:cs="Arial"/>
          <w:sz w:val="22"/>
          <w:szCs w:val="22"/>
          <w:lang w:val="en-NZ"/>
        </w:rPr>
        <w:t xml:space="preserve"> </w:t>
      </w:r>
      <w:r>
        <w:rPr>
          <w:rFonts w:cs="Arial"/>
          <w:sz w:val="22"/>
          <w:szCs w:val="22"/>
          <w:lang w:val="en-NZ"/>
        </w:rPr>
        <w:t xml:space="preserve">made </w:t>
      </w:r>
      <w:r w:rsidR="00E3515F">
        <w:rPr>
          <w:rFonts w:cs="Arial"/>
          <w:sz w:val="22"/>
          <w:szCs w:val="22"/>
          <w:lang w:val="en-NZ"/>
        </w:rPr>
        <w:t xml:space="preserve">by reducing the remand prison population (the average cost </w:t>
      </w:r>
      <w:r w:rsidR="00FB51E2">
        <w:rPr>
          <w:rFonts w:cs="Arial"/>
          <w:sz w:val="22"/>
          <w:szCs w:val="22"/>
          <w:lang w:val="en-NZ"/>
        </w:rPr>
        <w:t xml:space="preserve">of a remand prisoner </w:t>
      </w:r>
      <w:r w:rsidR="00E3515F">
        <w:rPr>
          <w:rFonts w:cs="Arial"/>
          <w:sz w:val="22"/>
          <w:szCs w:val="22"/>
          <w:lang w:val="en-NZ"/>
        </w:rPr>
        <w:t>is</w:t>
      </w:r>
      <w:r w:rsidR="00B06CA3">
        <w:rPr>
          <w:rFonts w:cs="Arial"/>
          <w:sz w:val="22"/>
          <w:szCs w:val="22"/>
          <w:lang w:val="en-NZ"/>
        </w:rPr>
        <w:t xml:space="preserve"> currently about</w:t>
      </w:r>
      <w:r w:rsidR="00E3515F">
        <w:rPr>
          <w:rFonts w:cs="Arial"/>
          <w:sz w:val="22"/>
          <w:szCs w:val="22"/>
          <w:lang w:val="en-NZ"/>
        </w:rPr>
        <w:t xml:space="preserve"> $</w:t>
      </w:r>
      <w:r w:rsidR="00FB51E2">
        <w:rPr>
          <w:rFonts w:cs="Arial"/>
          <w:sz w:val="22"/>
          <w:szCs w:val="22"/>
          <w:lang w:val="en-NZ"/>
        </w:rPr>
        <w:t>87,000 a year, or $239.00 a day</w:t>
      </w:r>
      <w:r w:rsidR="00835987">
        <w:rPr>
          <w:rStyle w:val="FootnoteReference"/>
          <w:rFonts w:cs="Arial"/>
          <w:sz w:val="22"/>
          <w:szCs w:val="22"/>
          <w:lang w:val="en-NZ"/>
        </w:rPr>
        <w:footnoteReference w:id="16"/>
      </w:r>
      <w:r w:rsidR="00E3515F">
        <w:rPr>
          <w:rFonts w:cs="Arial"/>
          <w:sz w:val="22"/>
          <w:szCs w:val="22"/>
          <w:lang w:val="en-NZ"/>
        </w:rPr>
        <w:t>)</w:t>
      </w:r>
      <w:r>
        <w:rPr>
          <w:rFonts w:cs="Arial"/>
          <w:sz w:val="22"/>
          <w:szCs w:val="22"/>
          <w:lang w:val="en-NZ"/>
        </w:rPr>
        <w:t xml:space="preserve"> can be</w:t>
      </w:r>
      <w:r w:rsidR="009B7702">
        <w:rPr>
          <w:rFonts w:cs="Arial"/>
          <w:sz w:val="22"/>
          <w:szCs w:val="22"/>
          <w:lang w:val="en-NZ"/>
        </w:rPr>
        <w:t xml:space="preserve"> </w:t>
      </w:r>
      <w:r w:rsidR="000B489B">
        <w:rPr>
          <w:rFonts w:cs="Arial"/>
          <w:sz w:val="22"/>
          <w:szCs w:val="22"/>
          <w:lang w:val="en-NZ"/>
        </w:rPr>
        <w:t>re</w:t>
      </w:r>
      <w:r w:rsidR="009B7702">
        <w:rPr>
          <w:rFonts w:cs="Arial"/>
          <w:sz w:val="22"/>
          <w:szCs w:val="22"/>
          <w:lang w:val="en-NZ"/>
        </w:rPr>
        <w:t>invest</w:t>
      </w:r>
      <w:r>
        <w:rPr>
          <w:rFonts w:cs="Arial"/>
          <w:sz w:val="22"/>
          <w:szCs w:val="22"/>
          <w:lang w:val="en-NZ"/>
        </w:rPr>
        <w:t>ed</w:t>
      </w:r>
      <w:r w:rsidR="00317B1A">
        <w:rPr>
          <w:rFonts w:cs="Arial"/>
          <w:sz w:val="22"/>
          <w:szCs w:val="22"/>
          <w:lang w:val="en-NZ"/>
        </w:rPr>
        <w:t xml:space="preserve"> </w:t>
      </w:r>
      <w:r w:rsidR="009B7702">
        <w:rPr>
          <w:rFonts w:cs="Arial"/>
          <w:sz w:val="22"/>
          <w:szCs w:val="22"/>
          <w:lang w:val="en-NZ"/>
        </w:rPr>
        <w:t xml:space="preserve">in parts of the </w:t>
      </w:r>
      <w:r w:rsidR="00317B1A">
        <w:rPr>
          <w:rFonts w:cs="Arial"/>
          <w:sz w:val="22"/>
          <w:szCs w:val="22"/>
          <w:lang w:val="en-NZ"/>
        </w:rPr>
        <w:t xml:space="preserve">present </w:t>
      </w:r>
      <w:r w:rsidR="009B7702">
        <w:rPr>
          <w:rFonts w:cs="Arial"/>
          <w:sz w:val="22"/>
          <w:szCs w:val="22"/>
          <w:lang w:val="en-NZ"/>
        </w:rPr>
        <w:t>criminal justice system that are known to work.</w:t>
      </w:r>
      <w:r w:rsidR="000E10B2">
        <w:rPr>
          <w:rFonts w:cs="Arial"/>
          <w:sz w:val="22"/>
          <w:szCs w:val="22"/>
          <w:lang w:val="en-NZ"/>
        </w:rPr>
        <w:t xml:space="preserve"> This will allow us to invest in kickstarting a ‘virtuous circle’ of reduced crime, reduced prison numbers and reduced costs. </w:t>
      </w:r>
    </w:p>
    <w:p w14:paraId="5E27416B" w14:textId="77777777" w:rsidR="00B859B7" w:rsidRPr="00EF268B" w:rsidRDefault="00B859B7" w:rsidP="00B859B7">
      <w:pPr>
        <w:spacing w:before="20" w:after="80"/>
        <w:rPr>
          <w:rFonts w:ascii="Arial Narrow" w:hAnsi="Arial Narrow" w:cs="Arial"/>
          <w:sz w:val="22"/>
          <w:szCs w:val="22"/>
        </w:rPr>
      </w:pPr>
    </w:p>
    <w:p w14:paraId="3C7CA81C" w14:textId="1BBE1F46" w:rsidR="00B859B7" w:rsidRDefault="009B7702" w:rsidP="00B859B7">
      <w:pPr>
        <w:spacing w:before="20" w:after="80"/>
        <w:rPr>
          <w:rFonts w:ascii="Arial" w:hAnsi="Arial" w:cs="Arial"/>
          <w:sz w:val="22"/>
          <w:szCs w:val="22"/>
        </w:rPr>
      </w:pPr>
      <w:r>
        <w:rPr>
          <w:rFonts w:ascii="Arial" w:hAnsi="Arial" w:cs="Arial"/>
          <w:sz w:val="22"/>
          <w:szCs w:val="22"/>
        </w:rPr>
        <w:t xml:space="preserve">2. </w:t>
      </w:r>
      <w:r w:rsidR="00B859B7" w:rsidRPr="00B859B7">
        <w:rPr>
          <w:rFonts w:ascii="Arial" w:hAnsi="Arial" w:cs="Arial"/>
          <w:sz w:val="22"/>
          <w:szCs w:val="22"/>
        </w:rPr>
        <w:t>Raise the Youth Court age</w:t>
      </w:r>
      <w:r w:rsidR="0092318E">
        <w:rPr>
          <w:rFonts w:ascii="Arial" w:hAnsi="Arial" w:cs="Arial"/>
          <w:sz w:val="22"/>
          <w:szCs w:val="22"/>
        </w:rPr>
        <w:t xml:space="preserve"> from 17 to 20</w:t>
      </w:r>
      <w:r w:rsidR="00B859B7" w:rsidRPr="00B859B7">
        <w:rPr>
          <w:rFonts w:ascii="Arial" w:hAnsi="Arial" w:cs="Arial"/>
          <w:sz w:val="22"/>
          <w:szCs w:val="22"/>
        </w:rPr>
        <w:t xml:space="preserve"> so that young people 14 to 19 years of age go before the Youth Court. </w:t>
      </w:r>
    </w:p>
    <w:p w14:paraId="67C292B3" w14:textId="77777777" w:rsidR="009B7702" w:rsidRDefault="009B7702" w:rsidP="00953A36">
      <w:pPr>
        <w:rPr>
          <w:sz w:val="22"/>
          <w:szCs w:val="22"/>
        </w:rPr>
      </w:pPr>
    </w:p>
    <w:p w14:paraId="0E6B16AA" w14:textId="55FAA8D8" w:rsidR="003A04A3" w:rsidRDefault="00B23E28" w:rsidP="003A04A3">
      <w:pPr>
        <w:rPr>
          <w:sz w:val="22"/>
          <w:szCs w:val="22"/>
        </w:rPr>
      </w:pPr>
      <w:r>
        <w:rPr>
          <w:sz w:val="22"/>
          <w:szCs w:val="22"/>
        </w:rPr>
        <w:t xml:space="preserve">The Youth Court works. </w:t>
      </w:r>
      <w:r w:rsidR="003A04A3" w:rsidRPr="002B3FE5">
        <w:rPr>
          <w:sz w:val="22"/>
          <w:szCs w:val="22"/>
        </w:rPr>
        <w:t>Since 2011,</w:t>
      </w:r>
      <w:r w:rsidR="003A04A3" w:rsidRPr="00AF2E40">
        <w:rPr>
          <w:sz w:val="22"/>
          <w:szCs w:val="22"/>
        </w:rPr>
        <w:t xml:space="preserve"> </w:t>
      </w:r>
      <w:r>
        <w:rPr>
          <w:sz w:val="22"/>
          <w:szCs w:val="22"/>
        </w:rPr>
        <w:t>it has overseen a</w:t>
      </w:r>
      <w:r w:rsidR="003A04A3" w:rsidRPr="002B3FE5">
        <w:rPr>
          <w:sz w:val="22"/>
          <w:szCs w:val="22"/>
        </w:rPr>
        <w:t xml:space="preserve"> reduction in youth offending</w:t>
      </w:r>
      <w:r>
        <w:rPr>
          <w:sz w:val="22"/>
          <w:szCs w:val="22"/>
        </w:rPr>
        <w:t xml:space="preserve"> of</w:t>
      </w:r>
      <w:r w:rsidR="003A04A3" w:rsidRPr="002B3FE5">
        <w:rPr>
          <w:sz w:val="22"/>
          <w:szCs w:val="22"/>
        </w:rPr>
        <w:t xml:space="preserve"> 48%.</w:t>
      </w:r>
      <w:r w:rsidR="003A04A3" w:rsidRPr="002B3FE5">
        <w:rPr>
          <w:sz w:val="22"/>
          <w:szCs w:val="22"/>
          <w:vertAlign w:val="superscript"/>
        </w:rPr>
        <w:footnoteReference w:id="17"/>
      </w:r>
      <w:r w:rsidR="003A04A3" w:rsidRPr="002B3FE5">
        <w:rPr>
          <w:sz w:val="22"/>
          <w:szCs w:val="22"/>
        </w:rPr>
        <w:t xml:space="preserve"> </w:t>
      </w:r>
      <w:r w:rsidR="000E10B2">
        <w:rPr>
          <w:sz w:val="22"/>
          <w:szCs w:val="22"/>
        </w:rPr>
        <w:t xml:space="preserve">Compare this with the record of prison – which sees </w:t>
      </w:r>
      <w:r w:rsidR="00D37478">
        <w:rPr>
          <w:sz w:val="22"/>
          <w:szCs w:val="22"/>
        </w:rPr>
        <w:t>over 85</w:t>
      </w:r>
      <w:r w:rsidR="000E10B2">
        <w:rPr>
          <w:sz w:val="22"/>
          <w:szCs w:val="22"/>
        </w:rPr>
        <w:t xml:space="preserve">% of people under 20 reoffend within 5 years. </w:t>
      </w:r>
    </w:p>
    <w:p w14:paraId="61DFBA06" w14:textId="77777777" w:rsidR="0042472D" w:rsidRDefault="0042472D" w:rsidP="003A04A3">
      <w:pPr>
        <w:rPr>
          <w:sz w:val="22"/>
          <w:szCs w:val="22"/>
        </w:rPr>
      </w:pPr>
    </w:p>
    <w:p w14:paraId="5EF05CA8" w14:textId="3BC64F0B" w:rsidR="0042472D" w:rsidRPr="002B3FE5" w:rsidRDefault="0042472D" w:rsidP="003A04A3">
      <w:pPr>
        <w:rPr>
          <w:sz w:val="22"/>
          <w:szCs w:val="22"/>
        </w:rPr>
      </w:pPr>
      <w:r>
        <w:rPr>
          <w:sz w:val="22"/>
          <w:szCs w:val="22"/>
        </w:rPr>
        <w:t>The Youth Court is the</w:t>
      </w:r>
      <w:r w:rsidRPr="00EE0F52">
        <w:rPr>
          <w:sz w:val="22"/>
          <w:szCs w:val="22"/>
        </w:rPr>
        <w:t xml:space="preserve"> part of the District Court that deals with young</w:t>
      </w:r>
      <w:r>
        <w:rPr>
          <w:sz w:val="22"/>
          <w:szCs w:val="22"/>
        </w:rPr>
        <w:t xml:space="preserve"> people aged 14, 15 and 16. </w:t>
      </w:r>
      <w:r w:rsidR="00703EAF">
        <w:rPr>
          <w:sz w:val="22"/>
          <w:szCs w:val="22"/>
        </w:rPr>
        <w:t>(</w:t>
      </w:r>
      <w:r>
        <w:rPr>
          <w:sz w:val="22"/>
          <w:szCs w:val="22"/>
        </w:rPr>
        <w:t>There are</w:t>
      </w:r>
      <w:r w:rsidR="00703EAF">
        <w:rPr>
          <w:sz w:val="22"/>
          <w:szCs w:val="22"/>
        </w:rPr>
        <w:t>, however,</w:t>
      </w:r>
      <w:r w:rsidRPr="00EE0F52">
        <w:rPr>
          <w:sz w:val="22"/>
          <w:szCs w:val="22"/>
        </w:rPr>
        <w:t xml:space="preserve"> exceptions</w:t>
      </w:r>
      <w:r w:rsidR="00703EAF">
        <w:rPr>
          <w:sz w:val="22"/>
          <w:szCs w:val="22"/>
        </w:rPr>
        <w:t xml:space="preserve"> when</w:t>
      </w:r>
      <w:r>
        <w:rPr>
          <w:sz w:val="22"/>
          <w:szCs w:val="22"/>
        </w:rPr>
        <w:t xml:space="preserve"> the Youth Court transfers the young person to the District Court</w:t>
      </w:r>
      <w:r w:rsidRPr="00EE0F52">
        <w:rPr>
          <w:sz w:val="22"/>
          <w:szCs w:val="22"/>
        </w:rPr>
        <w:t>.</w:t>
      </w:r>
      <w:r w:rsidR="00703EAF">
        <w:rPr>
          <w:sz w:val="22"/>
          <w:szCs w:val="22"/>
        </w:rPr>
        <w:t>)</w:t>
      </w:r>
      <w:r>
        <w:rPr>
          <w:sz w:val="22"/>
          <w:szCs w:val="22"/>
        </w:rPr>
        <w:t xml:space="preserve"> </w:t>
      </w:r>
      <w:r w:rsidRPr="00EE0F52">
        <w:rPr>
          <w:sz w:val="22"/>
          <w:szCs w:val="22"/>
        </w:rPr>
        <w:t>Included in th</w:t>
      </w:r>
      <w:r>
        <w:rPr>
          <w:sz w:val="22"/>
          <w:szCs w:val="22"/>
        </w:rPr>
        <w:t>e Youth Court</w:t>
      </w:r>
      <w:r w:rsidRPr="00EE0F52">
        <w:rPr>
          <w:sz w:val="22"/>
          <w:szCs w:val="22"/>
        </w:rPr>
        <w:t xml:space="preserve"> are </w:t>
      </w:r>
      <w:proofErr w:type="spellStart"/>
      <w:r w:rsidRPr="00EE0F52">
        <w:rPr>
          <w:sz w:val="22"/>
          <w:szCs w:val="22"/>
        </w:rPr>
        <w:t>Rangatahi</w:t>
      </w:r>
      <w:proofErr w:type="spellEnd"/>
      <w:r w:rsidRPr="00EE0F52">
        <w:rPr>
          <w:sz w:val="22"/>
          <w:szCs w:val="22"/>
        </w:rPr>
        <w:t xml:space="preserve"> Courts and </w:t>
      </w:r>
      <w:proofErr w:type="spellStart"/>
      <w:r w:rsidRPr="00EE0F52">
        <w:rPr>
          <w:sz w:val="22"/>
          <w:szCs w:val="22"/>
        </w:rPr>
        <w:t>Pasifika</w:t>
      </w:r>
      <w:proofErr w:type="spellEnd"/>
      <w:r w:rsidRPr="00EE0F52">
        <w:rPr>
          <w:sz w:val="22"/>
          <w:szCs w:val="22"/>
        </w:rPr>
        <w:t xml:space="preserve"> Courts, which </w:t>
      </w:r>
      <w:proofErr w:type="spellStart"/>
      <w:r w:rsidR="000E10B2">
        <w:rPr>
          <w:sz w:val="22"/>
          <w:szCs w:val="22"/>
        </w:rPr>
        <w:t>utilise</w:t>
      </w:r>
      <w:proofErr w:type="spellEnd"/>
      <w:r w:rsidR="000E10B2" w:rsidRPr="00EE0F52">
        <w:rPr>
          <w:sz w:val="22"/>
          <w:szCs w:val="22"/>
        </w:rPr>
        <w:t xml:space="preserve"> </w:t>
      </w:r>
      <w:r w:rsidRPr="00EE0F52">
        <w:rPr>
          <w:sz w:val="22"/>
          <w:szCs w:val="22"/>
        </w:rPr>
        <w:t xml:space="preserve">Maori and </w:t>
      </w:r>
      <w:proofErr w:type="spellStart"/>
      <w:r w:rsidRPr="00EE0F52">
        <w:rPr>
          <w:sz w:val="22"/>
          <w:szCs w:val="22"/>
        </w:rPr>
        <w:t>Pa</w:t>
      </w:r>
      <w:r w:rsidR="000B489B">
        <w:rPr>
          <w:sz w:val="22"/>
          <w:szCs w:val="22"/>
        </w:rPr>
        <w:t>s</w:t>
      </w:r>
      <w:r w:rsidRPr="00EE0F52">
        <w:rPr>
          <w:sz w:val="22"/>
          <w:szCs w:val="22"/>
        </w:rPr>
        <w:t>ifika</w:t>
      </w:r>
      <w:proofErr w:type="spellEnd"/>
      <w:r w:rsidRPr="00EE0F52">
        <w:rPr>
          <w:sz w:val="22"/>
          <w:szCs w:val="22"/>
        </w:rPr>
        <w:t xml:space="preserve"> c</w:t>
      </w:r>
      <w:r>
        <w:rPr>
          <w:sz w:val="22"/>
          <w:szCs w:val="22"/>
        </w:rPr>
        <w:t>ultural processes respectively</w:t>
      </w:r>
      <w:r w:rsidR="00703EAF">
        <w:rPr>
          <w:sz w:val="22"/>
          <w:szCs w:val="22"/>
        </w:rPr>
        <w:t>.</w:t>
      </w:r>
      <w:r w:rsidRPr="00EE0F52">
        <w:rPr>
          <w:sz w:val="22"/>
          <w:szCs w:val="22"/>
        </w:rPr>
        <w:t xml:space="preserve"> </w:t>
      </w:r>
    </w:p>
    <w:p w14:paraId="65309A22" w14:textId="77777777" w:rsidR="003A04A3" w:rsidRDefault="003A04A3" w:rsidP="00953A36">
      <w:pPr>
        <w:rPr>
          <w:sz w:val="22"/>
          <w:szCs w:val="22"/>
        </w:rPr>
      </w:pPr>
    </w:p>
    <w:p w14:paraId="2E194C4C" w14:textId="040BDAD0" w:rsidR="00953A36" w:rsidRDefault="00863E90" w:rsidP="00953A36">
      <w:pPr>
        <w:rPr>
          <w:sz w:val="22"/>
          <w:szCs w:val="22"/>
        </w:rPr>
      </w:pPr>
      <w:r>
        <w:rPr>
          <w:sz w:val="22"/>
          <w:szCs w:val="22"/>
        </w:rPr>
        <w:t>At present, a</w:t>
      </w:r>
      <w:r w:rsidRPr="00EE0F52">
        <w:rPr>
          <w:sz w:val="22"/>
          <w:szCs w:val="22"/>
        </w:rPr>
        <w:t xml:space="preserve"> </w:t>
      </w:r>
      <w:r>
        <w:rPr>
          <w:sz w:val="22"/>
          <w:szCs w:val="22"/>
        </w:rPr>
        <w:t>young person 17-</w:t>
      </w:r>
      <w:r w:rsidRPr="00EE0F52">
        <w:rPr>
          <w:sz w:val="22"/>
          <w:szCs w:val="22"/>
        </w:rPr>
        <w:t xml:space="preserve">years or older is dealt with as an adult in a District Court or the High Court. </w:t>
      </w:r>
      <w:r w:rsidR="006F19F5">
        <w:rPr>
          <w:sz w:val="22"/>
          <w:szCs w:val="22"/>
        </w:rPr>
        <w:t>We want to</w:t>
      </w:r>
      <w:r w:rsidR="003A04A3">
        <w:rPr>
          <w:sz w:val="22"/>
          <w:szCs w:val="22"/>
        </w:rPr>
        <w:t xml:space="preserve"> </w:t>
      </w:r>
      <w:r w:rsidR="00953A36">
        <w:rPr>
          <w:sz w:val="22"/>
          <w:szCs w:val="22"/>
        </w:rPr>
        <w:t>apply the same Yo</w:t>
      </w:r>
      <w:r w:rsidR="00AF2E40">
        <w:rPr>
          <w:sz w:val="22"/>
          <w:szCs w:val="22"/>
        </w:rPr>
        <w:t>uth Court</w:t>
      </w:r>
      <w:r w:rsidR="002C1648">
        <w:rPr>
          <w:sz w:val="22"/>
          <w:szCs w:val="22"/>
        </w:rPr>
        <w:t xml:space="preserve"> regime to young people</w:t>
      </w:r>
      <w:r w:rsidR="00953A36">
        <w:rPr>
          <w:sz w:val="22"/>
          <w:szCs w:val="22"/>
        </w:rPr>
        <w:t xml:space="preserve"> aged 17 to 19</w:t>
      </w:r>
      <w:r w:rsidR="00AF2E40">
        <w:rPr>
          <w:sz w:val="22"/>
          <w:szCs w:val="22"/>
        </w:rPr>
        <w:t>-years of age</w:t>
      </w:r>
      <w:r w:rsidR="00104727">
        <w:rPr>
          <w:sz w:val="22"/>
          <w:szCs w:val="22"/>
        </w:rPr>
        <w:t xml:space="preserve"> that is now</w:t>
      </w:r>
      <w:r w:rsidR="00953A36">
        <w:rPr>
          <w:sz w:val="22"/>
          <w:szCs w:val="22"/>
        </w:rPr>
        <w:t xml:space="preserve"> ap</w:t>
      </w:r>
      <w:r w:rsidR="00AF2E40">
        <w:rPr>
          <w:sz w:val="22"/>
          <w:szCs w:val="22"/>
        </w:rPr>
        <w:t>plied to 14 to 16-</w:t>
      </w:r>
      <w:r w:rsidR="00953A36">
        <w:rPr>
          <w:sz w:val="22"/>
          <w:szCs w:val="22"/>
        </w:rPr>
        <w:t>year olds.</w:t>
      </w:r>
      <w:r>
        <w:rPr>
          <w:sz w:val="22"/>
          <w:szCs w:val="22"/>
        </w:rPr>
        <w:t xml:space="preserve"> </w:t>
      </w:r>
    </w:p>
    <w:p w14:paraId="47C7381E" w14:textId="77777777" w:rsidR="000729B9" w:rsidRPr="002B3FE5" w:rsidRDefault="000729B9" w:rsidP="000729B9">
      <w:pPr>
        <w:rPr>
          <w:sz w:val="22"/>
          <w:szCs w:val="22"/>
        </w:rPr>
      </w:pPr>
    </w:p>
    <w:p w14:paraId="40C0A772" w14:textId="3932C927" w:rsidR="000729B9" w:rsidRDefault="000729B9" w:rsidP="000729B9">
      <w:pPr>
        <w:rPr>
          <w:sz w:val="22"/>
          <w:szCs w:val="22"/>
        </w:rPr>
      </w:pPr>
      <w:r w:rsidRPr="002B3FE5">
        <w:rPr>
          <w:sz w:val="22"/>
          <w:szCs w:val="22"/>
        </w:rPr>
        <w:t>Youth Court interventions are more concerned to rehabilitate rather than punish. There is every reason to extend this approach to young people under 20 – the</w:t>
      </w:r>
      <w:r>
        <w:rPr>
          <w:sz w:val="22"/>
          <w:szCs w:val="22"/>
        </w:rPr>
        <w:t>i</w:t>
      </w:r>
      <w:r w:rsidRPr="002B3FE5">
        <w:rPr>
          <w:sz w:val="22"/>
          <w:szCs w:val="22"/>
        </w:rPr>
        <w:t>r brains are</w:t>
      </w:r>
      <w:r w:rsidR="00D7585D">
        <w:rPr>
          <w:sz w:val="22"/>
          <w:szCs w:val="22"/>
        </w:rPr>
        <w:t xml:space="preserve"> still developing and </w:t>
      </w:r>
      <w:r w:rsidR="007B7A24">
        <w:rPr>
          <w:sz w:val="22"/>
          <w:szCs w:val="22"/>
        </w:rPr>
        <w:t>they respond</w:t>
      </w:r>
      <w:r w:rsidRPr="002B3FE5">
        <w:rPr>
          <w:sz w:val="22"/>
          <w:szCs w:val="22"/>
        </w:rPr>
        <w:t xml:space="preserve"> to </w:t>
      </w:r>
      <w:r w:rsidR="00D7585D">
        <w:rPr>
          <w:sz w:val="22"/>
          <w:szCs w:val="22"/>
        </w:rPr>
        <w:t xml:space="preserve">good </w:t>
      </w:r>
      <w:r w:rsidRPr="002B3FE5">
        <w:rPr>
          <w:sz w:val="22"/>
          <w:szCs w:val="22"/>
        </w:rPr>
        <w:t>rehabilitative interventions</w:t>
      </w:r>
      <w:r>
        <w:rPr>
          <w:sz w:val="22"/>
          <w:szCs w:val="22"/>
        </w:rPr>
        <w:t>.</w:t>
      </w:r>
      <w:r w:rsidRPr="002B3FE5">
        <w:rPr>
          <w:sz w:val="22"/>
          <w:szCs w:val="22"/>
        </w:rPr>
        <w:t xml:space="preserve"> </w:t>
      </w:r>
      <w:r>
        <w:rPr>
          <w:sz w:val="22"/>
          <w:szCs w:val="22"/>
        </w:rPr>
        <w:t xml:space="preserve"> </w:t>
      </w:r>
    </w:p>
    <w:p w14:paraId="39E4A45E" w14:textId="77777777" w:rsidR="000729B9" w:rsidRDefault="000729B9" w:rsidP="000729B9">
      <w:pPr>
        <w:rPr>
          <w:sz w:val="22"/>
          <w:szCs w:val="22"/>
        </w:rPr>
      </w:pPr>
    </w:p>
    <w:p w14:paraId="1BEA39A0" w14:textId="596ACEEA" w:rsidR="000729B9" w:rsidRDefault="003A04A3" w:rsidP="000729B9">
      <w:pPr>
        <w:rPr>
          <w:sz w:val="22"/>
          <w:szCs w:val="22"/>
        </w:rPr>
      </w:pPr>
      <w:r>
        <w:rPr>
          <w:sz w:val="22"/>
          <w:szCs w:val="22"/>
        </w:rPr>
        <w:t>A</w:t>
      </w:r>
      <w:r w:rsidR="000729B9">
        <w:rPr>
          <w:sz w:val="22"/>
          <w:szCs w:val="22"/>
        </w:rPr>
        <w:t>s a rule, interventions at a younger age work better and cost less than interventions at an older age while having higher expected benefits if only because the benefits last longer than for older people, as do the costs</w:t>
      </w:r>
      <w:r w:rsidR="00DA4B14">
        <w:rPr>
          <w:sz w:val="22"/>
          <w:szCs w:val="22"/>
        </w:rPr>
        <w:t xml:space="preserve"> if problems are not effectively addressed</w:t>
      </w:r>
      <w:r w:rsidR="000729B9">
        <w:rPr>
          <w:sz w:val="22"/>
          <w:szCs w:val="22"/>
        </w:rPr>
        <w:t>.</w:t>
      </w:r>
    </w:p>
    <w:p w14:paraId="08236C69" w14:textId="77777777" w:rsidR="00B859B7" w:rsidRPr="00B859B7" w:rsidRDefault="00B859B7" w:rsidP="00B859B7">
      <w:pPr>
        <w:spacing w:before="20" w:after="80"/>
        <w:rPr>
          <w:rFonts w:ascii="Arial" w:hAnsi="Arial" w:cs="Arial"/>
          <w:sz w:val="22"/>
          <w:szCs w:val="22"/>
        </w:rPr>
      </w:pPr>
    </w:p>
    <w:p w14:paraId="154A1FC7" w14:textId="5BCBE96F" w:rsidR="00B859B7" w:rsidRDefault="00B207D5" w:rsidP="00B859B7">
      <w:pPr>
        <w:spacing w:before="20" w:after="80"/>
        <w:rPr>
          <w:rFonts w:ascii="Arial" w:hAnsi="Arial" w:cs="Arial"/>
          <w:sz w:val="22"/>
          <w:szCs w:val="22"/>
        </w:rPr>
      </w:pPr>
      <w:r>
        <w:rPr>
          <w:rFonts w:ascii="Arial" w:hAnsi="Arial" w:cs="Arial"/>
          <w:sz w:val="22"/>
          <w:szCs w:val="22"/>
        </w:rPr>
        <w:t xml:space="preserve">3. </w:t>
      </w:r>
      <w:bookmarkStart w:id="1" w:name="_Hlk489002956"/>
      <w:r w:rsidR="00B859B7" w:rsidRPr="00B859B7">
        <w:rPr>
          <w:rFonts w:ascii="Arial" w:hAnsi="Arial" w:cs="Arial"/>
          <w:sz w:val="22"/>
          <w:szCs w:val="22"/>
        </w:rPr>
        <w:t>Increase the number of Alcohol and Other Drug Treatme</w:t>
      </w:r>
      <w:r w:rsidR="006B4727">
        <w:rPr>
          <w:rFonts w:ascii="Arial" w:hAnsi="Arial" w:cs="Arial"/>
          <w:sz w:val="22"/>
          <w:szCs w:val="22"/>
        </w:rPr>
        <w:t>nt Courts (AODT</w:t>
      </w:r>
      <w:r w:rsidR="00A71062">
        <w:rPr>
          <w:rFonts w:ascii="Arial" w:hAnsi="Arial" w:cs="Arial"/>
          <w:sz w:val="22"/>
          <w:szCs w:val="22"/>
        </w:rPr>
        <w:t xml:space="preserve"> ‘drug’</w:t>
      </w:r>
      <w:r w:rsidR="003B22CF">
        <w:rPr>
          <w:rFonts w:ascii="Arial" w:hAnsi="Arial" w:cs="Arial"/>
          <w:sz w:val="22"/>
          <w:szCs w:val="22"/>
        </w:rPr>
        <w:t xml:space="preserve"> Courts)</w:t>
      </w:r>
      <w:bookmarkEnd w:id="1"/>
      <w:r w:rsidR="00B859B7" w:rsidRPr="00B859B7">
        <w:rPr>
          <w:rFonts w:ascii="Arial" w:hAnsi="Arial" w:cs="Arial"/>
          <w:sz w:val="22"/>
          <w:szCs w:val="22"/>
        </w:rPr>
        <w:t xml:space="preserve"> </w:t>
      </w:r>
    </w:p>
    <w:p w14:paraId="384D0E46" w14:textId="77777777" w:rsidR="00B207D5" w:rsidRDefault="00B207D5" w:rsidP="00795796">
      <w:pPr>
        <w:rPr>
          <w:rFonts w:cs="Arial"/>
          <w:sz w:val="22"/>
          <w:szCs w:val="22"/>
        </w:rPr>
      </w:pPr>
    </w:p>
    <w:p w14:paraId="70FD871C" w14:textId="67D6CC26" w:rsidR="00160CEC" w:rsidRDefault="00160CEC" w:rsidP="00795796">
      <w:pPr>
        <w:rPr>
          <w:rFonts w:cs="Arial"/>
          <w:sz w:val="22"/>
          <w:szCs w:val="22"/>
        </w:rPr>
      </w:pPr>
      <w:r>
        <w:rPr>
          <w:rFonts w:cs="Arial"/>
          <w:sz w:val="22"/>
          <w:szCs w:val="22"/>
        </w:rPr>
        <w:t xml:space="preserve">Drug and alcohol addictions are a major driver of crime. TOP has already committed to doubling investment in drug and alcohol treatment </w:t>
      </w:r>
      <w:proofErr w:type="spellStart"/>
      <w:r>
        <w:rPr>
          <w:rFonts w:cs="Arial"/>
          <w:sz w:val="22"/>
          <w:szCs w:val="22"/>
        </w:rPr>
        <w:t>programmes</w:t>
      </w:r>
      <w:proofErr w:type="spellEnd"/>
      <w:r>
        <w:rPr>
          <w:rFonts w:cs="Arial"/>
          <w:sz w:val="22"/>
          <w:szCs w:val="22"/>
        </w:rPr>
        <w:t xml:space="preserve"> through our </w:t>
      </w:r>
      <w:hyperlink r:id="rId20" w:history="1">
        <w:r w:rsidRPr="00160CEC">
          <w:rPr>
            <w:rStyle w:val="Hyperlink"/>
            <w:rFonts w:cs="Arial"/>
            <w:sz w:val="22"/>
            <w:szCs w:val="22"/>
          </w:rPr>
          <w:t>Real Deal Cannabis</w:t>
        </w:r>
      </w:hyperlink>
      <w:r>
        <w:rPr>
          <w:rFonts w:cs="Arial"/>
          <w:sz w:val="22"/>
          <w:szCs w:val="22"/>
        </w:rPr>
        <w:t xml:space="preserve"> and </w:t>
      </w:r>
      <w:hyperlink r:id="rId21" w:history="1">
        <w:r w:rsidRPr="00160CEC">
          <w:rPr>
            <w:rStyle w:val="Hyperlink"/>
            <w:rFonts w:cs="Arial"/>
            <w:sz w:val="22"/>
            <w:szCs w:val="22"/>
          </w:rPr>
          <w:t>Real Action on Alcohol</w:t>
        </w:r>
      </w:hyperlink>
      <w:r>
        <w:rPr>
          <w:rFonts w:cs="Arial"/>
          <w:sz w:val="22"/>
          <w:szCs w:val="22"/>
        </w:rPr>
        <w:t xml:space="preserve"> policies. These </w:t>
      </w:r>
      <w:proofErr w:type="spellStart"/>
      <w:r>
        <w:rPr>
          <w:rFonts w:cs="Arial"/>
          <w:sz w:val="22"/>
          <w:szCs w:val="22"/>
        </w:rPr>
        <w:t>programmes</w:t>
      </w:r>
      <w:proofErr w:type="spellEnd"/>
      <w:r>
        <w:rPr>
          <w:rFonts w:cs="Arial"/>
          <w:sz w:val="22"/>
          <w:szCs w:val="22"/>
        </w:rPr>
        <w:t xml:space="preserve"> are very cost effective, returning between $4-7 for each $1 invested. </w:t>
      </w:r>
    </w:p>
    <w:p w14:paraId="49353B0B" w14:textId="77777777" w:rsidR="00160CEC" w:rsidRDefault="00160CEC" w:rsidP="00795796">
      <w:pPr>
        <w:rPr>
          <w:rFonts w:cs="Arial"/>
          <w:sz w:val="22"/>
          <w:szCs w:val="22"/>
        </w:rPr>
      </w:pPr>
    </w:p>
    <w:p w14:paraId="3A99DD4E" w14:textId="0564BF6E" w:rsidR="00FE0C69" w:rsidRDefault="00CF608A" w:rsidP="00795796">
      <w:pPr>
        <w:rPr>
          <w:rFonts w:cs="Arial"/>
          <w:sz w:val="22"/>
          <w:szCs w:val="22"/>
        </w:rPr>
      </w:pPr>
      <w:r>
        <w:rPr>
          <w:rFonts w:cs="Arial"/>
          <w:sz w:val="22"/>
          <w:szCs w:val="22"/>
        </w:rPr>
        <w:t>The AODT Court i</w:t>
      </w:r>
      <w:r w:rsidR="00795796" w:rsidRPr="00E2401C">
        <w:rPr>
          <w:rFonts w:cs="Arial"/>
          <w:sz w:val="22"/>
          <w:szCs w:val="22"/>
        </w:rPr>
        <w:t>s an alternative to priso</w:t>
      </w:r>
      <w:r w:rsidR="00795796">
        <w:rPr>
          <w:rFonts w:cs="Arial"/>
          <w:sz w:val="22"/>
          <w:szCs w:val="22"/>
        </w:rPr>
        <w:t xml:space="preserve">n for repeat offenders with </w:t>
      </w:r>
      <w:r w:rsidR="0008456D">
        <w:rPr>
          <w:rFonts w:cs="Arial"/>
          <w:sz w:val="22"/>
          <w:szCs w:val="22"/>
        </w:rPr>
        <w:t>a</w:t>
      </w:r>
      <w:r w:rsidR="00795796">
        <w:rPr>
          <w:rFonts w:cs="Arial"/>
          <w:sz w:val="22"/>
          <w:szCs w:val="22"/>
        </w:rPr>
        <w:t xml:space="preserve">lcohol or </w:t>
      </w:r>
      <w:r w:rsidR="0008456D">
        <w:rPr>
          <w:rFonts w:cs="Arial"/>
          <w:sz w:val="22"/>
          <w:szCs w:val="22"/>
        </w:rPr>
        <w:t>o</w:t>
      </w:r>
      <w:r w:rsidR="00795796">
        <w:rPr>
          <w:rFonts w:cs="Arial"/>
          <w:sz w:val="22"/>
          <w:szCs w:val="22"/>
        </w:rPr>
        <w:t xml:space="preserve">ther </w:t>
      </w:r>
      <w:r w:rsidR="0008456D">
        <w:rPr>
          <w:rFonts w:cs="Arial"/>
          <w:sz w:val="22"/>
          <w:szCs w:val="22"/>
        </w:rPr>
        <w:t>d</w:t>
      </w:r>
      <w:r w:rsidR="00795796">
        <w:rPr>
          <w:rFonts w:cs="Arial"/>
          <w:sz w:val="22"/>
          <w:szCs w:val="22"/>
        </w:rPr>
        <w:t xml:space="preserve">rug </w:t>
      </w:r>
      <w:r w:rsidR="003700AF">
        <w:rPr>
          <w:rFonts w:cs="Arial"/>
          <w:sz w:val="22"/>
          <w:szCs w:val="22"/>
        </w:rPr>
        <w:t xml:space="preserve">dependencies. </w:t>
      </w:r>
      <w:r w:rsidR="00AD34C9">
        <w:rPr>
          <w:rFonts w:cs="Arial"/>
          <w:sz w:val="22"/>
          <w:szCs w:val="22"/>
        </w:rPr>
        <w:t xml:space="preserve">87% of prisoners have </w:t>
      </w:r>
      <w:r w:rsidR="00FE0C69">
        <w:rPr>
          <w:rFonts w:cs="Arial"/>
          <w:sz w:val="22"/>
          <w:szCs w:val="22"/>
        </w:rPr>
        <w:t>trouble with drugs at some point in</w:t>
      </w:r>
      <w:r w:rsidR="00EB6D1B">
        <w:rPr>
          <w:rFonts w:cs="Arial"/>
          <w:sz w:val="22"/>
          <w:szCs w:val="22"/>
        </w:rPr>
        <w:t xml:space="preserve"> the</w:t>
      </w:r>
      <w:r w:rsidR="00A62F78">
        <w:rPr>
          <w:rFonts w:cs="Arial"/>
          <w:sz w:val="22"/>
          <w:szCs w:val="22"/>
        </w:rPr>
        <w:t>ir lives</w:t>
      </w:r>
      <w:r w:rsidR="0008456D">
        <w:rPr>
          <w:rFonts w:cs="Arial"/>
          <w:sz w:val="22"/>
          <w:szCs w:val="22"/>
        </w:rPr>
        <w:t xml:space="preserve">, compared to just 12% in </w:t>
      </w:r>
      <w:r w:rsidR="00FE0C69">
        <w:rPr>
          <w:rFonts w:cs="Arial"/>
          <w:sz w:val="22"/>
          <w:szCs w:val="22"/>
        </w:rPr>
        <w:t>the general population</w:t>
      </w:r>
      <w:r w:rsidR="0008456D">
        <w:rPr>
          <w:rFonts w:cs="Arial"/>
          <w:sz w:val="22"/>
          <w:szCs w:val="22"/>
        </w:rPr>
        <w:t>.</w:t>
      </w:r>
      <w:r w:rsidR="00CA5FD7">
        <w:rPr>
          <w:rStyle w:val="FootnoteReference"/>
          <w:rFonts w:cs="Arial"/>
          <w:sz w:val="22"/>
          <w:szCs w:val="22"/>
        </w:rPr>
        <w:footnoteReference w:id="18"/>
      </w:r>
    </w:p>
    <w:p w14:paraId="13D349A5" w14:textId="77777777" w:rsidR="00FE0C69" w:rsidRDefault="00FE0C69" w:rsidP="00795796">
      <w:pPr>
        <w:rPr>
          <w:rFonts w:cs="Arial"/>
          <w:sz w:val="22"/>
          <w:szCs w:val="22"/>
        </w:rPr>
      </w:pPr>
    </w:p>
    <w:p w14:paraId="14D01007" w14:textId="3BCBC863" w:rsidR="00795796" w:rsidRDefault="00FE0C69" w:rsidP="00795796">
      <w:pPr>
        <w:rPr>
          <w:rFonts w:cs="Arial"/>
          <w:sz w:val="22"/>
          <w:szCs w:val="22"/>
        </w:rPr>
      </w:pPr>
      <w:r>
        <w:rPr>
          <w:rFonts w:cs="Arial"/>
          <w:sz w:val="22"/>
          <w:szCs w:val="22"/>
        </w:rPr>
        <w:t>For offenders, the AODT Court</w:t>
      </w:r>
      <w:r w:rsidR="00795796" w:rsidRPr="00E2401C">
        <w:rPr>
          <w:rFonts w:cs="Arial"/>
          <w:sz w:val="22"/>
          <w:szCs w:val="22"/>
        </w:rPr>
        <w:t xml:space="preserve"> involves an intensive therapeutic process supervised by the court. </w:t>
      </w:r>
      <w:r w:rsidR="00027D60">
        <w:rPr>
          <w:rFonts w:cs="Arial"/>
          <w:sz w:val="22"/>
          <w:szCs w:val="22"/>
        </w:rPr>
        <w:t xml:space="preserve">The idea is that instead of sentencing someone to prison (which doesn’t </w:t>
      </w:r>
      <w:r w:rsidR="00FB4427">
        <w:rPr>
          <w:rFonts w:cs="Arial"/>
          <w:sz w:val="22"/>
          <w:szCs w:val="22"/>
        </w:rPr>
        <w:t xml:space="preserve">much </w:t>
      </w:r>
      <w:r w:rsidR="00027D60">
        <w:rPr>
          <w:rFonts w:cs="Arial"/>
          <w:sz w:val="22"/>
          <w:szCs w:val="22"/>
        </w:rPr>
        <w:t xml:space="preserve">help them </w:t>
      </w:r>
      <w:r w:rsidR="00FB4427">
        <w:rPr>
          <w:rFonts w:cs="Arial"/>
          <w:sz w:val="22"/>
          <w:szCs w:val="22"/>
        </w:rPr>
        <w:t>or the community they return to</w:t>
      </w:r>
      <w:r w:rsidR="00027D60">
        <w:rPr>
          <w:rFonts w:cs="Arial"/>
          <w:sz w:val="22"/>
          <w:szCs w:val="22"/>
        </w:rPr>
        <w:t xml:space="preserve">) they are sentenced to rehab. They serve a prison sentence only if they fail to complete </w:t>
      </w:r>
      <w:r w:rsidR="00235553">
        <w:rPr>
          <w:rFonts w:cs="Arial"/>
          <w:sz w:val="22"/>
          <w:szCs w:val="22"/>
        </w:rPr>
        <w:t>rehab.</w:t>
      </w:r>
    </w:p>
    <w:p w14:paraId="0D03A2D4" w14:textId="77777777" w:rsidR="00795796" w:rsidRDefault="00795796" w:rsidP="00795796">
      <w:pPr>
        <w:rPr>
          <w:rFonts w:cs="Arial"/>
          <w:sz w:val="22"/>
          <w:szCs w:val="22"/>
        </w:rPr>
      </w:pPr>
    </w:p>
    <w:p w14:paraId="26900993" w14:textId="06ADB578" w:rsidR="00DA055E" w:rsidRPr="002B3FE5" w:rsidRDefault="00795796" w:rsidP="00DA055E">
      <w:pPr>
        <w:rPr>
          <w:rFonts w:cs="Arial"/>
          <w:sz w:val="22"/>
          <w:szCs w:val="22"/>
        </w:rPr>
      </w:pPr>
      <w:r w:rsidRPr="00E2401C">
        <w:rPr>
          <w:rFonts w:cs="Arial"/>
          <w:sz w:val="22"/>
          <w:szCs w:val="22"/>
        </w:rPr>
        <w:t>The AODT Court pilot, established in November 2012, is a joint initiative between the</w:t>
      </w:r>
      <w:r>
        <w:rPr>
          <w:rFonts w:cs="Arial"/>
          <w:sz w:val="22"/>
          <w:szCs w:val="22"/>
        </w:rPr>
        <w:t xml:space="preserve"> Judiciary and the government. Any District court</w:t>
      </w:r>
      <w:r w:rsidRPr="00E2401C">
        <w:rPr>
          <w:rFonts w:cs="Arial"/>
          <w:sz w:val="22"/>
          <w:szCs w:val="22"/>
        </w:rPr>
        <w:t xml:space="preserve"> can run an AODT court pr</w:t>
      </w:r>
      <w:r w:rsidR="000F1AD6">
        <w:rPr>
          <w:rFonts w:cs="Arial"/>
          <w:sz w:val="22"/>
          <w:szCs w:val="22"/>
        </w:rPr>
        <w:t>ocess</w:t>
      </w:r>
      <w:r w:rsidRPr="00E2401C">
        <w:rPr>
          <w:rFonts w:cs="Arial"/>
          <w:sz w:val="22"/>
          <w:szCs w:val="22"/>
        </w:rPr>
        <w:t xml:space="preserve"> but </w:t>
      </w:r>
      <w:r>
        <w:rPr>
          <w:rFonts w:cs="Arial"/>
          <w:sz w:val="22"/>
          <w:szCs w:val="22"/>
        </w:rPr>
        <w:t xml:space="preserve">practically it </w:t>
      </w:r>
      <w:r w:rsidR="002B1B18">
        <w:rPr>
          <w:rFonts w:cs="Arial"/>
          <w:sz w:val="22"/>
          <w:szCs w:val="22"/>
        </w:rPr>
        <w:t>needs</w:t>
      </w:r>
      <w:r>
        <w:rPr>
          <w:rFonts w:cs="Arial"/>
          <w:sz w:val="22"/>
          <w:szCs w:val="22"/>
        </w:rPr>
        <w:t xml:space="preserve"> fina</w:t>
      </w:r>
      <w:r w:rsidR="002B1B18">
        <w:rPr>
          <w:rFonts w:cs="Arial"/>
          <w:sz w:val="22"/>
          <w:szCs w:val="22"/>
        </w:rPr>
        <w:t>ncial help</w:t>
      </w:r>
      <w:r w:rsidR="00C3180F">
        <w:rPr>
          <w:rFonts w:cs="Arial"/>
          <w:sz w:val="22"/>
          <w:szCs w:val="22"/>
        </w:rPr>
        <w:t>. T</w:t>
      </w:r>
      <w:r w:rsidR="00E054B5">
        <w:rPr>
          <w:rFonts w:cs="Arial"/>
          <w:sz w:val="22"/>
          <w:szCs w:val="22"/>
        </w:rPr>
        <w:t>he help needed</w:t>
      </w:r>
      <w:r w:rsidR="008C1E5D">
        <w:rPr>
          <w:rFonts w:cs="Arial"/>
          <w:sz w:val="22"/>
          <w:szCs w:val="22"/>
        </w:rPr>
        <w:t xml:space="preserve"> for </w:t>
      </w:r>
      <w:r w:rsidRPr="00E2401C">
        <w:rPr>
          <w:rFonts w:cs="Arial"/>
          <w:sz w:val="22"/>
          <w:szCs w:val="22"/>
        </w:rPr>
        <w:t>the AODT court</w:t>
      </w:r>
      <w:r>
        <w:rPr>
          <w:rFonts w:cs="Arial"/>
          <w:sz w:val="22"/>
          <w:szCs w:val="22"/>
        </w:rPr>
        <w:t xml:space="preserve"> </w:t>
      </w:r>
      <w:r w:rsidR="008C1E5D">
        <w:rPr>
          <w:rFonts w:cs="Arial"/>
          <w:sz w:val="22"/>
          <w:szCs w:val="22"/>
        </w:rPr>
        <w:t>to deal with</w:t>
      </w:r>
      <w:r w:rsidR="00C3180F">
        <w:rPr>
          <w:rFonts w:cs="Arial"/>
          <w:sz w:val="22"/>
          <w:szCs w:val="22"/>
        </w:rPr>
        <w:t xml:space="preserve"> 100 participants</w:t>
      </w:r>
      <w:r w:rsidR="007B111C">
        <w:rPr>
          <w:rFonts w:cs="Arial"/>
          <w:sz w:val="22"/>
          <w:szCs w:val="22"/>
        </w:rPr>
        <w:t xml:space="preserve"> at one time</w:t>
      </w:r>
      <w:r w:rsidR="00C3180F">
        <w:rPr>
          <w:rFonts w:cs="Arial"/>
          <w:sz w:val="22"/>
          <w:szCs w:val="22"/>
        </w:rPr>
        <w:t xml:space="preserve"> </w:t>
      </w:r>
      <w:r>
        <w:rPr>
          <w:rFonts w:cs="Arial"/>
          <w:sz w:val="22"/>
          <w:szCs w:val="22"/>
        </w:rPr>
        <w:t>are funded by government at</w:t>
      </w:r>
      <w:r w:rsidR="00693BE5">
        <w:rPr>
          <w:rFonts w:cs="Arial"/>
          <w:sz w:val="22"/>
          <w:szCs w:val="22"/>
        </w:rPr>
        <w:t xml:space="preserve"> two pilot </w:t>
      </w:r>
      <w:r w:rsidRPr="00E2401C">
        <w:rPr>
          <w:rFonts w:cs="Arial"/>
          <w:sz w:val="22"/>
          <w:szCs w:val="22"/>
        </w:rPr>
        <w:t>sites</w:t>
      </w:r>
      <w:r w:rsidR="00E85F9A">
        <w:rPr>
          <w:rFonts w:cs="Arial"/>
          <w:sz w:val="22"/>
          <w:szCs w:val="22"/>
        </w:rPr>
        <w:t xml:space="preserve"> in Auckland</w:t>
      </w:r>
      <w:r w:rsidRPr="00E2401C">
        <w:rPr>
          <w:rFonts w:cs="Arial"/>
          <w:sz w:val="22"/>
          <w:szCs w:val="22"/>
        </w:rPr>
        <w:t xml:space="preserve">. </w:t>
      </w:r>
      <w:r w:rsidR="00C3180F">
        <w:rPr>
          <w:rFonts w:cs="Arial"/>
          <w:sz w:val="22"/>
          <w:szCs w:val="22"/>
        </w:rPr>
        <w:t xml:space="preserve">So far the pilot is reducing </w:t>
      </w:r>
      <w:r w:rsidR="00DA055E" w:rsidRPr="002B3FE5">
        <w:rPr>
          <w:rFonts w:cs="Arial"/>
          <w:sz w:val="22"/>
          <w:szCs w:val="22"/>
        </w:rPr>
        <w:t xml:space="preserve">participants’ likelihood of </w:t>
      </w:r>
      <w:r w:rsidR="00DA055E">
        <w:rPr>
          <w:rFonts w:cs="Arial"/>
          <w:sz w:val="22"/>
          <w:szCs w:val="22"/>
        </w:rPr>
        <w:t>reoffending</w:t>
      </w:r>
      <w:r w:rsidR="00DA055E" w:rsidRPr="002B3FE5">
        <w:rPr>
          <w:rFonts w:cs="Arial"/>
          <w:sz w:val="22"/>
          <w:szCs w:val="22"/>
        </w:rPr>
        <w:t xml:space="preserve"> </w:t>
      </w:r>
      <w:r w:rsidR="009E2B22">
        <w:rPr>
          <w:rFonts w:cs="Arial"/>
          <w:sz w:val="22"/>
          <w:szCs w:val="22"/>
        </w:rPr>
        <w:t xml:space="preserve">in the short-term </w:t>
      </w:r>
      <w:r w:rsidR="00DA055E" w:rsidRPr="002B3FE5">
        <w:rPr>
          <w:rFonts w:cs="Arial"/>
          <w:sz w:val="22"/>
          <w:szCs w:val="22"/>
        </w:rPr>
        <w:t>by around 15%.</w:t>
      </w:r>
      <w:r w:rsidR="00DA055E" w:rsidRPr="002B3FE5">
        <w:rPr>
          <w:rStyle w:val="FootnoteReference"/>
          <w:rFonts w:cs="Arial"/>
          <w:sz w:val="22"/>
          <w:szCs w:val="22"/>
        </w:rPr>
        <w:footnoteReference w:id="19"/>
      </w:r>
    </w:p>
    <w:p w14:paraId="7ECC1980" w14:textId="77777777" w:rsidR="00DA055E" w:rsidRPr="002B3FE5" w:rsidRDefault="00DA055E" w:rsidP="00DA055E">
      <w:pPr>
        <w:rPr>
          <w:rFonts w:cs="Arial"/>
          <w:sz w:val="22"/>
          <w:szCs w:val="22"/>
        </w:rPr>
      </w:pPr>
    </w:p>
    <w:p w14:paraId="76FB402D" w14:textId="45F800E9" w:rsidR="00DA055E" w:rsidRDefault="00DA055E" w:rsidP="00DA055E">
      <w:pPr>
        <w:rPr>
          <w:rFonts w:cs="Arial"/>
          <w:sz w:val="22"/>
          <w:szCs w:val="22"/>
        </w:rPr>
      </w:pPr>
      <w:r w:rsidRPr="00E15D31">
        <w:rPr>
          <w:rFonts w:cs="Arial"/>
          <w:sz w:val="22"/>
          <w:szCs w:val="22"/>
        </w:rPr>
        <w:t>N</w:t>
      </w:r>
      <w:r>
        <w:rPr>
          <w:rFonts w:cs="Arial"/>
          <w:sz w:val="22"/>
          <w:szCs w:val="22"/>
        </w:rPr>
        <w:t xml:space="preserve">ew </w:t>
      </w:r>
      <w:r w:rsidRPr="00E15D31">
        <w:rPr>
          <w:rFonts w:cs="Arial"/>
          <w:sz w:val="22"/>
          <w:szCs w:val="22"/>
        </w:rPr>
        <w:t>Z</w:t>
      </w:r>
      <w:r>
        <w:rPr>
          <w:rFonts w:cs="Arial"/>
          <w:sz w:val="22"/>
          <w:szCs w:val="22"/>
        </w:rPr>
        <w:t>ealand</w:t>
      </w:r>
      <w:r w:rsidRPr="00E15D31">
        <w:rPr>
          <w:rFonts w:cs="Arial"/>
          <w:sz w:val="22"/>
          <w:szCs w:val="22"/>
        </w:rPr>
        <w:t>’s AODT courts were copied f</w:t>
      </w:r>
      <w:r w:rsidR="002421B1">
        <w:rPr>
          <w:rFonts w:cs="Arial"/>
          <w:sz w:val="22"/>
          <w:szCs w:val="22"/>
        </w:rPr>
        <w:t>rom the US “drug courts”. T</w:t>
      </w:r>
      <w:r w:rsidRPr="00E15D31">
        <w:rPr>
          <w:rFonts w:cs="Arial"/>
          <w:sz w:val="22"/>
          <w:szCs w:val="22"/>
        </w:rPr>
        <w:t>h</w:t>
      </w:r>
      <w:r w:rsidR="00194E5E">
        <w:rPr>
          <w:rFonts w:cs="Arial"/>
          <w:sz w:val="22"/>
          <w:szCs w:val="22"/>
        </w:rPr>
        <w:t>ere is good evidence that in the US they are</w:t>
      </w:r>
      <w:r w:rsidRPr="00E15D31">
        <w:rPr>
          <w:rFonts w:cs="Arial"/>
          <w:sz w:val="22"/>
          <w:szCs w:val="22"/>
        </w:rPr>
        <w:t xml:space="preserve"> cost-effective. Adult drug courts achieve on average, a statistically significant 10.7% r</w:t>
      </w:r>
      <w:r w:rsidR="00194E5E">
        <w:rPr>
          <w:rFonts w:cs="Arial"/>
          <w:sz w:val="22"/>
          <w:szCs w:val="22"/>
        </w:rPr>
        <w:t xml:space="preserve">eduction in reoffending </w:t>
      </w:r>
      <w:r w:rsidRPr="00E15D31">
        <w:rPr>
          <w:rFonts w:cs="Arial"/>
          <w:sz w:val="22"/>
          <w:szCs w:val="22"/>
        </w:rPr>
        <w:t>compar</w:t>
      </w:r>
      <w:r>
        <w:rPr>
          <w:rFonts w:cs="Arial"/>
          <w:sz w:val="22"/>
          <w:szCs w:val="22"/>
        </w:rPr>
        <w:t>ed with</w:t>
      </w:r>
      <w:r w:rsidRPr="00E15D31">
        <w:rPr>
          <w:rFonts w:cs="Arial"/>
          <w:sz w:val="22"/>
          <w:szCs w:val="22"/>
        </w:rPr>
        <w:t xml:space="preserve"> those who go before ordinary courts.</w:t>
      </w:r>
      <w:r w:rsidRPr="00E15D31">
        <w:rPr>
          <w:rFonts w:cs="Arial"/>
          <w:sz w:val="22"/>
          <w:szCs w:val="22"/>
          <w:vertAlign w:val="superscript"/>
        </w:rPr>
        <w:footnoteReference w:id="20"/>
      </w:r>
    </w:p>
    <w:p w14:paraId="5CE33E0B" w14:textId="0C9F38C5" w:rsidR="00795796" w:rsidRDefault="00795796" w:rsidP="00B859B7">
      <w:pPr>
        <w:spacing w:before="20" w:after="80"/>
        <w:rPr>
          <w:rFonts w:ascii="Arial" w:hAnsi="Arial" w:cs="Arial"/>
          <w:sz w:val="22"/>
          <w:szCs w:val="22"/>
        </w:rPr>
      </w:pPr>
    </w:p>
    <w:p w14:paraId="5351A007" w14:textId="3F662172" w:rsidR="0008456D" w:rsidRDefault="0008456D" w:rsidP="008329E6">
      <w:pPr>
        <w:rPr>
          <w:rFonts w:cs="Arial"/>
          <w:sz w:val="22"/>
          <w:szCs w:val="22"/>
        </w:rPr>
      </w:pPr>
      <w:r>
        <w:rPr>
          <w:rFonts w:cs="Arial"/>
          <w:sz w:val="22"/>
          <w:szCs w:val="22"/>
        </w:rPr>
        <w:t>TOP would i</w:t>
      </w:r>
      <w:r w:rsidRPr="008329E6">
        <w:rPr>
          <w:rFonts w:cs="Arial"/>
          <w:sz w:val="22"/>
          <w:szCs w:val="22"/>
        </w:rPr>
        <w:t xml:space="preserve">ncrease the number of AODT Courts from 2 to 7 over the next 2 years (3 in Auckland, and 1 in Wellington, Christchurch, Hamilton and Dunedin) and then evaluate the </w:t>
      </w:r>
      <w:r w:rsidR="003B22CF">
        <w:rPr>
          <w:rFonts w:cs="Arial"/>
          <w:sz w:val="22"/>
          <w:szCs w:val="22"/>
        </w:rPr>
        <w:t xml:space="preserve">case for more </w:t>
      </w:r>
      <w:r w:rsidRPr="008329E6">
        <w:rPr>
          <w:rFonts w:cs="Arial"/>
          <w:sz w:val="22"/>
          <w:szCs w:val="22"/>
        </w:rPr>
        <w:t>AODT Courts.</w:t>
      </w:r>
    </w:p>
    <w:p w14:paraId="4C1DF77E" w14:textId="77777777" w:rsidR="003B22CF" w:rsidRPr="008329E6" w:rsidRDefault="003B22CF" w:rsidP="008329E6">
      <w:pPr>
        <w:rPr>
          <w:rFonts w:cs="Arial"/>
          <w:sz w:val="22"/>
          <w:szCs w:val="22"/>
        </w:rPr>
      </w:pPr>
    </w:p>
    <w:p w14:paraId="57B1D475" w14:textId="70974129" w:rsidR="00B859B7" w:rsidRDefault="00B207D5" w:rsidP="00B859B7">
      <w:pPr>
        <w:spacing w:before="20" w:after="80"/>
        <w:rPr>
          <w:rFonts w:ascii="Arial" w:hAnsi="Arial" w:cs="Arial"/>
          <w:sz w:val="22"/>
          <w:szCs w:val="22"/>
        </w:rPr>
      </w:pPr>
      <w:r>
        <w:rPr>
          <w:rFonts w:ascii="Arial" w:hAnsi="Arial" w:cs="Arial"/>
          <w:sz w:val="22"/>
          <w:szCs w:val="22"/>
        </w:rPr>
        <w:t xml:space="preserve">4. </w:t>
      </w:r>
      <w:r w:rsidR="00B859B7" w:rsidRPr="00B859B7">
        <w:rPr>
          <w:rFonts w:ascii="Arial" w:hAnsi="Arial" w:cs="Arial"/>
          <w:sz w:val="22"/>
          <w:szCs w:val="22"/>
        </w:rPr>
        <w:t>Properly fund Restorative Justice and expand its presence in the criminal justice system over the next 10 years.</w:t>
      </w:r>
    </w:p>
    <w:p w14:paraId="1A24202C" w14:textId="3BB0244C" w:rsidR="00206C8A" w:rsidRDefault="00590454" w:rsidP="00206C8A">
      <w:pPr>
        <w:rPr>
          <w:sz w:val="22"/>
          <w:szCs w:val="22"/>
        </w:rPr>
      </w:pPr>
      <w:r>
        <w:rPr>
          <w:sz w:val="22"/>
          <w:szCs w:val="22"/>
        </w:rPr>
        <w:t>The limit</w:t>
      </w:r>
      <w:r w:rsidR="00410BAC">
        <w:rPr>
          <w:sz w:val="22"/>
          <w:szCs w:val="22"/>
        </w:rPr>
        <w:t xml:space="preserve"> to more Restorative J</w:t>
      </w:r>
      <w:r w:rsidR="006508CB">
        <w:rPr>
          <w:sz w:val="22"/>
          <w:szCs w:val="22"/>
        </w:rPr>
        <w:t>ustice is</w:t>
      </w:r>
      <w:r w:rsidR="00206C8A">
        <w:rPr>
          <w:sz w:val="22"/>
          <w:szCs w:val="22"/>
        </w:rPr>
        <w:t xml:space="preserve"> </w:t>
      </w:r>
      <w:r w:rsidR="005C4BD7">
        <w:rPr>
          <w:sz w:val="22"/>
          <w:szCs w:val="22"/>
        </w:rPr>
        <w:t xml:space="preserve">mainly </w:t>
      </w:r>
      <w:r w:rsidR="006508CB">
        <w:rPr>
          <w:sz w:val="22"/>
          <w:szCs w:val="22"/>
        </w:rPr>
        <w:t>funding</w:t>
      </w:r>
      <w:r w:rsidR="00206C8A">
        <w:rPr>
          <w:sz w:val="22"/>
          <w:szCs w:val="22"/>
        </w:rPr>
        <w:t xml:space="preserve">. </w:t>
      </w:r>
      <w:r w:rsidR="006508CB" w:rsidRPr="00C55981">
        <w:rPr>
          <w:sz w:val="22"/>
          <w:szCs w:val="22"/>
        </w:rPr>
        <w:t>The Sentencing Act 2002, Parole Act 2002, and the Victims’ Rights Act 2002 provide statutory recognition of restorative justice in the formal criminal justice system.</w:t>
      </w:r>
      <w:r w:rsidR="006508CB">
        <w:rPr>
          <w:sz w:val="22"/>
          <w:szCs w:val="22"/>
        </w:rPr>
        <w:t xml:space="preserve"> </w:t>
      </w:r>
    </w:p>
    <w:p w14:paraId="00EE4973" w14:textId="77777777" w:rsidR="004357B4" w:rsidRDefault="004357B4" w:rsidP="00206C8A">
      <w:pPr>
        <w:rPr>
          <w:sz w:val="22"/>
          <w:szCs w:val="22"/>
        </w:rPr>
      </w:pPr>
    </w:p>
    <w:p w14:paraId="05164BA9" w14:textId="5647BF63" w:rsidR="004357B4" w:rsidRDefault="00410BAC" w:rsidP="004357B4">
      <w:pPr>
        <w:rPr>
          <w:sz w:val="22"/>
          <w:szCs w:val="22"/>
          <w:lang w:val="en-NZ"/>
        </w:rPr>
      </w:pPr>
      <w:r>
        <w:rPr>
          <w:sz w:val="22"/>
          <w:szCs w:val="22"/>
          <w:lang w:val="en-NZ"/>
        </w:rPr>
        <w:t>New Zealand evidence</w:t>
      </w:r>
      <w:r w:rsidR="004357B4" w:rsidRPr="002B3FE5">
        <w:rPr>
          <w:sz w:val="22"/>
          <w:szCs w:val="22"/>
          <w:lang w:val="en-NZ"/>
        </w:rPr>
        <w:t xml:space="preserve"> shows reoffending rates for </w:t>
      </w:r>
      <w:r w:rsidR="003B22CF">
        <w:rPr>
          <w:sz w:val="22"/>
          <w:szCs w:val="22"/>
          <w:lang w:val="en-NZ"/>
        </w:rPr>
        <w:t>those</w:t>
      </w:r>
      <w:r w:rsidR="004357B4" w:rsidRPr="002B3FE5">
        <w:rPr>
          <w:sz w:val="22"/>
          <w:szCs w:val="22"/>
          <w:lang w:val="en-NZ"/>
        </w:rPr>
        <w:t xml:space="preserve"> who participated in restorative justice c</w:t>
      </w:r>
      <w:r>
        <w:rPr>
          <w:sz w:val="22"/>
          <w:szCs w:val="22"/>
          <w:lang w:val="en-NZ"/>
        </w:rPr>
        <w:t>onfer</w:t>
      </w:r>
      <w:r w:rsidR="00596DA1">
        <w:rPr>
          <w:sz w:val="22"/>
          <w:szCs w:val="22"/>
          <w:lang w:val="en-NZ"/>
        </w:rPr>
        <w:t>ences were 15% lower after a year than</w:t>
      </w:r>
      <w:r w:rsidR="004357B4" w:rsidRPr="002B3FE5">
        <w:rPr>
          <w:sz w:val="22"/>
          <w:szCs w:val="22"/>
          <w:lang w:val="en-NZ"/>
        </w:rPr>
        <w:t xml:space="preserve"> comparable offenders who did not </w:t>
      </w:r>
      <w:r w:rsidR="00596DA1">
        <w:rPr>
          <w:sz w:val="22"/>
          <w:szCs w:val="22"/>
          <w:lang w:val="en-NZ"/>
        </w:rPr>
        <w:t>participate, and 7.5% lower after</w:t>
      </w:r>
      <w:r w:rsidR="004357B4" w:rsidRPr="002B3FE5">
        <w:rPr>
          <w:sz w:val="22"/>
          <w:szCs w:val="22"/>
          <w:lang w:val="en-NZ"/>
        </w:rPr>
        <w:t xml:space="preserve"> three years.</w:t>
      </w:r>
      <w:r w:rsidR="004357B4" w:rsidRPr="002B3FE5">
        <w:rPr>
          <w:rStyle w:val="FootnoteReference"/>
          <w:sz w:val="22"/>
          <w:szCs w:val="22"/>
          <w:lang w:val="en-NZ"/>
        </w:rPr>
        <w:footnoteReference w:id="21"/>
      </w:r>
      <w:r w:rsidR="004357B4" w:rsidRPr="002B3FE5">
        <w:rPr>
          <w:sz w:val="22"/>
          <w:szCs w:val="22"/>
          <w:lang w:val="en-NZ"/>
        </w:rPr>
        <w:t xml:space="preserve"> </w:t>
      </w:r>
    </w:p>
    <w:p w14:paraId="01EA33B7" w14:textId="77777777" w:rsidR="00ED226B" w:rsidRPr="002B3FE5" w:rsidRDefault="00ED226B" w:rsidP="004357B4">
      <w:pPr>
        <w:rPr>
          <w:sz w:val="22"/>
          <w:szCs w:val="22"/>
          <w:lang w:val="en-NZ"/>
        </w:rPr>
      </w:pPr>
    </w:p>
    <w:p w14:paraId="6223CA89" w14:textId="7EC67950" w:rsidR="00ED226B" w:rsidRPr="00ED226B" w:rsidRDefault="00ED226B" w:rsidP="00ED226B">
      <w:pPr>
        <w:rPr>
          <w:sz w:val="22"/>
          <w:szCs w:val="22"/>
        </w:rPr>
      </w:pPr>
      <w:r w:rsidRPr="00ED226B">
        <w:rPr>
          <w:sz w:val="22"/>
          <w:szCs w:val="22"/>
        </w:rPr>
        <w:t>A systematic rev</w:t>
      </w:r>
      <w:r w:rsidR="009118CE">
        <w:rPr>
          <w:sz w:val="22"/>
          <w:szCs w:val="22"/>
        </w:rPr>
        <w:t>iew of the international evidence</w:t>
      </w:r>
      <w:r w:rsidRPr="00ED226B">
        <w:rPr>
          <w:sz w:val="22"/>
          <w:szCs w:val="22"/>
        </w:rPr>
        <w:t xml:space="preserve"> on restor</w:t>
      </w:r>
      <w:r w:rsidR="00596DA1">
        <w:rPr>
          <w:sz w:val="22"/>
          <w:szCs w:val="22"/>
        </w:rPr>
        <w:t xml:space="preserve">ative justice conferences </w:t>
      </w:r>
      <w:r w:rsidRPr="00ED226B">
        <w:rPr>
          <w:sz w:val="22"/>
          <w:szCs w:val="22"/>
        </w:rPr>
        <w:t>using only randomized controll</w:t>
      </w:r>
      <w:r w:rsidR="007B3721">
        <w:rPr>
          <w:sz w:val="22"/>
          <w:szCs w:val="22"/>
        </w:rPr>
        <w:t>ed trials found that on average</w:t>
      </w:r>
      <w:r w:rsidR="00596DA1">
        <w:rPr>
          <w:sz w:val="22"/>
          <w:szCs w:val="22"/>
        </w:rPr>
        <w:t xml:space="preserve"> they</w:t>
      </w:r>
      <w:r w:rsidRPr="00ED226B">
        <w:rPr>
          <w:sz w:val="22"/>
          <w:szCs w:val="22"/>
        </w:rPr>
        <w:t xml:space="preserve"> cause a modest but highly cost-effective reduction in repeat offending, with substantial benefits for victims. A cost-effectiven</w:t>
      </w:r>
      <w:r w:rsidR="002D4676">
        <w:rPr>
          <w:sz w:val="22"/>
          <w:szCs w:val="22"/>
        </w:rPr>
        <w:t>ess estimate for seven</w:t>
      </w:r>
      <w:r w:rsidRPr="00ED226B">
        <w:rPr>
          <w:sz w:val="22"/>
          <w:szCs w:val="22"/>
        </w:rPr>
        <w:t xml:space="preserve"> United Kingdo</w:t>
      </w:r>
      <w:r w:rsidR="00772DEC">
        <w:rPr>
          <w:sz w:val="22"/>
          <w:szCs w:val="22"/>
        </w:rPr>
        <w:t xml:space="preserve">m experiments found a ratio of </w:t>
      </w:r>
      <w:r w:rsidR="00772DEC">
        <w:rPr>
          <w:sz w:val="22"/>
          <w:szCs w:val="22"/>
        </w:rPr>
        <w:lastRenderedPageBreak/>
        <w:t>eight</w:t>
      </w:r>
      <w:r w:rsidRPr="00ED226B">
        <w:rPr>
          <w:sz w:val="22"/>
          <w:szCs w:val="22"/>
        </w:rPr>
        <w:t xml:space="preserve"> times more benefit in costs of crimes prevented than</w:t>
      </w:r>
      <w:r w:rsidR="00596DA1">
        <w:rPr>
          <w:sz w:val="22"/>
          <w:szCs w:val="22"/>
        </w:rPr>
        <w:t xml:space="preserve"> the cost of delivering the </w:t>
      </w:r>
      <w:r w:rsidR="00596DA1" w:rsidRPr="00ED226B">
        <w:rPr>
          <w:sz w:val="22"/>
          <w:szCs w:val="22"/>
        </w:rPr>
        <w:t>restor</w:t>
      </w:r>
      <w:r w:rsidR="00596DA1">
        <w:rPr>
          <w:sz w:val="22"/>
          <w:szCs w:val="22"/>
        </w:rPr>
        <w:t>ative justice conferences</w:t>
      </w:r>
      <w:r w:rsidRPr="00ED226B">
        <w:rPr>
          <w:sz w:val="22"/>
          <w:szCs w:val="22"/>
        </w:rPr>
        <w:t>.</w:t>
      </w:r>
      <w:r w:rsidRPr="00ED226B">
        <w:rPr>
          <w:sz w:val="22"/>
          <w:szCs w:val="22"/>
          <w:vertAlign w:val="superscript"/>
        </w:rPr>
        <w:footnoteReference w:id="22"/>
      </w:r>
    </w:p>
    <w:p w14:paraId="436143EC" w14:textId="77777777" w:rsidR="004357B4" w:rsidRPr="00ED226B" w:rsidRDefault="004357B4" w:rsidP="004357B4">
      <w:pPr>
        <w:rPr>
          <w:sz w:val="22"/>
          <w:szCs w:val="22"/>
        </w:rPr>
      </w:pPr>
    </w:p>
    <w:p w14:paraId="0577910D" w14:textId="19809ECE" w:rsidR="004357B4" w:rsidRPr="00C907C0" w:rsidRDefault="0094567D" w:rsidP="004357B4">
      <w:pPr>
        <w:rPr>
          <w:sz w:val="22"/>
          <w:szCs w:val="22"/>
          <w:lang w:val="en-NZ"/>
        </w:rPr>
      </w:pPr>
      <w:r>
        <w:rPr>
          <w:sz w:val="22"/>
          <w:szCs w:val="22"/>
        </w:rPr>
        <w:t>Restorative J</w:t>
      </w:r>
      <w:r w:rsidR="004357B4" w:rsidRPr="002B3FE5">
        <w:rPr>
          <w:sz w:val="22"/>
          <w:szCs w:val="22"/>
        </w:rPr>
        <w:t>ustice has an important place in T</w:t>
      </w:r>
      <w:r>
        <w:rPr>
          <w:sz w:val="22"/>
          <w:szCs w:val="22"/>
        </w:rPr>
        <w:t xml:space="preserve">he </w:t>
      </w:r>
      <w:r w:rsidR="004357B4" w:rsidRPr="002B3FE5">
        <w:rPr>
          <w:sz w:val="22"/>
          <w:szCs w:val="22"/>
        </w:rPr>
        <w:t>O</w:t>
      </w:r>
      <w:r>
        <w:rPr>
          <w:sz w:val="22"/>
          <w:szCs w:val="22"/>
        </w:rPr>
        <w:t xml:space="preserve">pportunity </w:t>
      </w:r>
      <w:r w:rsidR="004357B4" w:rsidRPr="002B3FE5">
        <w:rPr>
          <w:sz w:val="22"/>
          <w:szCs w:val="22"/>
        </w:rPr>
        <w:t>P</w:t>
      </w:r>
      <w:r>
        <w:rPr>
          <w:sz w:val="22"/>
          <w:szCs w:val="22"/>
        </w:rPr>
        <w:t>arty</w:t>
      </w:r>
      <w:r w:rsidR="004357B4" w:rsidRPr="002B3FE5">
        <w:rPr>
          <w:sz w:val="22"/>
          <w:szCs w:val="22"/>
        </w:rPr>
        <w:t xml:space="preserve">’s criminal justice policy. Part of what has been driving criminal justice since </w:t>
      </w:r>
      <w:r w:rsidR="004713FD">
        <w:rPr>
          <w:sz w:val="22"/>
          <w:szCs w:val="22"/>
        </w:rPr>
        <w:t xml:space="preserve">at least </w:t>
      </w:r>
      <w:r w:rsidR="004357B4" w:rsidRPr="002B3FE5">
        <w:rPr>
          <w:sz w:val="22"/>
          <w:szCs w:val="22"/>
        </w:rPr>
        <w:t>2000 is anti-elitism. Traditionally criminal justice was the providence of judges, public servants and other experts. Restorative just</w:t>
      </w:r>
      <w:r w:rsidR="009518C8">
        <w:rPr>
          <w:sz w:val="22"/>
          <w:szCs w:val="22"/>
        </w:rPr>
        <w:t>ice can be thought of as a state</w:t>
      </w:r>
      <w:r w:rsidR="00F8510C">
        <w:rPr>
          <w:sz w:val="22"/>
          <w:szCs w:val="22"/>
        </w:rPr>
        <w:t>-provided space where</w:t>
      </w:r>
      <w:r w:rsidR="004357B4" w:rsidRPr="002B3FE5">
        <w:rPr>
          <w:sz w:val="22"/>
          <w:szCs w:val="22"/>
        </w:rPr>
        <w:t xml:space="preserve"> citizens meet each other, in this case, offenders and victims, to heal their relationship. The state provides the space b</w:t>
      </w:r>
      <w:r w:rsidR="009518C8">
        <w:rPr>
          <w:sz w:val="22"/>
          <w:szCs w:val="22"/>
        </w:rPr>
        <w:t>ut what happens there is</w:t>
      </w:r>
      <w:r w:rsidR="00F8510C">
        <w:rPr>
          <w:sz w:val="22"/>
          <w:szCs w:val="22"/>
        </w:rPr>
        <w:t xml:space="preserve"> up to</w:t>
      </w:r>
      <w:r w:rsidR="004357B4" w:rsidRPr="002B3FE5">
        <w:rPr>
          <w:sz w:val="22"/>
          <w:szCs w:val="22"/>
        </w:rPr>
        <w:t xml:space="preserve"> the participants. In this sense it is anti-elitist but not, as criminal justice has recently tended to b</w:t>
      </w:r>
      <w:r w:rsidR="00F67F0D">
        <w:rPr>
          <w:sz w:val="22"/>
          <w:szCs w:val="22"/>
        </w:rPr>
        <w:t xml:space="preserve">e, punitive and tyrannical. </w:t>
      </w:r>
      <w:r w:rsidR="00C907C0">
        <w:rPr>
          <w:sz w:val="22"/>
          <w:szCs w:val="22"/>
        </w:rPr>
        <w:t>Restorative Justice can</w:t>
      </w:r>
      <w:r w:rsidR="007044F2">
        <w:rPr>
          <w:sz w:val="22"/>
          <w:szCs w:val="22"/>
        </w:rPr>
        <w:t xml:space="preserve"> </w:t>
      </w:r>
      <w:r w:rsidR="00C907C0">
        <w:rPr>
          <w:sz w:val="22"/>
          <w:szCs w:val="22"/>
        </w:rPr>
        <w:t xml:space="preserve">be done </w:t>
      </w:r>
      <w:r w:rsidR="007044F2">
        <w:rPr>
          <w:sz w:val="22"/>
          <w:szCs w:val="22"/>
        </w:rPr>
        <w:t>i</w:t>
      </w:r>
      <w:r w:rsidR="001076D7">
        <w:rPr>
          <w:sz w:val="22"/>
          <w:szCs w:val="22"/>
        </w:rPr>
        <w:t>n line with</w:t>
      </w:r>
      <w:r w:rsidR="00C907C0">
        <w:rPr>
          <w:sz w:val="22"/>
          <w:szCs w:val="22"/>
        </w:rPr>
        <w:t xml:space="preserve"> </w:t>
      </w:r>
      <w:r w:rsidR="00660CE5">
        <w:rPr>
          <w:sz w:val="22"/>
          <w:szCs w:val="22"/>
          <w:lang w:val="en-NZ"/>
        </w:rPr>
        <w:t>t</w:t>
      </w:r>
      <w:r w:rsidR="00C907C0" w:rsidRPr="00C907C0">
        <w:rPr>
          <w:sz w:val="22"/>
          <w:szCs w:val="22"/>
          <w:lang w:val="en-NZ"/>
        </w:rPr>
        <w:t>ikanga Māori</w:t>
      </w:r>
      <w:r w:rsidR="007044F2">
        <w:rPr>
          <w:sz w:val="22"/>
          <w:szCs w:val="22"/>
        </w:rPr>
        <w:t xml:space="preserve"> </w:t>
      </w:r>
      <w:r w:rsidR="00EA3365">
        <w:rPr>
          <w:sz w:val="22"/>
          <w:szCs w:val="22"/>
        </w:rPr>
        <w:t xml:space="preserve">if that </w:t>
      </w:r>
      <w:r w:rsidR="001F58DD">
        <w:rPr>
          <w:sz w:val="22"/>
          <w:szCs w:val="22"/>
        </w:rPr>
        <w:t>is what the participants choose.</w:t>
      </w:r>
      <w:r w:rsidR="004357B4" w:rsidRPr="002B3FE5">
        <w:rPr>
          <w:sz w:val="22"/>
          <w:szCs w:val="22"/>
        </w:rPr>
        <w:t xml:space="preserve"> </w:t>
      </w:r>
      <w:r w:rsidR="001F58DD">
        <w:rPr>
          <w:sz w:val="22"/>
          <w:szCs w:val="22"/>
        </w:rPr>
        <w:t xml:space="preserve">It </w:t>
      </w:r>
      <w:r w:rsidR="00C907C0">
        <w:rPr>
          <w:sz w:val="22"/>
          <w:szCs w:val="22"/>
        </w:rPr>
        <w:t xml:space="preserve">is </w:t>
      </w:r>
      <w:r w:rsidR="004357B4" w:rsidRPr="002B3FE5">
        <w:rPr>
          <w:sz w:val="22"/>
          <w:szCs w:val="22"/>
        </w:rPr>
        <w:t xml:space="preserve">a logical extension </w:t>
      </w:r>
      <w:r w:rsidR="00660CE5">
        <w:rPr>
          <w:sz w:val="22"/>
          <w:szCs w:val="22"/>
        </w:rPr>
        <w:t>of our</w:t>
      </w:r>
      <w:r w:rsidR="004357B4" w:rsidRPr="002B3FE5">
        <w:rPr>
          <w:sz w:val="22"/>
          <w:szCs w:val="22"/>
        </w:rPr>
        <w:t xml:space="preserve"> </w:t>
      </w:r>
      <w:hyperlink r:id="rId22" w:history="1">
        <w:r w:rsidR="004357B4" w:rsidRPr="002B3FE5">
          <w:rPr>
            <w:rStyle w:val="Hyperlink"/>
            <w:sz w:val="22"/>
            <w:szCs w:val="22"/>
          </w:rPr>
          <w:t>Democracy Reset</w:t>
        </w:r>
      </w:hyperlink>
      <w:r w:rsidR="004357B4" w:rsidRPr="002B3FE5">
        <w:rPr>
          <w:sz w:val="22"/>
          <w:szCs w:val="22"/>
        </w:rPr>
        <w:t xml:space="preserve"> policy, which aims to put more decision making power in the hands of ordinary people. </w:t>
      </w:r>
    </w:p>
    <w:p w14:paraId="508478AC" w14:textId="77777777" w:rsidR="004357B4" w:rsidRDefault="004357B4" w:rsidP="00206C8A">
      <w:pPr>
        <w:rPr>
          <w:sz w:val="22"/>
          <w:szCs w:val="22"/>
        </w:rPr>
      </w:pPr>
    </w:p>
    <w:p w14:paraId="1FD71A99" w14:textId="4FA74A5C" w:rsidR="00206C8A" w:rsidRDefault="00785E2E" w:rsidP="00B859B7">
      <w:pPr>
        <w:spacing w:before="20" w:after="80"/>
        <w:rPr>
          <w:rFonts w:asciiTheme="majorHAnsi" w:hAnsiTheme="majorHAnsi" w:cs="Arial"/>
          <w:b/>
          <w:sz w:val="22"/>
          <w:szCs w:val="22"/>
        </w:rPr>
      </w:pPr>
      <w:r w:rsidRPr="00785E2E">
        <w:rPr>
          <w:rFonts w:asciiTheme="majorHAnsi" w:hAnsiTheme="majorHAnsi" w:cs="Arial"/>
          <w:b/>
          <w:sz w:val="22"/>
          <w:szCs w:val="22"/>
        </w:rPr>
        <w:t>Develop more options to cost-effectively address offending</w:t>
      </w:r>
    </w:p>
    <w:p w14:paraId="119868E3" w14:textId="77777777" w:rsidR="00160CEC" w:rsidRDefault="00160CEC" w:rsidP="00160CEC">
      <w:pPr>
        <w:rPr>
          <w:sz w:val="22"/>
          <w:szCs w:val="22"/>
        </w:rPr>
      </w:pPr>
    </w:p>
    <w:p w14:paraId="1E4026B4" w14:textId="7658F9CF" w:rsidR="00160CEC" w:rsidRDefault="00EA3365" w:rsidP="00160CEC">
      <w:pPr>
        <w:rPr>
          <w:sz w:val="22"/>
          <w:szCs w:val="22"/>
        </w:rPr>
      </w:pPr>
      <w:r>
        <w:rPr>
          <w:sz w:val="22"/>
          <w:szCs w:val="22"/>
        </w:rPr>
        <w:t>Investing more in what works</w:t>
      </w:r>
      <w:r w:rsidR="00160CEC">
        <w:rPr>
          <w:sz w:val="22"/>
          <w:szCs w:val="22"/>
        </w:rPr>
        <w:t xml:space="preserve"> will kick</w:t>
      </w:r>
      <w:r w:rsidR="0090162A">
        <w:rPr>
          <w:sz w:val="22"/>
          <w:szCs w:val="22"/>
        </w:rPr>
        <w:t xml:space="preserve"> </w:t>
      </w:r>
      <w:r w:rsidR="00160CEC">
        <w:rPr>
          <w:sz w:val="22"/>
          <w:szCs w:val="22"/>
        </w:rPr>
        <w:t>start a virtuous c</w:t>
      </w:r>
      <w:r w:rsidR="003B22CF">
        <w:rPr>
          <w:sz w:val="22"/>
          <w:szCs w:val="22"/>
        </w:rPr>
        <w:t>ycle</w:t>
      </w:r>
      <w:r w:rsidR="00160CEC">
        <w:rPr>
          <w:sz w:val="22"/>
          <w:szCs w:val="22"/>
        </w:rPr>
        <w:t xml:space="preserve"> of reduced prison populations, which in turn frees up funding for further reinvestment</w:t>
      </w:r>
      <w:r w:rsidR="00583C57">
        <w:rPr>
          <w:sz w:val="22"/>
          <w:szCs w:val="22"/>
        </w:rPr>
        <w:t xml:space="preserve"> in new ideas that can reduce crime and the prison population</w:t>
      </w:r>
      <w:r w:rsidR="00160CEC">
        <w:rPr>
          <w:sz w:val="22"/>
          <w:szCs w:val="22"/>
        </w:rPr>
        <w:t xml:space="preserve">. </w:t>
      </w:r>
    </w:p>
    <w:p w14:paraId="7C215452" w14:textId="77777777" w:rsidR="00160CEC" w:rsidRPr="00785E2E" w:rsidRDefault="00160CEC" w:rsidP="00B859B7">
      <w:pPr>
        <w:spacing w:before="20" w:after="80"/>
        <w:rPr>
          <w:rFonts w:asciiTheme="majorHAnsi" w:hAnsiTheme="majorHAnsi" w:cs="Arial"/>
          <w:b/>
          <w:sz w:val="22"/>
          <w:szCs w:val="22"/>
        </w:rPr>
      </w:pPr>
    </w:p>
    <w:p w14:paraId="5C306B10" w14:textId="6232D9A6" w:rsidR="00B859B7" w:rsidRDefault="00B859B7" w:rsidP="00B859B7">
      <w:pPr>
        <w:spacing w:before="20" w:after="80"/>
        <w:rPr>
          <w:rFonts w:ascii="Arial" w:hAnsi="Arial" w:cs="Arial"/>
          <w:sz w:val="22"/>
          <w:szCs w:val="22"/>
        </w:rPr>
      </w:pPr>
      <w:r w:rsidRPr="00B859B7">
        <w:rPr>
          <w:rFonts w:ascii="Arial" w:hAnsi="Arial" w:cs="Arial"/>
          <w:sz w:val="22"/>
          <w:szCs w:val="22"/>
        </w:rPr>
        <w:t>5</w:t>
      </w:r>
      <w:r w:rsidR="00816576">
        <w:rPr>
          <w:rFonts w:ascii="Arial" w:hAnsi="Arial" w:cs="Arial"/>
          <w:sz w:val="22"/>
          <w:szCs w:val="22"/>
        </w:rPr>
        <w:t>.</w:t>
      </w:r>
      <w:r w:rsidRPr="00B859B7">
        <w:rPr>
          <w:rFonts w:ascii="Arial" w:hAnsi="Arial" w:cs="Arial"/>
          <w:sz w:val="22"/>
          <w:szCs w:val="22"/>
        </w:rPr>
        <w:t xml:space="preserve"> Develop an innovative </w:t>
      </w:r>
      <w:r w:rsidR="00EA3365">
        <w:rPr>
          <w:rFonts w:ascii="Arial" w:hAnsi="Arial" w:cs="Arial"/>
          <w:sz w:val="22"/>
          <w:szCs w:val="22"/>
        </w:rPr>
        <w:t>alternative-to-prison industry that</w:t>
      </w:r>
      <w:r w:rsidRPr="00B859B7">
        <w:rPr>
          <w:rFonts w:ascii="Arial" w:hAnsi="Arial" w:cs="Arial"/>
          <w:sz w:val="22"/>
          <w:szCs w:val="22"/>
        </w:rPr>
        <w:t xml:space="preserve"> provide</w:t>
      </w:r>
      <w:r w:rsidR="00EA3365">
        <w:rPr>
          <w:rFonts w:ascii="Arial" w:hAnsi="Arial" w:cs="Arial"/>
          <w:sz w:val="22"/>
          <w:szCs w:val="22"/>
        </w:rPr>
        <w:t>s</w:t>
      </w:r>
      <w:r w:rsidRPr="00B859B7">
        <w:rPr>
          <w:rFonts w:ascii="Arial" w:hAnsi="Arial" w:cs="Arial"/>
          <w:sz w:val="22"/>
          <w:szCs w:val="22"/>
        </w:rPr>
        <w:t xml:space="preserve"> judges </w:t>
      </w:r>
      <w:r w:rsidR="006700B3">
        <w:rPr>
          <w:rFonts w:ascii="Arial" w:hAnsi="Arial" w:cs="Arial"/>
          <w:sz w:val="22"/>
          <w:szCs w:val="22"/>
        </w:rPr>
        <w:t xml:space="preserve">and the Parole Board </w:t>
      </w:r>
      <w:r w:rsidRPr="00B859B7">
        <w:rPr>
          <w:rFonts w:ascii="Arial" w:hAnsi="Arial" w:cs="Arial"/>
          <w:sz w:val="22"/>
          <w:szCs w:val="22"/>
        </w:rPr>
        <w:t xml:space="preserve">with good cost-effective alternatives to putting </w:t>
      </w:r>
      <w:r w:rsidR="006700B3">
        <w:rPr>
          <w:rFonts w:ascii="Arial" w:hAnsi="Arial" w:cs="Arial"/>
          <w:sz w:val="22"/>
          <w:szCs w:val="22"/>
        </w:rPr>
        <w:t xml:space="preserve">or keeping </w:t>
      </w:r>
      <w:r w:rsidRPr="00B859B7">
        <w:rPr>
          <w:rFonts w:ascii="Arial" w:hAnsi="Arial" w:cs="Arial"/>
          <w:sz w:val="22"/>
          <w:szCs w:val="22"/>
        </w:rPr>
        <w:t>people in prison.</w:t>
      </w:r>
    </w:p>
    <w:p w14:paraId="106ADAB1" w14:textId="77777777" w:rsidR="00BC500D" w:rsidRPr="00BC500D" w:rsidRDefault="00BC500D" w:rsidP="00BC500D">
      <w:pPr>
        <w:spacing w:before="20" w:after="80"/>
        <w:rPr>
          <w:rFonts w:cs="Arial"/>
          <w:sz w:val="22"/>
          <w:szCs w:val="22"/>
        </w:rPr>
      </w:pPr>
    </w:p>
    <w:p w14:paraId="3A8062E5" w14:textId="53D498F5" w:rsidR="00BC500D" w:rsidRDefault="00CE2915" w:rsidP="00BC500D">
      <w:pPr>
        <w:spacing w:before="20" w:after="80"/>
        <w:rPr>
          <w:rFonts w:cs="Arial"/>
          <w:sz w:val="22"/>
          <w:szCs w:val="22"/>
        </w:rPr>
      </w:pPr>
      <w:r>
        <w:rPr>
          <w:rFonts w:cs="Arial"/>
          <w:sz w:val="22"/>
          <w:szCs w:val="22"/>
        </w:rPr>
        <w:t>This policy</w:t>
      </w:r>
      <w:r w:rsidR="00D3467C">
        <w:rPr>
          <w:rFonts w:cs="Arial"/>
          <w:sz w:val="22"/>
          <w:szCs w:val="22"/>
        </w:rPr>
        <w:t xml:space="preserve"> </w:t>
      </w:r>
      <w:r w:rsidR="00FC4E9F">
        <w:rPr>
          <w:rFonts w:cs="Arial"/>
          <w:sz w:val="22"/>
          <w:szCs w:val="22"/>
        </w:rPr>
        <w:t>assume</w:t>
      </w:r>
      <w:r>
        <w:rPr>
          <w:rFonts w:cs="Arial"/>
          <w:sz w:val="22"/>
          <w:szCs w:val="22"/>
        </w:rPr>
        <w:t>s</w:t>
      </w:r>
      <w:r w:rsidR="00FC4E9F">
        <w:rPr>
          <w:rFonts w:cs="Arial"/>
          <w:sz w:val="22"/>
          <w:szCs w:val="22"/>
        </w:rPr>
        <w:t xml:space="preserve"> </w:t>
      </w:r>
      <w:r w:rsidR="00BC500D" w:rsidRPr="00BC500D">
        <w:rPr>
          <w:rFonts w:cs="Arial"/>
          <w:sz w:val="22"/>
          <w:szCs w:val="22"/>
        </w:rPr>
        <w:t>that the</w:t>
      </w:r>
      <w:r w:rsidR="00037E3E">
        <w:rPr>
          <w:rFonts w:cs="Arial"/>
          <w:sz w:val="22"/>
          <w:szCs w:val="22"/>
        </w:rPr>
        <w:t xml:space="preserve"> cou</w:t>
      </w:r>
      <w:r w:rsidR="00F36381">
        <w:rPr>
          <w:rFonts w:cs="Arial"/>
          <w:sz w:val="22"/>
          <w:szCs w:val="22"/>
        </w:rPr>
        <w:t>rts and the Parole Board are</w:t>
      </w:r>
      <w:r w:rsidR="00BC500D" w:rsidRPr="00BC500D">
        <w:rPr>
          <w:rFonts w:cs="Arial"/>
          <w:sz w:val="22"/>
          <w:szCs w:val="22"/>
        </w:rPr>
        <w:t xml:space="preserve"> well aware of prison’s failings and if they had the option of referring offenders to good alte</w:t>
      </w:r>
      <w:r w:rsidR="00FC4E9F">
        <w:rPr>
          <w:rFonts w:cs="Arial"/>
          <w:sz w:val="22"/>
          <w:szCs w:val="22"/>
        </w:rPr>
        <w:t>rnatives to prison, they would.</w:t>
      </w:r>
    </w:p>
    <w:p w14:paraId="5A6579E2" w14:textId="77777777" w:rsidR="00EA3365" w:rsidRDefault="00EA3365" w:rsidP="00BC500D">
      <w:pPr>
        <w:spacing w:before="20" w:after="80"/>
        <w:rPr>
          <w:rFonts w:cs="Arial"/>
          <w:sz w:val="22"/>
          <w:szCs w:val="22"/>
        </w:rPr>
      </w:pPr>
    </w:p>
    <w:p w14:paraId="0201C213" w14:textId="45FAD8ED" w:rsidR="00EA3365" w:rsidRDefault="00EA3365" w:rsidP="00BC500D">
      <w:pPr>
        <w:spacing w:before="20" w:after="80"/>
        <w:rPr>
          <w:rFonts w:cs="Arial"/>
          <w:sz w:val="22"/>
          <w:szCs w:val="22"/>
        </w:rPr>
      </w:pPr>
      <w:r>
        <w:rPr>
          <w:rFonts w:cs="Arial"/>
          <w:sz w:val="22"/>
          <w:szCs w:val="22"/>
        </w:rPr>
        <w:t xml:space="preserve">The Opportunities Party does not have all the answers but we believe that if properly funded, New Zealanders are smart enough to come up with better </w:t>
      </w:r>
      <w:r w:rsidR="00CE2915">
        <w:rPr>
          <w:rFonts w:cs="Arial"/>
          <w:sz w:val="22"/>
          <w:szCs w:val="22"/>
        </w:rPr>
        <w:t>ways to treat offenders</w:t>
      </w:r>
      <w:r w:rsidR="00AB307C">
        <w:rPr>
          <w:rFonts w:cs="Arial"/>
          <w:sz w:val="22"/>
          <w:szCs w:val="22"/>
        </w:rPr>
        <w:t>’</w:t>
      </w:r>
      <w:r w:rsidR="00CE2915">
        <w:rPr>
          <w:rFonts w:cs="Arial"/>
          <w:sz w:val="22"/>
          <w:szCs w:val="22"/>
        </w:rPr>
        <w:t xml:space="preserve"> addiction</w:t>
      </w:r>
      <w:r w:rsidR="00AB307C">
        <w:rPr>
          <w:rFonts w:cs="Arial"/>
          <w:sz w:val="22"/>
          <w:szCs w:val="22"/>
        </w:rPr>
        <w:t>s</w:t>
      </w:r>
      <w:r w:rsidR="00CE2915">
        <w:rPr>
          <w:rFonts w:cs="Arial"/>
          <w:sz w:val="22"/>
          <w:szCs w:val="22"/>
        </w:rPr>
        <w:t xml:space="preserve"> and mental illness, rehabilitate</w:t>
      </w:r>
      <w:r w:rsidR="00AB307C">
        <w:rPr>
          <w:rFonts w:cs="Arial"/>
          <w:sz w:val="22"/>
          <w:szCs w:val="22"/>
        </w:rPr>
        <w:t xml:space="preserve"> and reintegrate</w:t>
      </w:r>
      <w:r w:rsidR="00CE2915">
        <w:rPr>
          <w:rFonts w:cs="Arial"/>
          <w:sz w:val="22"/>
          <w:szCs w:val="22"/>
        </w:rPr>
        <w:t xml:space="preserve"> them</w:t>
      </w:r>
      <w:r w:rsidR="00AB307C">
        <w:rPr>
          <w:rFonts w:cs="Arial"/>
          <w:sz w:val="22"/>
          <w:szCs w:val="22"/>
        </w:rPr>
        <w:t xml:space="preserve"> into the community</w:t>
      </w:r>
      <w:r w:rsidR="00CE2915">
        <w:rPr>
          <w:rFonts w:cs="Arial"/>
          <w:sz w:val="22"/>
          <w:szCs w:val="22"/>
        </w:rPr>
        <w:t>.</w:t>
      </w:r>
    </w:p>
    <w:p w14:paraId="1C76E436" w14:textId="77777777" w:rsidR="00FC4E9F" w:rsidRPr="00BC500D" w:rsidRDefault="00FC4E9F" w:rsidP="00BC500D">
      <w:pPr>
        <w:spacing w:before="20" w:after="80"/>
        <w:rPr>
          <w:rFonts w:cs="Arial"/>
          <w:sz w:val="22"/>
          <w:szCs w:val="22"/>
        </w:rPr>
      </w:pPr>
    </w:p>
    <w:p w14:paraId="2D6C729F" w14:textId="70B4F9E2" w:rsidR="00BC500D" w:rsidRDefault="00570B26" w:rsidP="00BC500D">
      <w:pPr>
        <w:spacing w:before="20" w:after="80"/>
        <w:rPr>
          <w:rFonts w:cs="Arial"/>
          <w:sz w:val="22"/>
          <w:szCs w:val="22"/>
        </w:rPr>
      </w:pPr>
      <w:r>
        <w:rPr>
          <w:rFonts w:cs="Arial"/>
          <w:sz w:val="22"/>
          <w:szCs w:val="22"/>
        </w:rPr>
        <w:t>T</w:t>
      </w:r>
      <w:r w:rsidR="00300635">
        <w:rPr>
          <w:rFonts w:cs="Arial"/>
          <w:sz w:val="22"/>
          <w:szCs w:val="22"/>
        </w:rPr>
        <w:t>o work</w:t>
      </w:r>
      <w:r w:rsidR="00773B86">
        <w:rPr>
          <w:rFonts w:cs="Arial"/>
          <w:sz w:val="22"/>
          <w:szCs w:val="22"/>
        </w:rPr>
        <w:t xml:space="preserve"> well the </w:t>
      </w:r>
      <w:r w:rsidR="00EA3365">
        <w:rPr>
          <w:rFonts w:cs="Arial"/>
          <w:sz w:val="22"/>
          <w:szCs w:val="22"/>
        </w:rPr>
        <w:t>industry</w:t>
      </w:r>
      <w:r w:rsidR="006D5CB0">
        <w:rPr>
          <w:rFonts w:cs="Arial"/>
          <w:sz w:val="22"/>
          <w:szCs w:val="22"/>
        </w:rPr>
        <w:t xml:space="preserve"> </w:t>
      </w:r>
      <w:r>
        <w:rPr>
          <w:rFonts w:cs="Arial"/>
          <w:sz w:val="22"/>
          <w:szCs w:val="22"/>
        </w:rPr>
        <w:t>need reliable government funding over a</w:t>
      </w:r>
      <w:r w:rsidR="00361CDE">
        <w:rPr>
          <w:rFonts w:cs="Arial"/>
          <w:sz w:val="22"/>
          <w:szCs w:val="22"/>
        </w:rPr>
        <w:t>n extended period;</w:t>
      </w:r>
      <w:r>
        <w:rPr>
          <w:rFonts w:cs="Arial"/>
          <w:sz w:val="22"/>
          <w:szCs w:val="22"/>
        </w:rPr>
        <w:t xml:space="preserve"> </w:t>
      </w:r>
      <w:r w:rsidR="00363BD0">
        <w:rPr>
          <w:rFonts w:cs="Arial"/>
          <w:sz w:val="22"/>
          <w:szCs w:val="22"/>
        </w:rPr>
        <w:t>an</w:t>
      </w:r>
      <w:r w:rsidR="00901235">
        <w:rPr>
          <w:rFonts w:cs="Arial"/>
          <w:sz w:val="22"/>
          <w:szCs w:val="22"/>
        </w:rPr>
        <w:t>d an</w:t>
      </w:r>
      <w:r w:rsidR="00363BD0">
        <w:rPr>
          <w:rFonts w:cs="Arial"/>
          <w:sz w:val="22"/>
          <w:szCs w:val="22"/>
        </w:rPr>
        <w:t xml:space="preserve"> ability to experiment and </w:t>
      </w:r>
      <w:r w:rsidR="00E6547A">
        <w:rPr>
          <w:rFonts w:cs="Arial"/>
          <w:sz w:val="22"/>
          <w:szCs w:val="22"/>
        </w:rPr>
        <w:t xml:space="preserve">take </w:t>
      </w:r>
      <w:r w:rsidR="00363BD0">
        <w:rPr>
          <w:rFonts w:cs="Arial"/>
          <w:sz w:val="22"/>
          <w:szCs w:val="22"/>
        </w:rPr>
        <w:t>risk</w:t>
      </w:r>
      <w:r w:rsidR="00E6547A">
        <w:rPr>
          <w:rFonts w:cs="Arial"/>
          <w:sz w:val="22"/>
          <w:szCs w:val="22"/>
        </w:rPr>
        <w:t>s</w:t>
      </w:r>
      <w:r>
        <w:rPr>
          <w:rFonts w:cs="Arial"/>
          <w:sz w:val="22"/>
          <w:szCs w:val="22"/>
        </w:rPr>
        <w:t xml:space="preserve">. </w:t>
      </w:r>
    </w:p>
    <w:p w14:paraId="21D25D5D" w14:textId="77777777" w:rsidR="00FC4E9F" w:rsidRPr="00BC500D" w:rsidRDefault="00FC4E9F" w:rsidP="00BC500D">
      <w:pPr>
        <w:spacing w:before="20" w:after="80"/>
        <w:rPr>
          <w:rFonts w:cs="Arial"/>
          <w:sz w:val="22"/>
          <w:szCs w:val="22"/>
        </w:rPr>
      </w:pPr>
    </w:p>
    <w:p w14:paraId="2C837986" w14:textId="6A69CBA0" w:rsidR="00BC500D" w:rsidRPr="00445E76" w:rsidRDefault="00136D79" w:rsidP="00BC500D">
      <w:pPr>
        <w:spacing w:before="20" w:after="80"/>
        <w:rPr>
          <w:rFonts w:cs="Arial"/>
          <w:b/>
          <w:bCs/>
          <w:sz w:val="22"/>
          <w:szCs w:val="22"/>
          <w:lang w:val="en-NZ"/>
        </w:rPr>
      </w:pPr>
      <w:r>
        <w:rPr>
          <w:rFonts w:cs="Arial"/>
          <w:sz w:val="22"/>
          <w:szCs w:val="22"/>
        </w:rPr>
        <w:t>We expect</w:t>
      </w:r>
      <w:r w:rsidR="00BC500D" w:rsidRPr="00BC500D">
        <w:rPr>
          <w:rFonts w:cs="Arial"/>
          <w:sz w:val="22"/>
          <w:szCs w:val="22"/>
        </w:rPr>
        <w:t xml:space="preserve"> that iwi would </w:t>
      </w:r>
      <w:r w:rsidR="006D5CB0">
        <w:rPr>
          <w:rFonts w:cs="Arial"/>
          <w:sz w:val="22"/>
          <w:szCs w:val="22"/>
        </w:rPr>
        <w:t>play</w:t>
      </w:r>
      <w:r w:rsidR="00BC500D" w:rsidRPr="00BC500D">
        <w:rPr>
          <w:rFonts w:cs="Arial"/>
          <w:sz w:val="22"/>
          <w:szCs w:val="22"/>
        </w:rPr>
        <w:t xml:space="preserve"> an important part of th</w:t>
      </w:r>
      <w:r w:rsidR="00896F38">
        <w:rPr>
          <w:rFonts w:cs="Arial"/>
          <w:sz w:val="22"/>
          <w:szCs w:val="22"/>
        </w:rPr>
        <w:t>e alternative-to-prison industry</w:t>
      </w:r>
      <w:r w:rsidR="00BC500D" w:rsidRPr="00BC500D">
        <w:rPr>
          <w:rFonts w:cs="Arial"/>
          <w:sz w:val="22"/>
          <w:szCs w:val="22"/>
        </w:rPr>
        <w:t xml:space="preserve"> bec</w:t>
      </w:r>
      <w:r w:rsidR="00140A53">
        <w:rPr>
          <w:rFonts w:cs="Arial"/>
          <w:sz w:val="22"/>
          <w:szCs w:val="22"/>
        </w:rPr>
        <w:t xml:space="preserve">ause of the high number of </w:t>
      </w:r>
      <w:r w:rsidR="00140A53" w:rsidRPr="00BC500D">
        <w:rPr>
          <w:rFonts w:cs="Arial"/>
          <w:bCs/>
          <w:sz w:val="22"/>
          <w:szCs w:val="22"/>
          <w:lang w:val="en-NZ"/>
        </w:rPr>
        <w:t>Māori</w:t>
      </w:r>
      <w:r w:rsidR="00BC500D" w:rsidRPr="00BC500D">
        <w:rPr>
          <w:rFonts w:cs="Arial"/>
          <w:sz w:val="22"/>
          <w:szCs w:val="22"/>
        </w:rPr>
        <w:t xml:space="preserve"> in the criminal justice system, and because the different</w:t>
      </w:r>
      <w:r w:rsidR="004A6736" w:rsidRPr="004A6736">
        <w:rPr>
          <w:rFonts w:cs="Arial"/>
          <w:bCs/>
          <w:sz w:val="22"/>
          <w:szCs w:val="22"/>
          <w:lang w:val="en-NZ"/>
        </w:rPr>
        <w:t xml:space="preserve"> </w:t>
      </w:r>
      <w:r w:rsidR="004A6736">
        <w:rPr>
          <w:rFonts w:cs="Arial"/>
          <w:bCs/>
          <w:sz w:val="22"/>
          <w:szCs w:val="22"/>
          <w:lang w:val="en-NZ"/>
        </w:rPr>
        <w:t>tikanga Māori perspective</w:t>
      </w:r>
      <w:r w:rsidR="004A6736">
        <w:rPr>
          <w:rFonts w:cs="Arial"/>
          <w:sz w:val="22"/>
          <w:szCs w:val="22"/>
        </w:rPr>
        <w:t xml:space="preserve"> iwi bring </w:t>
      </w:r>
      <w:r w:rsidR="00FB4BAF">
        <w:rPr>
          <w:rFonts w:cs="Arial"/>
          <w:bCs/>
          <w:sz w:val="22"/>
          <w:szCs w:val="22"/>
          <w:lang w:val="en-NZ"/>
        </w:rPr>
        <w:t>will</w:t>
      </w:r>
      <w:r>
        <w:rPr>
          <w:rFonts w:cs="Arial"/>
          <w:sz w:val="22"/>
          <w:szCs w:val="22"/>
        </w:rPr>
        <w:t xml:space="preserve"> make the</w:t>
      </w:r>
      <w:r w:rsidR="00C116B7">
        <w:rPr>
          <w:rFonts w:cs="Arial"/>
          <w:sz w:val="22"/>
          <w:szCs w:val="22"/>
        </w:rPr>
        <w:t xml:space="preserve"> industry</w:t>
      </w:r>
      <w:r w:rsidR="00BC500D" w:rsidRPr="00BC500D">
        <w:rPr>
          <w:rFonts w:cs="Arial"/>
          <w:sz w:val="22"/>
          <w:szCs w:val="22"/>
        </w:rPr>
        <w:t xml:space="preserve"> more innovative. </w:t>
      </w:r>
    </w:p>
    <w:p w14:paraId="13814D68" w14:textId="77777777" w:rsidR="002D0C40" w:rsidRDefault="002D0C40" w:rsidP="00EA3365">
      <w:pPr>
        <w:rPr>
          <w:sz w:val="22"/>
          <w:szCs w:val="22"/>
        </w:rPr>
      </w:pPr>
    </w:p>
    <w:p w14:paraId="11B0139A" w14:textId="77777777" w:rsidR="00EA3365" w:rsidRDefault="00EA3365" w:rsidP="00EA3365">
      <w:pPr>
        <w:rPr>
          <w:sz w:val="22"/>
          <w:szCs w:val="22"/>
        </w:rPr>
      </w:pPr>
      <w:r>
        <w:rPr>
          <w:sz w:val="22"/>
          <w:szCs w:val="22"/>
        </w:rPr>
        <w:t xml:space="preserve">This policy is fiscally neutral, meaning it won’t cost the taxpayer any more. The </w:t>
      </w:r>
      <w:proofErr w:type="spellStart"/>
      <w:r>
        <w:rPr>
          <w:sz w:val="22"/>
          <w:szCs w:val="22"/>
        </w:rPr>
        <w:t>programmes</w:t>
      </w:r>
      <w:proofErr w:type="spellEnd"/>
      <w:r>
        <w:rPr>
          <w:sz w:val="22"/>
          <w:szCs w:val="22"/>
        </w:rPr>
        <w:t xml:space="preserve"> will be funded from the savings from reducing the prison population.</w:t>
      </w:r>
    </w:p>
    <w:p w14:paraId="4FDA5A85" w14:textId="77777777" w:rsidR="004C54C5" w:rsidRDefault="004C54C5" w:rsidP="00B859B7">
      <w:pPr>
        <w:spacing w:before="20" w:after="80"/>
        <w:rPr>
          <w:rFonts w:ascii="Arial" w:hAnsi="Arial" w:cs="Arial"/>
          <w:sz w:val="22"/>
          <w:szCs w:val="22"/>
        </w:rPr>
      </w:pPr>
    </w:p>
    <w:p w14:paraId="43A0E581" w14:textId="77777777" w:rsidR="00160CEC" w:rsidRPr="00CE4F87" w:rsidRDefault="00160CEC" w:rsidP="00160CEC">
      <w:pPr>
        <w:rPr>
          <w:rFonts w:asciiTheme="majorHAnsi" w:hAnsiTheme="majorHAnsi"/>
          <w:b/>
          <w:sz w:val="22"/>
          <w:szCs w:val="22"/>
          <w:lang w:val="en-NZ"/>
        </w:rPr>
      </w:pPr>
      <w:r w:rsidRPr="00CE4F87">
        <w:rPr>
          <w:rFonts w:asciiTheme="majorHAnsi" w:hAnsiTheme="majorHAnsi"/>
          <w:b/>
          <w:sz w:val="22"/>
          <w:szCs w:val="22"/>
          <w:lang w:val="en-NZ"/>
        </w:rPr>
        <w:lastRenderedPageBreak/>
        <w:t>We want to reduce the prison population to 6,000 by 2027 and invest money saved in rehabilitating offenders and good social policies</w:t>
      </w:r>
    </w:p>
    <w:p w14:paraId="0E9166AD" w14:textId="77777777" w:rsidR="00160CEC" w:rsidRPr="00CE4F87" w:rsidRDefault="00160CEC" w:rsidP="00160CEC">
      <w:pPr>
        <w:rPr>
          <w:rFonts w:asciiTheme="majorHAnsi" w:hAnsiTheme="majorHAnsi"/>
          <w:b/>
          <w:sz w:val="22"/>
          <w:szCs w:val="22"/>
          <w:lang w:val="en-NZ"/>
        </w:rPr>
      </w:pPr>
    </w:p>
    <w:p w14:paraId="7B1CA208" w14:textId="77777777" w:rsidR="00160CEC" w:rsidRPr="00CE4F87" w:rsidRDefault="00160CEC" w:rsidP="00160CEC">
      <w:pPr>
        <w:rPr>
          <w:rFonts w:asciiTheme="majorHAnsi" w:hAnsiTheme="majorHAnsi"/>
          <w:b/>
          <w:sz w:val="22"/>
          <w:szCs w:val="22"/>
          <w:lang w:val="en-NZ"/>
        </w:rPr>
      </w:pPr>
      <w:r w:rsidRPr="00CE4F87">
        <w:rPr>
          <w:rFonts w:asciiTheme="majorHAnsi" w:hAnsiTheme="majorHAnsi"/>
          <w:b/>
          <w:sz w:val="22"/>
          <w:szCs w:val="22"/>
          <w:lang w:val="en-NZ"/>
        </w:rPr>
        <w:t>The goal</w:t>
      </w:r>
    </w:p>
    <w:p w14:paraId="14810D09" w14:textId="69E3443E" w:rsidR="00160CEC" w:rsidRPr="00CE4F87" w:rsidRDefault="00160CEC" w:rsidP="00160CEC">
      <w:pPr>
        <w:rPr>
          <w:rFonts w:cs="Arial"/>
          <w:sz w:val="22"/>
          <w:szCs w:val="22"/>
        </w:rPr>
      </w:pPr>
      <w:r w:rsidRPr="00CE4F87">
        <w:rPr>
          <w:rFonts w:cs="Arial"/>
          <w:sz w:val="22"/>
          <w:szCs w:val="22"/>
        </w:rPr>
        <w:t xml:space="preserve">If </w:t>
      </w:r>
      <w:r w:rsidR="00CE2915">
        <w:rPr>
          <w:rFonts w:cs="Arial"/>
          <w:sz w:val="22"/>
          <w:szCs w:val="22"/>
        </w:rPr>
        <w:t>New Zealand</w:t>
      </w:r>
      <w:r w:rsidRPr="00CE4F87">
        <w:rPr>
          <w:rFonts w:cs="Arial"/>
          <w:sz w:val="22"/>
          <w:szCs w:val="22"/>
        </w:rPr>
        <w:t xml:space="preserve"> achieve</w:t>
      </w:r>
      <w:r w:rsidR="00CE2915">
        <w:rPr>
          <w:rFonts w:cs="Arial"/>
          <w:sz w:val="22"/>
          <w:szCs w:val="22"/>
        </w:rPr>
        <w:t>s</w:t>
      </w:r>
      <w:r w:rsidRPr="00CE4F87">
        <w:rPr>
          <w:rFonts w:cs="Arial"/>
          <w:sz w:val="22"/>
          <w:szCs w:val="22"/>
        </w:rPr>
        <w:t xml:space="preserve"> a prison population of 6,000 by 2027 that would cut the </w:t>
      </w:r>
      <w:r w:rsidR="009A55AA">
        <w:rPr>
          <w:rFonts w:cs="Arial"/>
          <w:sz w:val="22"/>
          <w:szCs w:val="22"/>
        </w:rPr>
        <w:t xml:space="preserve">current </w:t>
      </w:r>
      <w:r w:rsidRPr="00CE4F87">
        <w:rPr>
          <w:rFonts w:cs="Arial"/>
          <w:sz w:val="22"/>
          <w:szCs w:val="22"/>
        </w:rPr>
        <w:t xml:space="preserve">prison population </w:t>
      </w:r>
      <w:r w:rsidR="009A55AA">
        <w:rPr>
          <w:rFonts w:cs="Arial"/>
          <w:sz w:val="22"/>
          <w:szCs w:val="22"/>
        </w:rPr>
        <w:t xml:space="preserve">by </w:t>
      </w:r>
      <w:r w:rsidRPr="00CE4F87">
        <w:rPr>
          <w:rFonts w:cs="Arial"/>
          <w:sz w:val="22"/>
          <w:szCs w:val="22"/>
        </w:rPr>
        <w:t xml:space="preserve">about </w:t>
      </w:r>
      <w:r w:rsidR="00EA3365">
        <w:rPr>
          <w:rFonts w:cs="Arial"/>
          <w:sz w:val="22"/>
          <w:szCs w:val="22"/>
        </w:rPr>
        <w:t>40</w:t>
      </w:r>
      <w:r w:rsidRPr="00CE4F87">
        <w:rPr>
          <w:rFonts w:cs="Arial"/>
          <w:sz w:val="22"/>
          <w:szCs w:val="22"/>
        </w:rPr>
        <w:t>%</w:t>
      </w:r>
      <w:r w:rsidR="009A55AA">
        <w:rPr>
          <w:rFonts w:cs="Arial"/>
          <w:sz w:val="22"/>
          <w:szCs w:val="22"/>
        </w:rPr>
        <w:t>.</w:t>
      </w:r>
      <w:r w:rsidRPr="00CE4F87">
        <w:rPr>
          <w:rFonts w:cs="Arial"/>
          <w:sz w:val="22"/>
          <w:szCs w:val="22"/>
        </w:rPr>
        <w:t xml:space="preserve"> New Zealand’s prison population would then be about 112 prisoners per 100,000 of the general population, which is close to the current advanced economy average</w:t>
      </w:r>
      <w:r w:rsidR="009A55AA">
        <w:rPr>
          <w:rFonts w:cs="Arial"/>
          <w:sz w:val="22"/>
          <w:szCs w:val="22"/>
        </w:rPr>
        <w:t>.</w:t>
      </w:r>
      <w:r w:rsidRPr="00CE4F87">
        <w:rPr>
          <w:rStyle w:val="FootnoteReference"/>
          <w:rFonts w:cs="Arial"/>
          <w:sz w:val="22"/>
          <w:szCs w:val="22"/>
        </w:rPr>
        <w:footnoteReference w:id="23"/>
      </w:r>
      <w:r w:rsidRPr="00CE4F87">
        <w:rPr>
          <w:rFonts w:cs="Arial"/>
          <w:sz w:val="22"/>
          <w:szCs w:val="22"/>
        </w:rPr>
        <w:t xml:space="preserve">  </w:t>
      </w:r>
    </w:p>
    <w:p w14:paraId="35DDDD20" w14:textId="77777777" w:rsidR="00160CEC" w:rsidRPr="00CE4F87" w:rsidRDefault="00160CEC" w:rsidP="00160CEC">
      <w:pPr>
        <w:rPr>
          <w:rFonts w:cs="Arial"/>
          <w:sz w:val="22"/>
          <w:szCs w:val="22"/>
        </w:rPr>
      </w:pPr>
    </w:p>
    <w:p w14:paraId="1B78D9B6" w14:textId="3C7F3A9E" w:rsidR="00160CEC" w:rsidRPr="00EE58BD" w:rsidRDefault="00160CEC" w:rsidP="00160CEC">
      <w:pPr>
        <w:rPr>
          <w:rFonts w:cs="Arial"/>
          <w:sz w:val="22"/>
          <w:szCs w:val="22"/>
        </w:rPr>
      </w:pPr>
      <w:r w:rsidRPr="00CE4F87">
        <w:rPr>
          <w:rFonts w:cs="Arial"/>
          <w:sz w:val="22"/>
          <w:szCs w:val="22"/>
        </w:rPr>
        <w:t xml:space="preserve">We believe that a prison population similar in size to the advanced economy average size is a realistic goal for New Zealand. </w:t>
      </w:r>
    </w:p>
    <w:p w14:paraId="0F155AA4" w14:textId="77777777" w:rsidR="00160CEC" w:rsidRDefault="00160CEC" w:rsidP="00B859B7">
      <w:pPr>
        <w:spacing w:before="20" w:after="80"/>
        <w:rPr>
          <w:rFonts w:ascii="Arial" w:hAnsi="Arial" w:cs="Arial"/>
          <w:sz w:val="22"/>
          <w:szCs w:val="22"/>
        </w:rPr>
      </w:pPr>
    </w:p>
    <w:p w14:paraId="2F964BED" w14:textId="45936105" w:rsidR="00583C57" w:rsidRPr="008329E6" w:rsidRDefault="00583C57" w:rsidP="00583C57">
      <w:pPr>
        <w:rPr>
          <w:sz w:val="22"/>
          <w:szCs w:val="22"/>
        </w:rPr>
      </w:pPr>
      <w:r w:rsidRPr="008329E6">
        <w:rPr>
          <w:sz w:val="22"/>
          <w:szCs w:val="22"/>
        </w:rPr>
        <w:t xml:space="preserve">We </w:t>
      </w:r>
      <w:r>
        <w:rPr>
          <w:sz w:val="22"/>
          <w:szCs w:val="22"/>
        </w:rPr>
        <w:t>have</w:t>
      </w:r>
      <w:r w:rsidRPr="008329E6">
        <w:rPr>
          <w:sz w:val="22"/>
          <w:szCs w:val="22"/>
        </w:rPr>
        <w:t xml:space="preserve"> model</w:t>
      </w:r>
      <w:r>
        <w:rPr>
          <w:sz w:val="22"/>
          <w:szCs w:val="22"/>
        </w:rPr>
        <w:t>ed</w:t>
      </w:r>
      <w:r w:rsidRPr="008329E6">
        <w:rPr>
          <w:sz w:val="22"/>
          <w:szCs w:val="22"/>
        </w:rPr>
        <w:t xml:space="preserve"> the fiscal difference between the growing prison population and a prison population </w:t>
      </w:r>
      <w:r w:rsidR="009A55AA">
        <w:rPr>
          <w:sz w:val="22"/>
          <w:szCs w:val="22"/>
        </w:rPr>
        <w:t xml:space="preserve">that declines </w:t>
      </w:r>
      <w:r w:rsidRPr="008329E6">
        <w:rPr>
          <w:sz w:val="22"/>
          <w:szCs w:val="22"/>
        </w:rPr>
        <w:t>by 400 each year to reach the target of 6,000 by 2027. However, to give future governments the benefit of the doubt, we assume that once the anticipated 1,800-bed, $1bn prison is filled, the prison population will stop growing. The prospect of another $1bn prison in 2024/25 could well motivate any Government to rethink its criminal justice policy. It hasn’t happened so far, but it is possible, and it ensures our forecast errs on the low side.</w:t>
      </w:r>
    </w:p>
    <w:p w14:paraId="33EB9200" w14:textId="77777777" w:rsidR="00583C57" w:rsidRPr="008329E6" w:rsidRDefault="00583C57" w:rsidP="00583C57"/>
    <w:p w14:paraId="6F4CC7BD" w14:textId="77777777" w:rsidR="00583C57" w:rsidRPr="008329E6" w:rsidRDefault="00583C57" w:rsidP="00583C57">
      <w:pPr>
        <w:rPr>
          <w:rFonts w:ascii="Arial" w:hAnsi="Arial" w:cs="Arial"/>
          <w:b/>
          <w:i/>
          <w:sz w:val="20"/>
          <w:szCs w:val="20"/>
        </w:rPr>
      </w:pPr>
      <w:r w:rsidRPr="008329E6">
        <w:rPr>
          <w:rFonts w:ascii="Arial" w:hAnsi="Arial" w:cs="Arial"/>
          <w:b/>
          <w:i/>
          <w:sz w:val="20"/>
          <w:szCs w:val="20"/>
        </w:rPr>
        <w:t>Financial projection 2: Cost difference 2017-2017, between (</w:t>
      </w:r>
      <w:proofErr w:type="spellStart"/>
      <w:r w:rsidRPr="008329E6">
        <w:rPr>
          <w:rFonts w:ascii="Arial" w:hAnsi="Arial" w:cs="Arial"/>
          <w:b/>
          <w:i/>
          <w:sz w:val="20"/>
          <w:szCs w:val="20"/>
        </w:rPr>
        <w:t>i</w:t>
      </w:r>
      <w:proofErr w:type="spellEnd"/>
      <w:r w:rsidRPr="008329E6">
        <w:rPr>
          <w:rFonts w:ascii="Arial" w:hAnsi="Arial" w:cs="Arial"/>
          <w:b/>
          <w:i/>
          <w:sz w:val="20"/>
          <w:szCs w:val="20"/>
        </w:rPr>
        <w:t>) the prison population growing as it has so far in the 21</w:t>
      </w:r>
      <w:r w:rsidRPr="008329E6">
        <w:rPr>
          <w:rFonts w:ascii="Arial" w:hAnsi="Arial" w:cs="Arial"/>
          <w:b/>
          <w:i/>
          <w:sz w:val="20"/>
          <w:szCs w:val="20"/>
          <w:vertAlign w:val="superscript"/>
        </w:rPr>
        <w:t>st</w:t>
      </w:r>
      <w:r w:rsidRPr="008329E6">
        <w:rPr>
          <w:rFonts w:ascii="Arial" w:hAnsi="Arial" w:cs="Arial"/>
          <w:b/>
          <w:i/>
          <w:sz w:val="20"/>
          <w:szCs w:val="20"/>
        </w:rPr>
        <w:t xml:space="preserve"> century, but flattening off in 2025, and (ii) implementing TOP’s policy   </w:t>
      </w:r>
    </w:p>
    <w:tbl>
      <w:tblPr>
        <w:tblStyle w:val="TableGrid"/>
        <w:tblW w:w="8178" w:type="dxa"/>
        <w:tblLook w:val="04A0" w:firstRow="1" w:lastRow="0" w:firstColumn="1" w:lastColumn="0" w:noHBand="0" w:noVBand="1"/>
      </w:tblPr>
      <w:tblGrid>
        <w:gridCol w:w="817"/>
        <w:gridCol w:w="1276"/>
        <w:gridCol w:w="1078"/>
        <w:gridCol w:w="1134"/>
        <w:gridCol w:w="1418"/>
        <w:gridCol w:w="1238"/>
        <w:gridCol w:w="1217"/>
      </w:tblGrid>
      <w:tr w:rsidR="00583C57" w:rsidRPr="00160CEC" w14:paraId="5D984E33" w14:textId="77777777" w:rsidTr="00583C57">
        <w:tc>
          <w:tcPr>
            <w:tcW w:w="817" w:type="dxa"/>
            <w:shd w:val="clear" w:color="auto" w:fill="F2F2F2" w:themeFill="background1" w:themeFillShade="F2"/>
          </w:tcPr>
          <w:p w14:paraId="6F979146" w14:textId="77777777" w:rsidR="00583C57" w:rsidRPr="008329E6" w:rsidRDefault="00583C57" w:rsidP="00583C57">
            <w:pPr>
              <w:jc w:val="center"/>
              <w:rPr>
                <w:rFonts w:ascii="Arial Narrow" w:hAnsi="Arial Narrow"/>
                <w:b/>
                <w:sz w:val="18"/>
                <w:szCs w:val="18"/>
              </w:rPr>
            </w:pPr>
            <w:r w:rsidRPr="008329E6">
              <w:rPr>
                <w:rFonts w:ascii="Arial Narrow" w:hAnsi="Arial Narrow"/>
                <w:b/>
                <w:sz w:val="18"/>
                <w:szCs w:val="18"/>
              </w:rPr>
              <w:t>Year</w:t>
            </w:r>
          </w:p>
        </w:tc>
        <w:tc>
          <w:tcPr>
            <w:tcW w:w="1276" w:type="dxa"/>
            <w:shd w:val="clear" w:color="auto" w:fill="F2F2F2" w:themeFill="background1" w:themeFillShade="F2"/>
          </w:tcPr>
          <w:p w14:paraId="24AD0EC3" w14:textId="77777777" w:rsidR="00583C57" w:rsidRPr="008329E6" w:rsidRDefault="00583C57" w:rsidP="00583C57">
            <w:pPr>
              <w:ind w:right="14"/>
              <w:jc w:val="center"/>
              <w:rPr>
                <w:rFonts w:ascii="Arial Narrow" w:hAnsi="Arial Narrow"/>
                <w:b/>
                <w:sz w:val="18"/>
                <w:szCs w:val="18"/>
              </w:rPr>
            </w:pPr>
            <w:r w:rsidRPr="008329E6">
              <w:rPr>
                <w:rFonts w:ascii="Arial Narrow" w:hAnsi="Arial Narrow"/>
                <w:b/>
                <w:sz w:val="18"/>
                <w:szCs w:val="18"/>
              </w:rPr>
              <w:t>Prison pop.  (reducing each year by 400 to meet 2027 target)</w:t>
            </w:r>
          </w:p>
        </w:tc>
        <w:tc>
          <w:tcPr>
            <w:tcW w:w="1078" w:type="dxa"/>
            <w:shd w:val="clear" w:color="auto" w:fill="F2F2F2" w:themeFill="background1" w:themeFillShade="F2"/>
          </w:tcPr>
          <w:p w14:paraId="1E1C0AB6" w14:textId="14AF6FA2" w:rsidR="00583C57" w:rsidRPr="008329E6" w:rsidRDefault="00583C57" w:rsidP="00583C57">
            <w:pPr>
              <w:jc w:val="center"/>
              <w:rPr>
                <w:rFonts w:ascii="Arial Narrow" w:hAnsi="Arial Narrow"/>
                <w:b/>
                <w:sz w:val="18"/>
                <w:szCs w:val="18"/>
              </w:rPr>
            </w:pPr>
            <w:r w:rsidRPr="008329E6">
              <w:rPr>
                <w:rFonts w:ascii="Arial Narrow" w:hAnsi="Arial Narrow"/>
                <w:b/>
                <w:sz w:val="18"/>
                <w:szCs w:val="18"/>
              </w:rPr>
              <w:t xml:space="preserve">Prison pop. </w:t>
            </w:r>
            <w:proofErr w:type="spellStart"/>
            <w:r w:rsidR="00793F60">
              <w:rPr>
                <w:rFonts w:ascii="Arial Narrow" w:hAnsi="Arial Narrow"/>
                <w:b/>
                <w:sz w:val="18"/>
                <w:szCs w:val="18"/>
              </w:rPr>
              <w:t>trendline</w:t>
            </w:r>
            <w:proofErr w:type="spellEnd"/>
            <w:r w:rsidR="00793F60">
              <w:rPr>
                <w:rFonts w:ascii="Arial Narrow" w:hAnsi="Arial Narrow"/>
                <w:b/>
                <w:sz w:val="18"/>
                <w:szCs w:val="18"/>
              </w:rPr>
              <w:t xml:space="preserve"> </w:t>
            </w:r>
            <w:r w:rsidR="00B84617">
              <w:rPr>
                <w:rFonts w:ascii="Arial Narrow" w:hAnsi="Arial Narrow"/>
                <w:b/>
                <w:sz w:val="18"/>
                <w:szCs w:val="18"/>
              </w:rPr>
              <w:t>p</w:t>
            </w:r>
            <w:r w:rsidRPr="008329E6">
              <w:rPr>
                <w:rFonts w:ascii="Arial Narrow" w:hAnsi="Arial Narrow"/>
                <w:b/>
                <w:sz w:val="18"/>
                <w:szCs w:val="18"/>
              </w:rPr>
              <w:t>rojection but flattening off in 2025</w:t>
            </w:r>
          </w:p>
        </w:tc>
        <w:tc>
          <w:tcPr>
            <w:tcW w:w="1134" w:type="dxa"/>
            <w:shd w:val="clear" w:color="auto" w:fill="F2F2F2" w:themeFill="background1" w:themeFillShade="F2"/>
          </w:tcPr>
          <w:p w14:paraId="34D3A09D" w14:textId="77777777" w:rsidR="00583C57" w:rsidRPr="008329E6" w:rsidRDefault="00583C57" w:rsidP="00583C57">
            <w:pPr>
              <w:jc w:val="center"/>
              <w:rPr>
                <w:rFonts w:ascii="Arial Narrow" w:hAnsi="Arial Narrow"/>
                <w:b/>
                <w:sz w:val="18"/>
                <w:szCs w:val="18"/>
              </w:rPr>
            </w:pPr>
            <w:r w:rsidRPr="008329E6">
              <w:rPr>
                <w:rFonts w:ascii="Arial Narrow" w:hAnsi="Arial Narrow"/>
                <w:b/>
                <w:sz w:val="18"/>
                <w:szCs w:val="18"/>
              </w:rPr>
              <w:t>Difference with prison pop. Projection but flattening off in 2025</w:t>
            </w:r>
          </w:p>
        </w:tc>
        <w:tc>
          <w:tcPr>
            <w:tcW w:w="1418" w:type="dxa"/>
            <w:shd w:val="clear" w:color="auto" w:fill="F2F2F2" w:themeFill="background1" w:themeFillShade="F2"/>
          </w:tcPr>
          <w:p w14:paraId="35C57F3A" w14:textId="77777777" w:rsidR="00583C57" w:rsidRPr="008329E6" w:rsidRDefault="00583C57" w:rsidP="00583C57">
            <w:pPr>
              <w:jc w:val="center"/>
              <w:rPr>
                <w:rFonts w:ascii="Arial Narrow" w:hAnsi="Arial Narrow"/>
                <w:b/>
                <w:sz w:val="18"/>
                <w:szCs w:val="18"/>
              </w:rPr>
            </w:pPr>
            <w:r w:rsidRPr="008329E6">
              <w:rPr>
                <w:rFonts w:ascii="Arial Narrow" w:hAnsi="Arial Narrow"/>
                <w:b/>
                <w:sz w:val="18"/>
                <w:szCs w:val="18"/>
              </w:rPr>
              <w:t>Difference in Operating costs</w:t>
            </w:r>
          </w:p>
          <w:p w14:paraId="74AEA5E4" w14:textId="77777777" w:rsidR="00583C57" w:rsidRPr="008329E6" w:rsidRDefault="00583C57" w:rsidP="00583C57">
            <w:pPr>
              <w:jc w:val="center"/>
              <w:rPr>
                <w:rFonts w:ascii="Arial Narrow" w:hAnsi="Arial Narrow"/>
                <w:b/>
                <w:sz w:val="18"/>
                <w:szCs w:val="18"/>
              </w:rPr>
            </w:pPr>
            <w:r w:rsidRPr="008329E6">
              <w:rPr>
                <w:rFonts w:ascii="Arial Narrow" w:hAnsi="Arial Narrow"/>
                <w:b/>
                <w:sz w:val="18"/>
                <w:szCs w:val="18"/>
              </w:rPr>
              <w:t>($million)</w:t>
            </w:r>
          </w:p>
        </w:tc>
        <w:tc>
          <w:tcPr>
            <w:tcW w:w="1238" w:type="dxa"/>
            <w:shd w:val="clear" w:color="auto" w:fill="F2F2F2" w:themeFill="background1" w:themeFillShade="F2"/>
          </w:tcPr>
          <w:p w14:paraId="6B1F0327" w14:textId="77777777" w:rsidR="00583C57" w:rsidRPr="008329E6" w:rsidRDefault="00583C57" w:rsidP="00583C57">
            <w:pPr>
              <w:jc w:val="center"/>
              <w:rPr>
                <w:rFonts w:ascii="Arial Narrow" w:hAnsi="Arial Narrow"/>
                <w:b/>
                <w:sz w:val="18"/>
                <w:szCs w:val="18"/>
              </w:rPr>
            </w:pPr>
            <w:r w:rsidRPr="008329E6">
              <w:rPr>
                <w:rFonts w:ascii="Arial Narrow" w:hAnsi="Arial Narrow"/>
                <w:b/>
                <w:sz w:val="18"/>
                <w:szCs w:val="18"/>
              </w:rPr>
              <w:t>Difference in capital costs</w:t>
            </w:r>
          </w:p>
          <w:p w14:paraId="1FC8DB97" w14:textId="77777777" w:rsidR="00583C57" w:rsidRPr="008329E6" w:rsidRDefault="00583C57" w:rsidP="00583C57">
            <w:pPr>
              <w:jc w:val="center"/>
              <w:rPr>
                <w:rFonts w:ascii="Arial Narrow" w:hAnsi="Arial Narrow"/>
                <w:b/>
                <w:sz w:val="18"/>
                <w:szCs w:val="18"/>
              </w:rPr>
            </w:pPr>
            <w:r w:rsidRPr="008329E6">
              <w:rPr>
                <w:rFonts w:ascii="Arial Narrow" w:hAnsi="Arial Narrow"/>
                <w:b/>
                <w:sz w:val="18"/>
                <w:szCs w:val="18"/>
              </w:rPr>
              <w:t>($million)</w:t>
            </w:r>
          </w:p>
        </w:tc>
        <w:tc>
          <w:tcPr>
            <w:tcW w:w="1217" w:type="dxa"/>
            <w:shd w:val="clear" w:color="auto" w:fill="F2F2F2" w:themeFill="background1" w:themeFillShade="F2"/>
          </w:tcPr>
          <w:p w14:paraId="779D0366" w14:textId="77777777" w:rsidR="00583C57" w:rsidRPr="008329E6" w:rsidRDefault="00583C57" w:rsidP="00583C57">
            <w:pPr>
              <w:jc w:val="center"/>
              <w:rPr>
                <w:rFonts w:ascii="Arial Narrow" w:hAnsi="Arial Narrow"/>
                <w:b/>
                <w:sz w:val="18"/>
                <w:szCs w:val="18"/>
              </w:rPr>
            </w:pPr>
            <w:r w:rsidRPr="008329E6">
              <w:rPr>
                <w:rFonts w:ascii="Arial Narrow" w:hAnsi="Arial Narrow"/>
                <w:b/>
                <w:sz w:val="18"/>
                <w:szCs w:val="18"/>
              </w:rPr>
              <w:t>Total cumulating difference, operating + capital costs ($million)</w:t>
            </w:r>
          </w:p>
        </w:tc>
      </w:tr>
      <w:tr w:rsidR="00583C57" w:rsidRPr="00160CEC" w14:paraId="65FD4C43" w14:textId="77777777" w:rsidTr="00583C57">
        <w:tc>
          <w:tcPr>
            <w:tcW w:w="817" w:type="dxa"/>
          </w:tcPr>
          <w:p w14:paraId="36FCD4F7" w14:textId="77777777" w:rsidR="00583C57" w:rsidRPr="008329E6" w:rsidRDefault="00583C57" w:rsidP="00583C57">
            <w:pPr>
              <w:rPr>
                <w:rFonts w:ascii="Arial Narrow" w:hAnsi="Arial Narrow"/>
                <w:sz w:val="20"/>
                <w:szCs w:val="20"/>
              </w:rPr>
            </w:pPr>
          </w:p>
        </w:tc>
        <w:tc>
          <w:tcPr>
            <w:tcW w:w="1276" w:type="dxa"/>
          </w:tcPr>
          <w:p w14:paraId="1C82EACA" w14:textId="77777777" w:rsidR="00583C57" w:rsidRPr="00EF69DE" w:rsidRDefault="00583C57" w:rsidP="00583C57">
            <w:pPr>
              <w:rPr>
                <w:rFonts w:ascii="Arial Narrow" w:hAnsi="Arial Narrow"/>
                <w:i/>
                <w:sz w:val="20"/>
                <w:szCs w:val="20"/>
              </w:rPr>
            </w:pPr>
            <w:r w:rsidRPr="00EF69DE">
              <w:rPr>
                <w:rFonts w:ascii="Arial Narrow" w:hAnsi="Arial Narrow"/>
                <w:i/>
                <w:sz w:val="20"/>
                <w:szCs w:val="20"/>
              </w:rPr>
              <w:t>A</w:t>
            </w:r>
          </w:p>
        </w:tc>
        <w:tc>
          <w:tcPr>
            <w:tcW w:w="1078" w:type="dxa"/>
          </w:tcPr>
          <w:p w14:paraId="6575FFCD" w14:textId="77777777" w:rsidR="00583C57" w:rsidRPr="00EF69DE" w:rsidRDefault="00583C57" w:rsidP="00583C57">
            <w:pPr>
              <w:rPr>
                <w:rFonts w:ascii="Arial Narrow" w:hAnsi="Arial Narrow"/>
                <w:i/>
                <w:sz w:val="20"/>
                <w:szCs w:val="20"/>
              </w:rPr>
            </w:pPr>
            <w:r w:rsidRPr="00EF69DE">
              <w:rPr>
                <w:rFonts w:ascii="Arial Narrow" w:hAnsi="Arial Narrow"/>
                <w:i/>
                <w:sz w:val="20"/>
                <w:szCs w:val="20"/>
              </w:rPr>
              <w:t>B</w:t>
            </w:r>
          </w:p>
        </w:tc>
        <w:tc>
          <w:tcPr>
            <w:tcW w:w="1134" w:type="dxa"/>
          </w:tcPr>
          <w:p w14:paraId="7AE3530E" w14:textId="77777777" w:rsidR="00583C57" w:rsidRPr="00EF69DE" w:rsidRDefault="00583C57" w:rsidP="00583C57">
            <w:pPr>
              <w:rPr>
                <w:rFonts w:ascii="Arial Narrow" w:hAnsi="Arial Narrow"/>
                <w:i/>
                <w:sz w:val="20"/>
                <w:szCs w:val="20"/>
              </w:rPr>
            </w:pPr>
            <w:r w:rsidRPr="00EF69DE">
              <w:rPr>
                <w:rFonts w:ascii="Arial Narrow" w:hAnsi="Arial Narrow"/>
                <w:i/>
                <w:sz w:val="20"/>
                <w:szCs w:val="20"/>
              </w:rPr>
              <w:t xml:space="preserve">C </w:t>
            </w:r>
          </w:p>
        </w:tc>
        <w:tc>
          <w:tcPr>
            <w:tcW w:w="1418" w:type="dxa"/>
          </w:tcPr>
          <w:p w14:paraId="7DF63C63" w14:textId="77777777" w:rsidR="00583C57" w:rsidRPr="00EF69DE" w:rsidRDefault="00583C57" w:rsidP="00583C57">
            <w:pPr>
              <w:rPr>
                <w:rFonts w:ascii="Arial Narrow" w:hAnsi="Arial Narrow"/>
                <w:i/>
                <w:sz w:val="20"/>
                <w:szCs w:val="20"/>
              </w:rPr>
            </w:pPr>
            <w:r w:rsidRPr="00EF69DE">
              <w:rPr>
                <w:rFonts w:ascii="Arial Narrow" w:hAnsi="Arial Narrow"/>
                <w:i/>
                <w:sz w:val="20"/>
                <w:szCs w:val="20"/>
              </w:rPr>
              <w:t xml:space="preserve">D  </w:t>
            </w:r>
          </w:p>
        </w:tc>
        <w:tc>
          <w:tcPr>
            <w:tcW w:w="1238" w:type="dxa"/>
          </w:tcPr>
          <w:p w14:paraId="6A77AF5A" w14:textId="77777777" w:rsidR="00583C57" w:rsidRPr="00EF69DE" w:rsidRDefault="00583C57" w:rsidP="00583C57">
            <w:pPr>
              <w:rPr>
                <w:rFonts w:ascii="Arial Narrow" w:hAnsi="Arial Narrow"/>
                <w:i/>
                <w:sz w:val="20"/>
                <w:szCs w:val="20"/>
              </w:rPr>
            </w:pPr>
            <w:r w:rsidRPr="00EF69DE">
              <w:rPr>
                <w:rFonts w:ascii="Arial Narrow" w:hAnsi="Arial Narrow"/>
                <w:i/>
                <w:sz w:val="20"/>
                <w:szCs w:val="20"/>
              </w:rPr>
              <w:t>E</w:t>
            </w:r>
          </w:p>
        </w:tc>
        <w:tc>
          <w:tcPr>
            <w:tcW w:w="1217" w:type="dxa"/>
          </w:tcPr>
          <w:p w14:paraId="0C8F069C" w14:textId="77777777" w:rsidR="00583C57" w:rsidRPr="00EF69DE" w:rsidRDefault="00583C57" w:rsidP="00583C57">
            <w:pPr>
              <w:rPr>
                <w:rFonts w:ascii="Arial Narrow" w:hAnsi="Arial Narrow"/>
                <w:i/>
                <w:sz w:val="20"/>
                <w:szCs w:val="20"/>
              </w:rPr>
            </w:pPr>
            <w:r w:rsidRPr="00EF69DE">
              <w:rPr>
                <w:rFonts w:ascii="Arial Narrow" w:hAnsi="Arial Narrow"/>
                <w:i/>
                <w:sz w:val="20"/>
                <w:szCs w:val="20"/>
              </w:rPr>
              <w:t xml:space="preserve">F </w:t>
            </w:r>
          </w:p>
        </w:tc>
      </w:tr>
      <w:tr w:rsidR="00583C57" w:rsidRPr="00160CEC" w14:paraId="34549D1B" w14:textId="77777777" w:rsidTr="00583C57">
        <w:tc>
          <w:tcPr>
            <w:tcW w:w="817" w:type="dxa"/>
          </w:tcPr>
          <w:p w14:paraId="41638C05" w14:textId="77777777" w:rsidR="00583C57" w:rsidRPr="008329E6" w:rsidRDefault="00583C57" w:rsidP="00583C57">
            <w:pPr>
              <w:rPr>
                <w:rFonts w:ascii="Arial Narrow" w:hAnsi="Arial Narrow"/>
                <w:sz w:val="20"/>
                <w:szCs w:val="20"/>
              </w:rPr>
            </w:pPr>
          </w:p>
        </w:tc>
        <w:tc>
          <w:tcPr>
            <w:tcW w:w="1276" w:type="dxa"/>
          </w:tcPr>
          <w:p w14:paraId="22FF61F4" w14:textId="77777777" w:rsidR="00583C57" w:rsidRPr="008329E6" w:rsidRDefault="00583C57" w:rsidP="00583C57">
            <w:pPr>
              <w:rPr>
                <w:rFonts w:ascii="Arial Narrow" w:hAnsi="Arial Narrow"/>
                <w:sz w:val="20"/>
                <w:szCs w:val="20"/>
              </w:rPr>
            </w:pPr>
          </w:p>
        </w:tc>
        <w:tc>
          <w:tcPr>
            <w:tcW w:w="1078" w:type="dxa"/>
          </w:tcPr>
          <w:p w14:paraId="3A5D81B7" w14:textId="77777777" w:rsidR="00583C57" w:rsidRPr="008329E6" w:rsidRDefault="00583C57" w:rsidP="00583C57">
            <w:pPr>
              <w:rPr>
                <w:rFonts w:ascii="Arial Narrow" w:hAnsi="Arial Narrow"/>
                <w:sz w:val="20"/>
                <w:szCs w:val="20"/>
              </w:rPr>
            </w:pPr>
          </w:p>
        </w:tc>
        <w:tc>
          <w:tcPr>
            <w:tcW w:w="1134" w:type="dxa"/>
          </w:tcPr>
          <w:p w14:paraId="30462C89"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 xml:space="preserve">= </w:t>
            </w:r>
            <w:r w:rsidRPr="00EF69DE">
              <w:rPr>
                <w:rFonts w:ascii="Arial Narrow" w:hAnsi="Arial Narrow"/>
                <w:i/>
                <w:sz w:val="20"/>
                <w:szCs w:val="20"/>
              </w:rPr>
              <w:t>B – A</w:t>
            </w:r>
          </w:p>
        </w:tc>
        <w:tc>
          <w:tcPr>
            <w:tcW w:w="1418" w:type="dxa"/>
          </w:tcPr>
          <w:p w14:paraId="0F27628F"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 xml:space="preserve">= </w:t>
            </w:r>
            <w:r w:rsidRPr="00EF69DE">
              <w:rPr>
                <w:rFonts w:ascii="Arial Narrow" w:hAnsi="Arial Narrow"/>
                <w:i/>
                <w:sz w:val="20"/>
                <w:szCs w:val="20"/>
              </w:rPr>
              <w:t>C</w:t>
            </w:r>
            <w:r w:rsidRPr="008329E6">
              <w:rPr>
                <w:rFonts w:ascii="Arial Narrow" w:hAnsi="Arial Narrow"/>
                <w:sz w:val="20"/>
                <w:szCs w:val="20"/>
              </w:rPr>
              <w:t>*$100,000</w:t>
            </w:r>
          </w:p>
        </w:tc>
        <w:tc>
          <w:tcPr>
            <w:tcW w:w="1238" w:type="dxa"/>
          </w:tcPr>
          <w:p w14:paraId="74FCB2CE" w14:textId="77777777" w:rsidR="00583C57" w:rsidRPr="008329E6" w:rsidRDefault="00583C57" w:rsidP="00583C57">
            <w:pPr>
              <w:rPr>
                <w:rFonts w:ascii="Arial Narrow" w:hAnsi="Arial Narrow"/>
                <w:sz w:val="20"/>
                <w:szCs w:val="20"/>
              </w:rPr>
            </w:pPr>
          </w:p>
        </w:tc>
        <w:tc>
          <w:tcPr>
            <w:tcW w:w="1217" w:type="dxa"/>
          </w:tcPr>
          <w:p w14:paraId="1D648525" w14:textId="77777777" w:rsidR="00583C57" w:rsidRPr="008329E6" w:rsidRDefault="00583C57" w:rsidP="00583C57">
            <w:pPr>
              <w:rPr>
                <w:rFonts w:ascii="Arial Narrow" w:hAnsi="Arial Narrow"/>
                <w:sz w:val="20"/>
                <w:szCs w:val="20"/>
              </w:rPr>
            </w:pPr>
            <w:r w:rsidRPr="00EF69DE">
              <w:rPr>
                <w:rFonts w:ascii="Arial Narrow" w:hAnsi="Arial Narrow"/>
                <w:i/>
                <w:sz w:val="20"/>
                <w:szCs w:val="20"/>
              </w:rPr>
              <w:t>= D + E</w:t>
            </w:r>
            <w:r w:rsidRPr="008329E6">
              <w:rPr>
                <w:rFonts w:ascii="Arial Narrow" w:hAnsi="Arial Narrow"/>
                <w:sz w:val="20"/>
                <w:szCs w:val="20"/>
              </w:rPr>
              <w:t xml:space="preserve"> cumulating </w:t>
            </w:r>
          </w:p>
        </w:tc>
      </w:tr>
      <w:tr w:rsidR="00583C57" w:rsidRPr="00160CEC" w14:paraId="6E388BA2" w14:textId="77777777" w:rsidTr="00583C57">
        <w:tc>
          <w:tcPr>
            <w:tcW w:w="817" w:type="dxa"/>
          </w:tcPr>
          <w:p w14:paraId="2D1BE548" w14:textId="77777777" w:rsidR="00583C57" w:rsidRPr="008329E6" w:rsidRDefault="00583C57" w:rsidP="00583C57">
            <w:pPr>
              <w:rPr>
                <w:rFonts w:ascii="Arial" w:hAnsi="Arial" w:cs="Arial"/>
                <w:sz w:val="20"/>
                <w:szCs w:val="20"/>
              </w:rPr>
            </w:pPr>
            <w:r w:rsidRPr="008329E6">
              <w:rPr>
                <w:rFonts w:ascii="Arial" w:hAnsi="Arial" w:cs="Arial"/>
                <w:sz w:val="20"/>
                <w:szCs w:val="20"/>
              </w:rPr>
              <w:t>2017</w:t>
            </w:r>
          </w:p>
        </w:tc>
        <w:tc>
          <w:tcPr>
            <w:tcW w:w="1276" w:type="dxa"/>
          </w:tcPr>
          <w:p w14:paraId="2237D825"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10,000</w:t>
            </w:r>
          </w:p>
        </w:tc>
        <w:tc>
          <w:tcPr>
            <w:tcW w:w="1078" w:type="dxa"/>
          </w:tcPr>
          <w:p w14:paraId="536BC6E0"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9999</w:t>
            </w:r>
          </w:p>
        </w:tc>
        <w:tc>
          <w:tcPr>
            <w:tcW w:w="1134" w:type="dxa"/>
          </w:tcPr>
          <w:p w14:paraId="68B96B7F"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(1)</w:t>
            </w:r>
          </w:p>
        </w:tc>
        <w:tc>
          <w:tcPr>
            <w:tcW w:w="1418" w:type="dxa"/>
          </w:tcPr>
          <w:p w14:paraId="2C5DC519"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($0.1)</w:t>
            </w:r>
          </w:p>
        </w:tc>
        <w:tc>
          <w:tcPr>
            <w:tcW w:w="1238" w:type="dxa"/>
          </w:tcPr>
          <w:p w14:paraId="245F2162" w14:textId="77777777" w:rsidR="00583C57" w:rsidRPr="008329E6" w:rsidRDefault="00583C57" w:rsidP="00583C57">
            <w:pPr>
              <w:rPr>
                <w:rFonts w:ascii="Arial Narrow" w:hAnsi="Arial Narrow"/>
                <w:sz w:val="20"/>
                <w:szCs w:val="20"/>
              </w:rPr>
            </w:pPr>
          </w:p>
        </w:tc>
        <w:tc>
          <w:tcPr>
            <w:tcW w:w="1217" w:type="dxa"/>
          </w:tcPr>
          <w:p w14:paraId="70906326"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($0.1)</w:t>
            </w:r>
          </w:p>
        </w:tc>
      </w:tr>
      <w:tr w:rsidR="00583C57" w:rsidRPr="00160CEC" w14:paraId="131EF9C0" w14:textId="77777777" w:rsidTr="00583C57">
        <w:tc>
          <w:tcPr>
            <w:tcW w:w="817" w:type="dxa"/>
          </w:tcPr>
          <w:p w14:paraId="0A51B62C" w14:textId="77777777" w:rsidR="00583C57" w:rsidRPr="008329E6" w:rsidRDefault="00583C57" w:rsidP="00583C57">
            <w:pPr>
              <w:rPr>
                <w:rFonts w:ascii="Arial" w:hAnsi="Arial" w:cs="Arial"/>
                <w:sz w:val="20"/>
                <w:szCs w:val="20"/>
              </w:rPr>
            </w:pPr>
            <w:r w:rsidRPr="008329E6">
              <w:rPr>
                <w:rFonts w:ascii="Arial" w:hAnsi="Arial" w:cs="Arial"/>
                <w:sz w:val="20"/>
                <w:szCs w:val="20"/>
              </w:rPr>
              <w:t>2018</w:t>
            </w:r>
          </w:p>
        </w:tc>
        <w:tc>
          <w:tcPr>
            <w:tcW w:w="1276" w:type="dxa"/>
          </w:tcPr>
          <w:p w14:paraId="7BC6743F"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9,600</w:t>
            </w:r>
          </w:p>
        </w:tc>
        <w:tc>
          <w:tcPr>
            <w:tcW w:w="1078" w:type="dxa"/>
          </w:tcPr>
          <w:p w14:paraId="076692EB"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10,255</w:t>
            </w:r>
          </w:p>
        </w:tc>
        <w:tc>
          <w:tcPr>
            <w:tcW w:w="1134" w:type="dxa"/>
          </w:tcPr>
          <w:p w14:paraId="051F08EE"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655</w:t>
            </w:r>
          </w:p>
        </w:tc>
        <w:tc>
          <w:tcPr>
            <w:tcW w:w="1418" w:type="dxa"/>
          </w:tcPr>
          <w:p w14:paraId="12A657D9"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$65.5</w:t>
            </w:r>
          </w:p>
        </w:tc>
        <w:tc>
          <w:tcPr>
            <w:tcW w:w="1238" w:type="dxa"/>
          </w:tcPr>
          <w:p w14:paraId="1284DAF4"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$1000</w:t>
            </w:r>
          </w:p>
        </w:tc>
        <w:tc>
          <w:tcPr>
            <w:tcW w:w="1217" w:type="dxa"/>
          </w:tcPr>
          <w:p w14:paraId="0DD0822F" w14:textId="2B7882A6" w:rsidR="00583C57" w:rsidRPr="008329E6" w:rsidRDefault="00583C57" w:rsidP="00583C57">
            <w:pPr>
              <w:rPr>
                <w:rFonts w:ascii="Arial Narrow" w:hAnsi="Arial Narrow"/>
                <w:sz w:val="20"/>
                <w:szCs w:val="20"/>
              </w:rPr>
            </w:pPr>
            <w:r w:rsidRPr="008329E6">
              <w:rPr>
                <w:rFonts w:ascii="Arial Narrow" w:hAnsi="Arial Narrow"/>
                <w:sz w:val="20"/>
                <w:szCs w:val="20"/>
              </w:rPr>
              <w:t>$1</w:t>
            </w:r>
            <w:r w:rsidR="004A7C61">
              <w:rPr>
                <w:rFonts w:ascii="Arial Narrow" w:hAnsi="Arial Narrow"/>
                <w:sz w:val="20"/>
                <w:szCs w:val="20"/>
              </w:rPr>
              <w:t>,</w:t>
            </w:r>
            <w:r>
              <w:rPr>
                <w:rFonts w:ascii="Arial Narrow" w:hAnsi="Arial Narrow"/>
                <w:sz w:val="20"/>
                <w:szCs w:val="20"/>
              </w:rPr>
              <w:t>0</w:t>
            </w:r>
            <w:r w:rsidRPr="008329E6">
              <w:rPr>
                <w:rFonts w:ascii="Arial Narrow" w:hAnsi="Arial Narrow"/>
                <w:sz w:val="20"/>
                <w:szCs w:val="20"/>
              </w:rPr>
              <w:t>65.5</w:t>
            </w:r>
          </w:p>
        </w:tc>
      </w:tr>
      <w:tr w:rsidR="00583C57" w:rsidRPr="00160CEC" w14:paraId="180F69DE" w14:textId="77777777" w:rsidTr="00583C57">
        <w:tc>
          <w:tcPr>
            <w:tcW w:w="817" w:type="dxa"/>
          </w:tcPr>
          <w:p w14:paraId="266008D4" w14:textId="77777777" w:rsidR="00583C57" w:rsidRPr="008329E6" w:rsidRDefault="00583C57" w:rsidP="00583C57">
            <w:pPr>
              <w:rPr>
                <w:rFonts w:ascii="Arial" w:hAnsi="Arial" w:cs="Arial"/>
                <w:sz w:val="20"/>
                <w:szCs w:val="20"/>
              </w:rPr>
            </w:pPr>
            <w:r w:rsidRPr="008329E6">
              <w:rPr>
                <w:rFonts w:ascii="Arial" w:hAnsi="Arial" w:cs="Arial"/>
                <w:sz w:val="20"/>
                <w:szCs w:val="20"/>
              </w:rPr>
              <w:t>2019</w:t>
            </w:r>
          </w:p>
        </w:tc>
        <w:tc>
          <w:tcPr>
            <w:tcW w:w="1276" w:type="dxa"/>
          </w:tcPr>
          <w:p w14:paraId="4D3F6AD5"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9,200</w:t>
            </w:r>
          </w:p>
        </w:tc>
        <w:tc>
          <w:tcPr>
            <w:tcW w:w="1078" w:type="dxa"/>
          </w:tcPr>
          <w:p w14:paraId="14F2419A"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10,511</w:t>
            </w:r>
          </w:p>
        </w:tc>
        <w:tc>
          <w:tcPr>
            <w:tcW w:w="1134" w:type="dxa"/>
          </w:tcPr>
          <w:p w14:paraId="2CCB6AB7"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1,311</w:t>
            </w:r>
          </w:p>
        </w:tc>
        <w:tc>
          <w:tcPr>
            <w:tcW w:w="1418" w:type="dxa"/>
          </w:tcPr>
          <w:p w14:paraId="12C9CA0C"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$131.1</w:t>
            </w:r>
          </w:p>
        </w:tc>
        <w:tc>
          <w:tcPr>
            <w:tcW w:w="1238" w:type="dxa"/>
          </w:tcPr>
          <w:p w14:paraId="6258E07C" w14:textId="77777777" w:rsidR="00583C57" w:rsidRPr="008329E6" w:rsidRDefault="00583C57" w:rsidP="00583C57">
            <w:pPr>
              <w:rPr>
                <w:rFonts w:ascii="Arial Narrow" w:hAnsi="Arial Narrow"/>
                <w:sz w:val="20"/>
                <w:szCs w:val="20"/>
              </w:rPr>
            </w:pPr>
          </w:p>
        </w:tc>
        <w:tc>
          <w:tcPr>
            <w:tcW w:w="1217" w:type="dxa"/>
          </w:tcPr>
          <w:p w14:paraId="06A8E2BF" w14:textId="00258B17" w:rsidR="00583C57" w:rsidRPr="008329E6" w:rsidRDefault="00583C57" w:rsidP="00583C57">
            <w:pPr>
              <w:rPr>
                <w:rFonts w:ascii="Arial Narrow" w:hAnsi="Arial Narrow"/>
                <w:sz w:val="20"/>
                <w:szCs w:val="20"/>
              </w:rPr>
            </w:pPr>
            <w:r w:rsidRPr="008329E6">
              <w:rPr>
                <w:rFonts w:ascii="Arial Narrow" w:hAnsi="Arial Narrow"/>
                <w:sz w:val="20"/>
                <w:szCs w:val="20"/>
              </w:rPr>
              <w:t>$</w:t>
            </w:r>
            <w:r>
              <w:rPr>
                <w:rFonts w:ascii="Arial Narrow" w:hAnsi="Arial Narrow"/>
                <w:sz w:val="20"/>
                <w:szCs w:val="20"/>
              </w:rPr>
              <w:t>1</w:t>
            </w:r>
            <w:r w:rsidR="004A7C61">
              <w:rPr>
                <w:rFonts w:ascii="Arial Narrow" w:hAnsi="Arial Narrow"/>
                <w:sz w:val="20"/>
                <w:szCs w:val="20"/>
              </w:rPr>
              <w:t>,196.6</w:t>
            </w:r>
          </w:p>
        </w:tc>
      </w:tr>
      <w:tr w:rsidR="00583C57" w:rsidRPr="00160CEC" w14:paraId="64361BC6" w14:textId="77777777" w:rsidTr="00583C57">
        <w:tc>
          <w:tcPr>
            <w:tcW w:w="817" w:type="dxa"/>
          </w:tcPr>
          <w:p w14:paraId="225D3122" w14:textId="77777777" w:rsidR="00583C57" w:rsidRPr="008329E6" w:rsidRDefault="00583C57" w:rsidP="00583C57">
            <w:pPr>
              <w:rPr>
                <w:rFonts w:ascii="Arial" w:hAnsi="Arial" w:cs="Arial"/>
                <w:sz w:val="20"/>
                <w:szCs w:val="20"/>
              </w:rPr>
            </w:pPr>
            <w:r w:rsidRPr="008329E6">
              <w:rPr>
                <w:rFonts w:ascii="Arial" w:hAnsi="Arial" w:cs="Arial"/>
                <w:sz w:val="20"/>
                <w:szCs w:val="20"/>
              </w:rPr>
              <w:t>2020</w:t>
            </w:r>
          </w:p>
        </w:tc>
        <w:tc>
          <w:tcPr>
            <w:tcW w:w="1276" w:type="dxa"/>
          </w:tcPr>
          <w:p w14:paraId="6C32A3C4"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8,800</w:t>
            </w:r>
          </w:p>
        </w:tc>
        <w:tc>
          <w:tcPr>
            <w:tcW w:w="1078" w:type="dxa"/>
          </w:tcPr>
          <w:p w14:paraId="6DC17BCE"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10,767</w:t>
            </w:r>
          </w:p>
        </w:tc>
        <w:tc>
          <w:tcPr>
            <w:tcW w:w="1134" w:type="dxa"/>
          </w:tcPr>
          <w:p w14:paraId="32B7735D"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1,967</w:t>
            </w:r>
          </w:p>
        </w:tc>
        <w:tc>
          <w:tcPr>
            <w:tcW w:w="1418" w:type="dxa"/>
          </w:tcPr>
          <w:p w14:paraId="42D1956B"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$196.7</w:t>
            </w:r>
          </w:p>
        </w:tc>
        <w:tc>
          <w:tcPr>
            <w:tcW w:w="1238" w:type="dxa"/>
          </w:tcPr>
          <w:p w14:paraId="7D5E1384" w14:textId="77777777" w:rsidR="00583C57" w:rsidRPr="008329E6" w:rsidRDefault="00583C57" w:rsidP="00583C57">
            <w:pPr>
              <w:rPr>
                <w:rFonts w:ascii="Arial Narrow" w:hAnsi="Arial Narrow"/>
                <w:sz w:val="20"/>
                <w:szCs w:val="20"/>
              </w:rPr>
            </w:pPr>
          </w:p>
        </w:tc>
        <w:tc>
          <w:tcPr>
            <w:tcW w:w="1217" w:type="dxa"/>
          </w:tcPr>
          <w:p w14:paraId="1D1FB381" w14:textId="3B55B35E" w:rsidR="00583C57" w:rsidRPr="008329E6" w:rsidRDefault="00583C57" w:rsidP="00583C57">
            <w:pPr>
              <w:rPr>
                <w:rFonts w:ascii="Arial Narrow" w:hAnsi="Arial Narrow"/>
                <w:sz w:val="20"/>
                <w:szCs w:val="20"/>
              </w:rPr>
            </w:pPr>
            <w:r w:rsidRPr="008329E6">
              <w:rPr>
                <w:rFonts w:ascii="Arial Narrow" w:hAnsi="Arial Narrow"/>
                <w:sz w:val="20"/>
                <w:szCs w:val="20"/>
              </w:rPr>
              <w:t>$</w:t>
            </w:r>
            <w:r>
              <w:rPr>
                <w:rFonts w:ascii="Arial Narrow" w:hAnsi="Arial Narrow"/>
                <w:sz w:val="20"/>
                <w:szCs w:val="20"/>
              </w:rPr>
              <w:t>1</w:t>
            </w:r>
            <w:r w:rsidR="004A7C61">
              <w:rPr>
                <w:rFonts w:ascii="Arial Narrow" w:hAnsi="Arial Narrow"/>
                <w:sz w:val="20"/>
                <w:szCs w:val="20"/>
              </w:rPr>
              <w:t>,3</w:t>
            </w:r>
            <w:r w:rsidRPr="008329E6">
              <w:rPr>
                <w:rFonts w:ascii="Arial Narrow" w:hAnsi="Arial Narrow"/>
                <w:sz w:val="20"/>
                <w:szCs w:val="20"/>
              </w:rPr>
              <w:t>93.3</w:t>
            </w:r>
          </w:p>
        </w:tc>
      </w:tr>
      <w:tr w:rsidR="00583C57" w:rsidRPr="00160CEC" w14:paraId="3B77D4BB" w14:textId="77777777" w:rsidTr="00583C57">
        <w:tc>
          <w:tcPr>
            <w:tcW w:w="817" w:type="dxa"/>
          </w:tcPr>
          <w:p w14:paraId="0AD478D0" w14:textId="77777777" w:rsidR="00583C57" w:rsidRPr="008329E6" w:rsidRDefault="00583C57" w:rsidP="00583C57">
            <w:pPr>
              <w:rPr>
                <w:rFonts w:ascii="Arial" w:hAnsi="Arial" w:cs="Arial"/>
                <w:sz w:val="20"/>
                <w:szCs w:val="20"/>
              </w:rPr>
            </w:pPr>
            <w:r w:rsidRPr="008329E6">
              <w:rPr>
                <w:rFonts w:ascii="Arial" w:hAnsi="Arial" w:cs="Arial"/>
                <w:sz w:val="20"/>
                <w:szCs w:val="20"/>
              </w:rPr>
              <w:t>2021</w:t>
            </w:r>
          </w:p>
        </w:tc>
        <w:tc>
          <w:tcPr>
            <w:tcW w:w="1276" w:type="dxa"/>
          </w:tcPr>
          <w:p w14:paraId="142B7D09"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8,400</w:t>
            </w:r>
          </w:p>
        </w:tc>
        <w:tc>
          <w:tcPr>
            <w:tcW w:w="1078" w:type="dxa"/>
          </w:tcPr>
          <w:p w14:paraId="636881F5"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11,024</w:t>
            </w:r>
          </w:p>
        </w:tc>
        <w:tc>
          <w:tcPr>
            <w:tcW w:w="1134" w:type="dxa"/>
          </w:tcPr>
          <w:p w14:paraId="3B4E7CFB"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2,624</w:t>
            </w:r>
          </w:p>
        </w:tc>
        <w:tc>
          <w:tcPr>
            <w:tcW w:w="1418" w:type="dxa"/>
          </w:tcPr>
          <w:p w14:paraId="4D1D6F04"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$262.4</w:t>
            </w:r>
          </w:p>
        </w:tc>
        <w:tc>
          <w:tcPr>
            <w:tcW w:w="1238" w:type="dxa"/>
          </w:tcPr>
          <w:p w14:paraId="7D38D161" w14:textId="77777777" w:rsidR="00583C57" w:rsidRPr="008329E6" w:rsidRDefault="00583C57" w:rsidP="00583C57">
            <w:pPr>
              <w:rPr>
                <w:rFonts w:ascii="Arial Narrow" w:hAnsi="Arial Narrow"/>
                <w:sz w:val="20"/>
                <w:szCs w:val="20"/>
              </w:rPr>
            </w:pPr>
          </w:p>
        </w:tc>
        <w:tc>
          <w:tcPr>
            <w:tcW w:w="1217" w:type="dxa"/>
          </w:tcPr>
          <w:p w14:paraId="07C569C8" w14:textId="61CEF7F6" w:rsidR="00583C57" w:rsidRPr="008329E6" w:rsidRDefault="00583C57" w:rsidP="00583C57">
            <w:pPr>
              <w:rPr>
                <w:rFonts w:ascii="Arial Narrow" w:hAnsi="Arial Narrow"/>
                <w:sz w:val="20"/>
                <w:szCs w:val="20"/>
              </w:rPr>
            </w:pPr>
            <w:r w:rsidRPr="008329E6">
              <w:rPr>
                <w:rFonts w:ascii="Arial Narrow" w:hAnsi="Arial Narrow"/>
                <w:sz w:val="20"/>
                <w:szCs w:val="20"/>
              </w:rPr>
              <w:t>$</w:t>
            </w:r>
            <w:r>
              <w:rPr>
                <w:rFonts w:ascii="Arial Narrow" w:hAnsi="Arial Narrow"/>
                <w:sz w:val="20"/>
                <w:szCs w:val="20"/>
              </w:rPr>
              <w:t>1</w:t>
            </w:r>
            <w:r w:rsidR="004A7C61">
              <w:rPr>
                <w:rFonts w:ascii="Arial Narrow" w:hAnsi="Arial Narrow"/>
                <w:sz w:val="20"/>
                <w:szCs w:val="20"/>
              </w:rPr>
              <w:t>,6</w:t>
            </w:r>
            <w:r w:rsidRPr="008329E6">
              <w:rPr>
                <w:rFonts w:ascii="Arial Narrow" w:hAnsi="Arial Narrow"/>
                <w:sz w:val="20"/>
                <w:szCs w:val="20"/>
              </w:rPr>
              <w:t>55.7</w:t>
            </w:r>
          </w:p>
        </w:tc>
      </w:tr>
      <w:tr w:rsidR="00583C57" w:rsidRPr="00160CEC" w14:paraId="197D5403" w14:textId="77777777" w:rsidTr="00583C57">
        <w:tc>
          <w:tcPr>
            <w:tcW w:w="817" w:type="dxa"/>
          </w:tcPr>
          <w:p w14:paraId="7F28D0D0" w14:textId="77777777" w:rsidR="00583C57" w:rsidRPr="008329E6" w:rsidRDefault="00583C57" w:rsidP="00583C57">
            <w:pPr>
              <w:rPr>
                <w:rFonts w:ascii="Arial" w:hAnsi="Arial" w:cs="Arial"/>
                <w:sz w:val="20"/>
                <w:szCs w:val="20"/>
              </w:rPr>
            </w:pPr>
            <w:r w:rsidRPr="008329E6">
              <w:rPr>
                <w:rFonts w:ascii="Arial" w:hAnsi="Arial" w:cs="Arial"/>
                <w:sz w:val="20"/>
                <w:szCs w:val="20"/>
              </w:rPr>
              <w:t>2022</w:t>
            </w:r>
          </w:p>
        </w:tc>
        <w:tc>
          <w:tcPr>
            <w:tcW w:w="1276" w:type="dxa"/>
          </w:tcPr>
          <w:p w14:paraId="5BDFB552"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8,000</w:t>
            </w:r>
          </w:p>
        </w:tc>
        <w:tc>
          <w:tcPr>
            <w:tcW w:w="1078" w:type="dxa"/>
          </w:tcPr>
          <w:p w14:paraId="303BEB13"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11,279</w:t>
            </w:r>
          </w:p>
        </w:tc>
        <w:tc>
          <w:tcPr>
            <w:tcW w:w="1134" w:type="dxa"/>
          </w:tcPr>
          <w:p w14:paraId="05B5FB0B"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3,279</w:t>
            </w:r>
          </w:p>
        </w:tc>
        <w:tc>
          <w:tcPr>
            <w:tcW w:w="1418" w:type="dxa"/>
          </w:tcPr>
          <w:p w14:paraId="316C7EE2"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$327.9</w:t>
            </w:r>
          </w:p>
        </w:tc>
        <w:tc>
          <w:tcPr>
            <w:tcW w:w="1238" w:type="dxa"/>
          </w:tcPr>
          <w:p w14:paraId="2A4C6C2F" w14:textId="77777777" w:rsidR="00583C57" w:rsidRPr="008329E6" w:rsidRDefault="00583C57" w:rsidP="00583C57">
            <w:pPr>
              <w:rPr>
                <w:rFonts w:ascii="Arial Narrow" w:hAnsi="Arial Narrow"/>
                <w:sz w:val="20"/>
                <w:szCs w:val="20"/>
              </w:rPr>
            </w:pPr>
          </w:p>
        </w:tc>
        <w:tc>
          <w:tcPr>
            <w:tcW w:w="1217" w:type="dxa"/>
          </w:tcPr>
          <w:p w14:paraId="50DF16DF" w14:textId="3E64342F" w:rsidR="00583C57" w:rsidRPr="008329E6" w:rsidRDefault="00583C57" w:rsidP="00583C57">
            <w:pPr>
              <w:rPr>
                <w:rFonts w:ascii="Arial Narrow" w:hAnsi="Arial Narrow"/>
                <w:sz w:val="20"/>
                <w:szCs w:val="20"/>
              </w:rPr>
            </w:pPr>
            <w:r w:rsidRPr="008329E6">
              <w:rPr>
                <w:rFonts w:ascii="Arial Narrow" w:hAnsi="Arial Narrow"/>
                <w:sz w:val="20"/>
                <w:szCs w:val="20"/>
              </w:rPr>
              <w:t>$</w:t>
            </w:r>
            <w:r w:rsidR="004A7C61">
              <w:rPr>
                <w:rFonts w:ascii="Arial Narrow" w:hAnsi="Arial Narrow"/>
                <w:sz w:val="20"/>
                <w:szCs w:val="20"/>
              </w:rPr>
              <w:t>1,9</w:t>
            </w:r>
            <w:r w:rsidRPr="008329E6">
              <w:rPr>
                <w:rFonts w:ascii="Arial Narrow" w:hAnsi="Arial Narrow"/>
                <w:sz w:val="20"/>
                <w:szCs w:val="20"/>
              </w:rPr>
              <w:t>83.6</w:t>
            </w:r>
          </w:p>
        </w:tc>
      </w:tr>
      <w:tr w:rsidR="00583C57" w:rsidRPr="00160CEC" w14:paraId="1AC8DF58" w14:textId="77777777" w:rsidTr="00583C57">
        <w:tc>
          <w:tcPr>
            <w:tcW w:w="817" w:type="dxa"/>
          </w:tcPr>
          <w:p w14:paraId="780CB940" w14:textId="77777777" w:rsidR="00583C57" w:rsidRPr="008329E6" w:rsidRDefault="00583C57" w:rsidP="00583C57">
            <w:pPr>
              <w:rPr>
                <w:rFonts w:ascii="Arial" w:hAnsi="Arial" w:cs="Arial"/>
                <w:sz w:val="20"/>
                <w:szCs w:val="20"/>
              </w:rPr>
            </w:pPr>
            <w:r w:rsidRPr="008329E6">
              <w:rPr>
                <w:rFonts w:ascii="Arial" w:hAnsi="Arial" w:cs="Arial"/>
                <w:sz w:val="20"/>
                <w:szCs w:val="20"/>
              </w:rPr>
              <w:t>2023</w:t>
            </w:r>
          </w:p>
        </w:tc>
        <w:tc>
          <w:tcPr>
            <w:tcW w:w="1276" w:type="dxa"/>
          </w:tcPr>
          <w:p w14:paraId="1B2BB501"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7,600</w:t>
            </w:r>
          </w:p>
        </w:tc>
        <w:tc>
          <w:tcPr>
            <w:tcW w:w="1078" w:type="dxa"/>
          </w:tcPr>
          <w:p w14:paraId="76CB9870"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11,536</w:t>
            </w:r>
          </w:p>
        </w:tc>
        <w:tc>
          <w:tcPr>
            <w:tcW w:w="1134" w:type="dxa"/>
          </w:tcPr>
          <w:p w14:paraId="7BA3FFEA"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3,936</w:t>
            </w:r>
          </w:p>
        </w:tc>
        <w:tc>
          <w:tcPr>
            <w:tcW w:w="1418" w:type="dxa"/>
          </w:tcPr>
          <w:p w14:paraId="5D9D9E54"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$393.6</w:t>
            </w:r>
          </w:p>
        </w:tc>
        <w:tc>
          <w:tcPr>
            <w:tcW w:w="1238" w:type="dxa"/>
          </w:tcPr>
          <w:p w14:paraId="02CFF322" w14:textId="77777777" w:rsidR="00583C57" w:rsidRPr="008329E6" w:rsidRDefault="00583C57" w:rsidP="00583C57">
            <w:pPr>
              <w:rPr>
                <w:rFonts w:ascii="Arial Narrow" w:hAnsi="Arial Narrow"/>
                <w:sz w:val="20"/>
                <w:szCs w:val="20"/>
              </w:rPr>
            </w:pPr>
          </w:p>
        </w:tc>
        <w:tc>
          <w:tcPr>
            <w:tcW w:w="1217" w:type="dxa"/>
          </w:tcPr>
          <w:p w14:paraId="7EAF0111" w14:textId="2532D4FB" w:rsidR="00583C57" w:rsidRPr="008329E6" w:rsidRDefault="00583C57" w:rsidP="00583C57">
            <w:pPr>
              <w:rPr>
                <w:rFonts w:ascii="Arial Narrow" w:hAnsi="Arial Narrow"/>
                <w:sz w:val="20"/>
                <w:szCs w:val="20"/>
              </w:rPr>
            </w:pPr>
            <w:r w:rsidRPr="008329E6">
              <w:rPr>
                <w:rFonts w:ascii="Arial Narrow" w:hAnsi="Arial Narrow"/>
                <w:sz w:val="20"/>
                <w:szCs w:val="20"/>
              </w:rPr>
              <w:t>$</w:t>
            </w:r>
            <w:r>
              <w:rPr>
                <w:rFonts w:ascii="Arial Narrow" w:hAnsi="Arial Narrow"/>
                <w:sz w:val="20"/>
                <w:szCs w:val="20"/>
              </w:rPr>
              <w:t>2</w:t>
            </w:r>
            <w:r w:rsidRPr="008329E6">
              <w:rPr>
                <w:rFonts w:ascii="Arial Narrow" w:hAnsi="Arial Narrow"/>
                <w:sz w:val="20"/>
                <w:szCs w:val="20"/>
              </w:rPr>
              <w:t>,</w:t>
            </w:r>
            <w:r w:rsidR="004A7C61">
              <w:rPr>
                <w:rFonts w:ascii="Arial Narrow" w:hAnsi="Arial Narrow"/>
                <w:sz w:val="20"/>
                <w:szCs w:val="20"/>
              </w:rPr>
              <w:t>3</w:t>
            </w:r>
            <w:r w:rsidRPr="008329E6">
              <w:rPr>
                <w:rFonts w:ascii="Arial Narrow" w:hAnsi="Arial Narrow"/>
                <w:sz w:val="20"/>
                <w:szCs w:val="20"/>
              </w:rPr>
              <w:t>77.2</w:t>
            </w:r>
          </w:p>
        </w:tc>
      </w:tr>
      <w:tr w:rsidR="00583C57" w:rsidRPr="00160CEC" w14:paraId="68D07F03" w14:textId="77777777" w:rsidTr="00583C57">
        <w:tc>
          <w:tcPr>
            <w:tcW w:w="817" w:type="dxa"/>
          </w:tcPr>
          <w:p w14:paraId="272CE83F" w14:textId="77777777" w:rsidR="00583C57" w:rsidRPr="008329E6" w:rsidRDefault="00583C57" w:rsidP="00583C57">
            <w:pPr>
              <w:rPr>
                <w:rFonts w:ascii="Arial" w:hAnsi="Arial" w:cs="Arial"/>
                <w:sz w:val="20"/>
                <w:szCs w:val="20"/>
              </w:rPr>
            </w:pPr>
            <w:r w:rsidRPr="008329E6">
              <w:rPr>
                <w:rFonts w:ascii="Arial" w:hAnsi="Arial" w:cs="Arial"/>
                <w:sz w:val="20"/>
                <w:szCs w:val="20"/>
              </w:rPr>
              <w:t>2024</w:t>
            </w:r>
          </w:p>
        </w:tc>
        <w:tc>
          <w:tcPr>
            <w:tcW w:w="1276" w:type="dxa"/>
          </w:tcPr>
          <w:p w14:paraId="00D671FC"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7,200</w:t>
            </w:r>
          </w:p>
        </w:tc>
        <w:tc>
          <w:tcPr>
            <w:tcW w:w="1078" w:type="dxa"/>
          </w:tcPr>
          <w:p w14:paraId="3DDF93C2"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11,792</w:t>
            </w:r>
          </w:p>
        </w:tc>
        <w:tc>
          <w:tcPr>
            <w:tcW w:w="1134" w:type="dxa"/>
          </w:tcPr>
          <w:p w14:paraId="453450B2"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4,592</w:t>
            </w:r>
          </w:p>
        </w:tc>
        <w:tc>
          <w:tcPr>
            <w:tcW w:w="1418" w:type="dxa"/>
          </w:tcPr>
          <w:p w14:paraId="03088C18"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$459.2</w:t>
            </w:r>
          </w:p>
        </w:tc>
        <w:tc>
          <w:tcPr>
            <w:tcW w:w="1238" w:type="dxa"/>
          </w:tcPr>
          <w:p w14:paraId="79F31682" w14:textId="77777777" w:rsidR="00583C57" w:rsidRPr="008329E6" w:rsidRDefault="00583C57" w:rsidP="00583C57">
            <w:pPr>
              <w:rPr>
                <w:rFonts w:ascii="Arial Narrow" w:hAnsi="Arial Narrow"/>
                <w:sz w:val="20"/>
                <w:szCs w:val="20"/>
              </w:rPr>
            </w:pPr>
          </w:p>
        </w:tc>
        <w:tc>
          <w:tcPr>
            <w:tcW w:w="1217" w:type="dxa"/>
          </w:tcPr>
          <w:p w14:paraId="7DB3765B" w14:textId="2A2155DC" w:rsidR="00583C57" w:rsidRPr="008329E6" w:rsidRDefault="00583C57" w:rsidP="00583C57">
            <w:pPr>
              <w:rPr>
                <w:rFonts w:ascii="Arial Narrow" w:hAnsi="Arial Narrow"/>
                <w:sz w:val="20"/>
                <w:szCs w:val="20"/>
              </w:rPr>
            </w:pPr>
            <w:r w:rsidRPr="008329E6">
              <w:rPr>
                <w:rFonts w:ascii="Arial Narrow" w:hAnsi="Arial Narrow"/>
                <w:sz w:val="20"/>
                <w:szCs w:val="20"/>
              </w:rPr>
              <w:t>$</w:t>
            </w:r>
            <w:r>
              <w:rPr>
                <w:rFonts w:ascii="Arial Narrow" w:hAnsi="Arial Narrow"/>
                <w:sz w:val="20"/>
                <w:szCs w:val="20"/>
              </w:rPr>
              <w:t>2</w:t>
            </w:r>
            <w:r w:rsidRPr="008329E6">
              <w:rPr>
                <w:rFonts w:ascii="Arial Narrow" w:hAnsi="Arial Narrow"/>
                <w:sz w:val="20"/>
                <w:szCs w:val="20"/>
              </w:rPr>
              <w:t>,</w:t>
            </w:r>
            <w:r w:rsidR="004A7C61">
              <w:rPr>
                <w:rFonts w:ascii="Arial Narrow" w:hAnsi="Arial Narrow"/>
                <w:sz w:val="20"/>
                <w:szCs w:val="20"/>
              </w:rPr>
              <w:t>8</w:t>
            </w:r>
            <w:r w:rsidRPr="008329E6">
              <w:rPr>
                <w:rFonts w:ascii="Arial Narrow" w:hAnsi="Arial Narrow"/>
                <w:sz w:val="20"/>
                <w:szCs w:val="20"/>
              </w:rPr>
              <w:t>36.4</w:t>
            </w:r>
          </w:p>
        </w:tc>
      </w:tr>
      <w:tr w:rsidR="00583C57" w:rsidRPr="00160CEC" w14:paraId="2BCC7FB1" w14:textId="77777777" w:rsidTr="00583C57">
        <w:tc>
          <w:tcPr>
            <w:tcW w:w="817" w:type="dxa"/>
          </w:tcPr>
          <w:p w14:paraId="21A57CF8" w14:textId="77777777" w:rsidR="00583C57" w:rsidRPr="008329E6" w:rsidRDefault="00583C57" w:rsidP="00583C57">
            <w:pPr>
              <w:rPr>
                <w:rFonts w:ascii="Arial" w:hAnsi="Arial" w:cs="Arial"/>
                <w:sz w:val="20"/>
                <w:szCs w:val="20"/>
              </w:rPr>
            </w:pPr>
            <w:r w:rsidRPr="008329E6">
              <w:rPr>
                <w:rFonts w:ascii="Arial" w:hAnsi="Arial" w:cs="Arial"/>
                <w:sz w:val="20"/>
                <w:szCs w:val="20"/>
              </w:rPr>
              <w:t>2025</w:t>
            </w:r>
          </w:p>
        </w:tc>
        <w:tc>
          <w:tcPr>
            <w:tcW w:w="1276" w:type="dxa"/>
          </w:tcPr>
          <w:p w14:paraId="64B7F8A1"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6,800</w:t>
            </w:r>
          </w:p>
        </w:tc>
        <w:tc>
          <w:tcPr>
            <w:tcW w:w="1078" w:type="dxa"/>
          </w:tcPr>
          <w:p w14:paraId="00CA1DB8"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12,049</w:t>
            </w:r>
          </w:p>
        </w:tc>
        <w:tc>
          <w:tcPr>
            <w:tcW w:w="1134" w:type="dxa"/>
          </w:tcPr>
          <w:p w14:paraId="64E2DE87"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5,249</w:t>
            </w:r>
          </w:p>
        </w:tc>
        <w:tc>
          <w:tcPr>
            <w:tcW w:w="1418" w:type="dxa"/>
          </w:tcPr>
          <w:p w14:paraId="6E7FD435"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$524.9</w:t>
            </w:r>
          </w:p>
        </w:tc>
        <w:tc>
          <w:tcPr>
            <w:tcW w:w="1238" w:type="dxa"/>
          </w:tcPr>
          <w:p w14:paraId="38FCE187" w14:textId="77777777" w:rsidR="00583C57" w:rsidRPr="008329E6" w:rsidRDefault="00583C57" w:rsidP="00583C57">
            <w:pPr>
              <w:rPr>
                <w:rFonts w:ascii="Arial Narrow" w:hAnsi="Arial Narrow"/>
                <w:sz w:val="20"/>
                <w:szCs w:val="20"/>
              </w:rPr>
            </w:pPr>
          </w:p>
        </w:tc>
        <w:tc>
          <w:tcPr>
            <w:tcW w:w="1217" w:type="dxa"/>
          </w:tcPr>
          <w:p w14:paraId="5864BDA6" w14:textId="5BE7A6FF" w:rsidR="00583C57" w:rsidRPr="008329E6" w:rsidRDefault="00583C57" w:rsidP="00583C57">
            <w:pPr>
              <w:rPr>
                <w:rFonts w:ascii="Arial Narrow" w:hAnsi="Arial Narrow"/>
                <w:sz w:val="20"/>
                <w:szCs w:val="20"/>
              </w:rPr>
            </w:pPr>
            <w:r w:rsidRPr="008329E6">
              <w:rPr>
                <w:rFonts w:ascii="Arial Narrow" w:hAnsi="Arial Narrow"/>
                <w:sz w:val="20"/>
                <w:szCs w:val="20"/>
              </w:rPr>
              <w:t>$</w:t>
            </w:r>
            <w:r>
              <w:rPr>
                <w:rFonts w:ascii="Arial Narrow" w:hAnsi="Arial Narrow"/>
                <w:sz w:val="20"/>
                <w:szCs w:val="20"/>
              </w:rPr>
              <w:t>3</w:t>
            </w:r>
            <w:r w:rsidRPr="008329E6">
              <w:rPr>
                <w:rFonts w:ascii="Arial Narrow" w:hAnsi="Arial Narrow"/>
                <w:sz w:val="20"/>
                <w:szCs w:val="20"/>
              </w:rPr>
              <w:t>,</w:t>
            </w:r>
            <w:r w:rsidR="004A7C61">
              <w:rPr>
                <w:rFonts w:ascii="Arial Narrow" w:hAnsi="Arial Narrow"/>
                <w:sz w:val="20"/>
                <w:szCs w:val="20"/>
              </w:rPr>
              <w:t>3</w:t>
            </w:r>
            <w:r w:rsidRPr="008329E6">
              <w:rPr>
                <w:rFonts w:ascii="Arial Narrow" w:hAnsi="Arial Narrow"/>
                <w:sz w:val="20"/>
                <w:szCs w:val="20"/>
              </w:rPr>
              <w:t>61.3</w:t>
            </w:r>
          </w:p>
        </w:tc>
      </w:tr>
      <w:tr w:rsidR="00583C57" w:rsidRPr="00160CEC" w14:paraId="28FC2F0A" w14:textId="77777777" w:rsidTr="00583C57">
        <w:tc>
          <w:tcPr>
            <w:tcW w:w="817" w:type="dxa"/>
          </w:tcPr>
          <w:p w14:paraId="5F4B82D7" w14:textId="77777777" w:rsidR="00583C57" w:rsidRPr="008329E6" w:rsidRDefault="00583C57" w:rsidP="00583C57">
            <w:pPr>
              <w:rPr>
                <w:rFonts w:ascii="Arial" w:hAnsi="Arial" w:cs="Arial"/>
                <w:sz w:val="20"/>
                <w:szCs w:val="20"/>
              </w:rPr>
            </w:pPr>
            <w:r w:rsidRPr="008329E6">
              <w:rPr>
                <w:rFonts w:ascii="Arial" w:hAnsi="Arial" w:cs="Arial"/>
                <w:sz w:val="20"/>
                <w:szCs w:val="20"/>
              </w:rPr>
              <w:t>2026</w:t>
            </w:r>
          </w:p>
        </w:tc>
        <w:tc>
          <w:tcPr>
            <w:tcW w:w="1276" w:type="dxa"/>
          </w:tcPr>
          <w:p w14:paraId="6EE74E44"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6,400</w:t>
            </w:r>
          </w:p>
        </w:tc>
        <w:tc>
          <w:tcPr>
            <w:tcW w:w="1078" w:type="dxa"/>
          </w:tcPr>
          <w:p w14:paraId="3AB27094"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12,049</w:t>
            </w:r>
          </w:p>
        </w:tc>
        <w:tc>
          <w:tcPr>
            <w:tcW w:w="1134" w:type="dxa"/>
          </w:tcPr>
          <w:p w14:paraId="6A95AA91"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5,649</w:t>
            </w:r>
          </w:p>
        </w:tc>
        <w:tc>
          <w:tcPr>
            <w:tcW w:w="1418" w:type="dxa"/>
          </w:tcPr>
          <w:p w14:paraId="0ABD5D7D"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$564.9</w:t>
            </w:r>
          </w:p>
        </w:tc>
        <w:tc>
          <w:tcPr>
            <w:tcW w:w="1238" w:type="dxa"/>
          </w:tcPr>
          <w:p w14:paraId="1DB82B9A" w14:textId="77777777" w:rsidR="00583C57" w:rsidRPr="008329E6" w:rsidRDefault="00583C57" w:rsidP="00583C57">
            <w:pPr>
              <w:rPr>
                <w:rFonts w:ascii="Arial Narrow" w:hAnsi="Arial Narrow"/>
                <w:sz w:val="20"/>
                <w:szCs w:val="20"/>
              </w:rPr>
            </w:pPr>
          </w:p>
        </w:tc>
        <w:tc>
          <w:tcPr>
            <w:tcW w:w="1217" w:type="dxa"/>
          </w:tcPr>
          <w:p w14:paraId="3D6D6659" w14:textId="1A47E194" w:rsidR="00583C57" w:rsidRPr="008329E6" w:rsidRDefault="00583C57" w:rsidP="00583C57">
            <w:pPr>
              <w:rPr>
                <w:rFonts w:ascii="Arial Narrow" w:hAnsi="Arial Narrow"/>
                <w:sz w:val="20"/>
                <w:szCs w:val="20"/>
              </w:rPr>
            </w:pPr>
            <w:r w:rsidRPr="008329E6">
              <w:rPr>
                <w:rFonts w:ascii="Arial Narrow" w:hAnsi="Arial Narrow"/>
                <w:sz w:val="20"/>
                <w:szCs w:val="20"/>
              </w:rPr>
              <w:t>$</w:t>
            </w:r>
            <w:r w:rsidR="004A7C61">
              <w:rPr>
                <w:rFonts w:ascii="Arial Narrow" w:hAnsi="Arial Narrow"/>
                <w:sz w:val="20"/>
                <w:szCs w:val="20"/>
              </w:rPr>
              <w:t>3,9</w:t>
            </w:r>
            <w:r w:rsidRPr="008329E6">
              <w:rPr>
                <w:rFonts w:ascii="Arial Narrow" w:hAnsi="Arial Narrow"/>
                <w:sz w:val="20"/>
                <w:szCs w:val="20"/>
              </w:rPr>
              <w:t>26.2</w:t>
            </w:r>
          </w:p>
        </w:tc>
      </w:tr>
      <w:tr w:rsidR="00583C57" w:rsidRPr="00160CEC" w14:paraId="1028C537" w14:textId="77777777" w:rsidTr="00583C57">
        <w:tc>
          <w:tcPr>
            <w:tcW w:w="817" w:type="dxa"/>
          </w:tcPr>
          <w:p w14:paraId="6DA549C7" w14:textId="77777777" w:rsidR="00583C57" w:rsidRPr="008329E6" w:rsidRDefault="00583C57" w:rsidP="00583C57">
            <w:pPr>
              <w:rPr>
                <w:rFonts w:ascii="Arial" w:hAnsi="Arial" w:cs="Arial"/>
                <w:sz w:val="20"/>
                <w:szCs w:val="20"/>
              </w:rPr>
            </w:pPr>
            <w:r w:rsidRPr="008329E6">
              <w:rPr>
                <w:rFonts w:ascii="Arial" w:hAnsi="Arial" w:cs="Arial"/>
                <w:sz w:val="20"/>
                <w:szCs w:val="20"/>
              </w:rPr>
              <w:t>2027</w:t>
            </w:r>
          </w:p>
        </w:tc>
        <w:tc>
          <w:tcPr>
            <w:tcW w:w="1276" w:type="dxa"/>
          </w:tcPr>
          <w:p w14:paraId="790C4B81"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6,000</w:t>
            </w:r>
          </w:p>
        </w:tc>
        <w:tc>
          <w:tcPr>
            <w:tcW w:w="1078" w:type="dxa"/>
          </w:tcPr>
          <w:p w14:paraId="67B98993"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12,049</w:t>
            </w:r>
          </w:p>
        </w:tc>
        <w:tc>
          <w:tcPr>
            <w:tcW w:w="1134" w:type="dxa"/>
          </w:tcPr>
          <w:p w14:paraId="53DFB407"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6,049</w:t>
            </w:r>
          </w:p>
        </w:tc>
        <w:tc>
          <w:tcPr>
            <w:tcW w:w="1418" w:type="dxa"/>
          </w:tcPr>
          <w:p w14:paraId="480A5266" w14:textId="77777777" w:rsidR="00583C57" w:rsidRPr="008329E6" w:rsidRDefault="00583C57" w:rsidP="00583C57">
            <w:pPr>
              <w:rPr>
                <w:rFonts w:ascii="Arial Narrow" w:hAnsi="Arial Narrow"/>
                <w:sz w:val="20"/>
                <w:szCs w:val="20"/>
              </w:rPr>
            </w:pPr>
            <w:r w:rsidRPr="008329E6">
              <w:rPr>
                <w:rFonts w:ascii="Arial Narrow" w:hAnsi="Arial Narrow"/>
                <w:sz w:val="20"/>
                <w:szCs w:val="20"/>
              </w:rPr>
              <w:t>$604.9</w:t>
            </w:r>
          </w:p>
        </w:tc>
        <w:tc>
          <w:tcPr>
            <w:tcW w:w="1238" w:type="dxa"/>
          </w:tcPr>
          <w:p w14:paraId="4F07F56F" w14:textId="77777777" w:rsidR="00583C57" w:rsidRPr="008329E6" w:rsidRDefault="00583C57" w:rsidP="00583C57">
            <w:pPr>
              <w:rPr>
                <w:rFonts w:ascii="Arial Narrow" w:hAnsi="Arial Narrow"/>
                <w:sz w:val="20"/>
                <w:szCs w:val="20"/>
              </w:rPr>
            </w:pPr>
          </w:p>
        </w:tc>
        <w:tc>
          <w:tcPr>
            <w:tcW w:w="1217" w:type="dxa"/>
            <w:shd w:val="clear" w:color="auto" w:fill="D6E3BC" w:themeFill="accent3" w:themeFillTint="66"/>
          </w:tcPr>
          <w:p w14:paraId="7F5F901E" w14:textId="52A59FF7" w:rsidR="00583C57" w:rsidRPr="008329E6" w:rsidRDefault="00583C57" w:rsidP="00583C57">
            <w:pPr>
              <w:rPr>
                <w:rFonts w:ascii="Arial Narrow" w:hAnsi="Arial Narrow"/>
                <w:b/>
                <w:sz w:val="20"/>
                <w:szCs w:val="20"/>
              </w:rPr>
            </w:pPr>
            <w:r w:rsidRPr="008329E6">
              <w:rPr>
                <w:rFonts w:ascii="Arial Narrow" w:hAnsi="Arial Narrow"/>
                <w:b/>
                <w:sz w:val="20"/>
                <w:szCs w:val="20"/>
              </w:rPr>
              <w:t>$</w:t>
            </w:r>
            <w:r>
              <w:rPr>
                <w:rFonts w:ascii="Arial Narrow" w:hAnsi="Arial Narrow"/>
                <w:b/>
                <w:sz w:val="20"/>
                <w:szCs w:val="20"/>
              </w:rPr>
              <w:t>4</w:t>
            </w:r>
            <w:r w:rsidRPr="008329E6">
              <w:rPr>
                <w:rFonts w:ascii="Arial Narrow" w:hAnsi="Arial Narrow"/>
                <w:b/>
                <w:sz w:val="20"/>
                <w:szCs w:val="20"/>
              </w:rPr>
              <w:t>,</w:t>
            </w:r>
            <w:r w:rsidR="004A7C61">
              <w:rPr>
                <w:rFonts w:ascii="Arial Narrow" w:hAnsi="Arial Narrow"/>
                <w:b/>
                <w:sz w:val="20"/>
                <w:szCs w:val="20"/>
              </w:rPr>
              <w:t>5</w:t>
            </w:r>
            <w:r w:rsidRPr="008329E6">
              <w:rPr>
                <w:rFonts w:ascii="Arial Narrow" w:hAnsi="Arial Narrow"/>
                <w:b/>
                <w:sz w:val="20"/>
                <w:szCs w:val="20"/>
              </w:rPr>
              <w:t>31.1</w:t>
            </w:r>
          </w:p>
        </w:tc>
      </w:tr>
    </w:tbl>
    <w:p w14:paraId="07227B44" w14:textId="77777777" w:rsidR="00583C57" w:rsidRPr="008329E6" w:rsidRDefault="00583C57" w:rsidP="00583C57">
      <w:pPr>
        <w:rPr>
          <w:rFonts w:ascii="Arial" w:hAnsi="Arial" w:cs="Arial"/>
          <w:sz w:val="20"/>
          <w:szCs w:val="20"/>
        </w:rPr>
      </w:pPr>
    </w:p>
    <w:p w14:paraId="50DFA097" w14:textId="2E47150A" w:rsidR="00583C57" w:rsidRPr="008329E6" w:rsidRDefault="00583C57" w:rsidP="00583C57">
      <w:pPr>
        <w:rPr>
          <w:sz w:val="22"/>
          <w:szCs w:val="22"/>
        </w:rPr>
      </w:pPr>
      <w:r w:rsidRPr="008329E6">
        <w:rPr>
          <w:sz w:val="22"/>
          <w:szCs w:val="22"/>
        </w:rPr>
        <w:t>The difference between, on the one hand, The Opportunity Party’s criminal justice policies and achieving its goal of reducing the prison population to 6,000</w:t>
      </w:r>
      <w:r w:rsidR="009A55AA">
        <w:rPr>
          <w:sz w:val="22"/>
          <w:szCs w:val="22"/>
        </w:rPr>
        <w:t>,</w:t>
      </w:r>
      <w:r w:rsidRPr="008329E6">
        <w:rPr>
          <w:sz w:val="22"/>
          <w:szCs w:val="22"/>
        </w:rPr>
        <w:t xml:space="preserve"> and on the </w:t>
      </w:r>
      <w:r w:rsidRPr="008329E6">
        <w:rPr>
          <w:sz w:val="22"/>
          <w:szCs w:val="22"/>
        </w:rPr>
        <w:lastRenderedPageBreak/>
        <w:t xml:space="preserve">other hand, criminal justice as usual, is </w:t>
      </w:r>
      <w:r w:rsidRPr="00583C57">
        <w:rPr>
          <w:sz w:val="22"/>
          <w:szCs w:val="22"/>
        </w:rPr>
        <w:t>about $4.</w:t>
      </w:r>
      <w:r w:rsidR="00393A48">
        <w:rPr>
          <w:sz w:val="22"/>
          <w:szCs w:val="22"/>
        </w:rPr>
        <w:t>5</w:t>
      </w:r>
      <w:r w:rsidRPr="00583C57">
        <w:rPr>
          <w:sz w:val="22"/>
          <w:szCs w:val="22"/>
        </w:rPr>
        <w:t>bn</w:t>
      </w:r>
      <w:r w:rsidR="009A55AA">
        <w:rPr>
          <w:sz w:val="22"/>
          <w:szCs w:val="22"/>
        </w:rPr>
        <w:t xml:space="preserve"> over the next 10 years</w:t>
      </w:r>
      <w:r w:rsidRPr="00583C57">
        <w:rPr>
          <w:sz w:val="22"/>
          <w:szCs w:val="22"/>
        </w:rPr>
        <w:t>. We want to spend this $4</w:t>
      </w:r>
      <w:r w:rsidRPr="008329E6">
        <w:rPr>
          <w:sz w:val="22"/>
          <w:szCs w:val="22"/>
        </w:rPr>
        <w:t>.</w:t>
      </w:r>
      <w:r w:rsidR="00393A48">
        <w:rPr>
          <w:sz w:val="22"/>
          <w:szCs w:val="22"/>
        </w:rPr>
        <w:t>5</w:t>
      </w:r>
      <w:r w:rsidRPr="008329E6">
        <w:rPr>
          <w:sz w:val="22"/>
          <w:szCs w:val="22"/>
        </w:rPr>
        <w:t>bn on rehabilitating offenders and good social policies.</w:t>
      </w:r>
    </w:p>
    <w:p w14:paraId="2E20A63C" w14:textId="77777777" w:rsidR="00583C57" w:rsidRPr="008329E6" w:rsidRDefault="00583C57" w:rsidP="00583C57">
      <w:pPr>
        <w:rPr>
          <w:sz w:val="22"/>
          <w:szCs w:val="22"/>
        </w:rPr>
      </w:pPr>
    </w:p>
    <w:p w14:paraId="4E21B4D7" w14:textId="42EB5E1B" w:rsidR="00583C57" w:rsidRPr="008329E6" w:rsidRDefault="00583C57" w:rsidP="008329E6">
      <w:pPr>
        <w:rPr>
          <w:sz w:val="22"/>
          <w:szCs w:val="22"/>
        </w:rPr>
      </w:pPr>
      <w:r w:rsidRPr="008329E6">
        <w:rPr>
          <w:sz w:val="22"/>
          <w:szCs w:val="22"/>
        </w:rPr>
        <w:t xml:space="preserve">Our simple model can no doubt be improved but </w:t>
      </w:r>
      <w:r w:rsidR="009A55AA">
        <w:rPr>
          <w:sz w:val="22"/>
          <w:szCs w:val="22"/>
        </w:rPr>
        <w:t xml:space="preserve">it is a useful </w:t>
      </w:r>
      <w:r w:rsidRPr="008329E6">
        <w:rPr>
          <w:sz w:val="22"/>
          <w:szCs w:val="22"/>
        </w:rPr>
        <w:t>point of reference for a conversation on the next decade of criminal justice policy.</w:t>
      </w:r>
    </w:p>
    <w:p w14:paraId="41430844" w14:textId="77777777" w:rsidR="00160CEC" w:rsidRDefault="00160CEC" w:rsidP="00B859B7">
      <w:pPr>
        <w:spacing w:before="20" w:after="80"/>
        <w:rPr>
          <w:rFonts w:ascii="Arial" w:hAnsi="Arial" w:cs="Arial"/>
          <w:sz w:val="22"/>
          <w:szCs w:val="22"/>
        </w:rPr>
      </w:pPr>
    </w:p>
    <w:p w14:paraId="1BDD6C9E" w14:textId="28A2FDD3" w:rsidR="00816576" w:rsidRPr="00816576" w:rsidRDefault="00816576" w:rsidP="00B859B7">
      <w:pPr>
        <w:spacing w:before="20" w:after="80"/>
        <w:rPr>
          <w:rFonts w:asciiTheme="majorHAnsi" w:hAnsiTheme="majorHAnsi" w:cs="Arial"/>
          <w:b/>
          <w:sz w:val="22"/>
          <w:szCs w:val="22"/>
        </w:rPr>
      </w:pPr>
      <w:r w:rsidRPr="00816576">
        <w:rPr>
          <w:rFonts w:asciiTheme="majorHAnsi" w:hAnsiTheme="majorHAnsi" w:cs="Arial"/>
          <w:b/>
          <w:sz w:val="22"/>
          <w:szCs w:val="22"/>
        </w:rPr>
        <w:t>Reverse or amend legislation that is putting more people in prison or keeping them their longer</w:t>
      </w:r>
      <w:r w:rsidR="000B1C5C">
        <w:rPr>
          <w:rFonts w:asciiTheme="majorHAnsi" w:hAnsiTheme="majorHAnsi" w:cs="Arial"/>
          <w:b/>
          <w:sz w:val="22"/>
          <w:szCs w:val="22"/>
        </w:rPr>
        <w:t xml:space="preserve"> for no good reason</w:t>
      </w:r>
    </w:p>
    <w:p w14:paraId="189CB2D5" w14:textId="77777777" w:rsidR="00816576" w:rsidRPr="00AE641D" w:rsidRDefault="00816576" w:rsidP="00B859B7">
      <w:pPr>
        <w:spacing w:before="20" w:after="80"/>
        <w:rPr>
          <w:rFonts w:cs="Arial"/>
          <w:sz w:val="22"/>
          <w:szCs w:val="22"/>
        </w:rPr>
      </w:pPr>
    </w:p>
    <w:p w14:paraId="75DF5F3B" w14:textId="7BB825A0" w:rsidR="00583C57" w:rsidRPr="00AE641D" w:rsidRDefault="00583C57" w:rsidP="00B859B7">
      <w:pPr>
        <w:spacing w:before="20" w:after="80"/>
        <w:rPr>
          <w:rFonts w:cs="Arial"/>
          <w:sz w:val="22"/>
          <w:szCs w:val="22"/>
        </w:rPr>
      </w:pPr>
      <w:r w:rsidRPr="00AE641D">
        <w:rPr>
          <w:rFonts w:cs="Arial"/>
          <w:sz w:val="22"/>
          <w:szCs w:val="22"/>
        </w:rPr>
        <w:t xml:space="preserve">The Opportunities Party is all about fairness and evidence based policy. </w:t>
      </w:r>
      <w:r w:rsidR="00FB3D36">
        <w:rPr>
          <w:rFonts w:cs="Arial"/>
          <w:sz w:val="22"/>
          <w:szCs w:val="22"/>
        </w:rPr>
        <w:t>During our research we came</w:t>
      </w:r>
      <w:r w:rsidRPr="00AE641D">
        <w:rPr>
          <w:rFonts w:cs="Arial"/>
          <w:sz w:val="22"/>
          <w:szCs w:val="22"/>
        </w:rPr>
        <w:t xml:space="preserve"> across several pieces of legislation that are far from fair or based</w:t>
      </w:r>
      <w:r w:rsidR="000E1E7F">
        <w:rPr>
          <w:rFonts w:cs="Arial"/>
          <w:sz w:val="22"/>
          <w:szCs w:val="22"/>
        </w:rPr>
        <w:t xml:space="preserve"> on </w:t>
      </w:r>
      <w:r w:rsidR="000B1C5C">
        <w:rPr>
          <w:rFonts w:cs="Arial"/>
          <w:sz w:val="22"/>
          <w:szCs w:val="22"/>
        </w:rPr>
        <w:t>evidence that suggests they will reduce crime or make New Zealanders safer</w:t>
      </w:r>
      <w:r w:rsidRPr="00AE641D">
        <w:rPr>
          <w:rFonts w:cs="Arial"/>
          <w:sz w:val="22"/>
          <w:szCs w:val="22"/>
        </w:rPr>
        <w:t xml:space="preserve">. </w:t>
      </w:r>
    </w:p>
    <w:p w14:paraId="03280876" w14:textId="77777777" w:rsidR="00583C57" w:rsidRPr="00B859B7" w:rsidRDefault="00583C57" w:rsidP="00B859B7">
      <w:pPr>
        <w:spacing w:before="20" w:after="80"/>
        <w:rPr>
          <w:rFonts w:ascii="Arial" w:hAnsi="Arial" w:cs="Arial"/>
          <w:sz w:val="22"/>
          <w:szCs w:val="22"/>
        </w:rPr>
      </w:pPr>
    </w:p>
    <w:p w14:paraId="4888277E" w14:textId="6A544AB6" w:rsidR="00B859B7" w:rsidRDefault="00B859B7" w:rsidP="00B859B7">
      <w:pPr>
        <w:spacing w:before="20" w:after="80"/>
        <w:rPr>
          <w:rFonts w:ascii="Arial" w:hAnsi="Arial" w:cs="Arial"/>
          <w:sz w:val="22"/>
          <w:szCs w:val="22"/>
        </w:rPr>
      </w:pPr>
      <w:r w:rsidRPr="00B859B7">
        <w:rPr>
          <w:rFonts w:ascii="Arial" w:hAnsi="Arial" w:cs="Arial"/>
          <w:sz w:val="22"/>
          <w:szCs w:val="22"/>
        </w:rPr>
        <w:t>6</w:t>
      </w:r>
      <w:r w:rsidR="00816576">
        <w:rPr>
          <w:rFonts w:ascii="Arial" w:hAnsi="Arial" w:cs="Arial"/>
          <w:sz w:val="22"/>
          <w:szCs w:val="22"/>
        </w:rPr>
        <w:t>.</w:t>
      </w:r>
      <w:r w:rsidRPr="00B859B7">
        <w:rPr>
          <w:rFonts w:ascii="Arial" w:hAnsi="Arial" w:cs="Arial"/>
          <w:sz w:val="22"/>
          <w:szCs w:val="22"/>
        </w:rPr>
        <w:t xml:space="preserve"> Remove</w:t>
      </w:r>
      <w:r w:rsidRPr="00B859B7">
        <w:rPr>
          <w:rFonts w:ascii="Arial" w:hAnsi="Arial" w:cs="Arial"/>
          <w:sz w:val="22"/>
          <w:szCs w:val="22"/>
          <w:lang w:val="en-NZ"/>
        </w:rPr>
        <w:t xml:space="preserve"> the</w:t>
      </w:r>
      <w:r w:rsidRPr="00B859B7">
        <w:rPr>
          <w:rFonts w:ascii="Arial" w:hAnsi="Arial" w:cs="Arial"/>
          <w:sz w:val="22"/>
          <w:szCs w:val="22"/>
        </w:rPr>
        <w:t xml:space="preserve"> ‘three strikes’ legal regime created by the Sentencing and Parole Reform Act 2010 (the ‘three strikes Act’).</w:t>
      </w:r>
    </w:p>
    <w:p w14:paraId="20231866" w14:textId="230B6B72" w:rsidR="004C54C5" w:rsidRPr="00DA5D01" w:rsidRDefault="004C54C5" w:rsidP="004C54C5">
      <w:pPr>
        <w:rPr>
          <w:rFonts w:cs="Arial"/>
          <w:sz w:val="22"/>
          <w:szCs w:val="22"/>
        </w:rPr>
      </w:pPr>
      <w:r w:rsidRPr="00DA5D01">
        <w:rPr>
          <w:rFonts w:cs="Arial"/>
          <w:sz w:val="22"/>
          <w:szCs w:val="22"/>
        </w:rPr>
        <w:t>The Sentencing and Parole Reform Act 2010 created a new legal regime</w:t>
      </w:r>
      <w:r w:rsidR="00F605F2">
        <w:rPr>
          <w:rFonts w:cs="Arial"/>
          <w:sz w:val="22"/>
          <w:szCs w:val="22"/>
        </w:rPr>
        <w:t xml:space="preserve"> that we want</w:t>
      </w:r>
      <w:r w:rsidR="00D831B3">
        <w:rPr>
          <w:rFonts w:cs="Arial"/>
          <w:sz w:val="22"/>
          <w:szCs w:val="22"/>
        </w:rPr>
        <w:t xml:space="preserve"> remove</w:t>
      </w:r>
      <w:r w:rsidR="00F605F2">
        <w:rPr>
          <w:rFonts w:cs="Arial"/>
          <w:sz w:val="22"/>
          <w:szCs w:val="22"/>
        </w:rPr>
        <w:t>d</w:t>
      </w:r>
      <w:r w:rsidR="007D5251">
        <w:rPr>
          <w:rFonts w:cs="Arial"/>
          <w:sz w:val="22"/>
          <w:szCs w:val="22"/>
        </w:rPr>
        <w:t xml:space="preserve"> from the law</w:t>
      </w:r>
      <w:r w:rsidR="00D831B3">
        <w:rPr>
          <w:rFonts w:cs="Arial"/>
          <w:sz w:val="22"/>
          <w:szCs w:val="22"/>
        </w:rPr>
        <w:t>.</w:t>
      </w:r>
    </w:p>
    <w:p w14:paraId="7D6BC443" w14:textId="77777777" w:rsidR="004C54C5" w:rsidRDefault="004C54C5" w:rsidP="004C54C5">
      <w:pPr>
        <w:rPr>
          <w:rFonts w:cs="Arial"/>
          <w:sz w:val="22"/>
          <w:szCs w:val="22"/>
        </w:rPr>
      </w:pPr>
    </w:p>
    <w:p w14:paraId="2A553BEC" w14:textId="5A860AAC" w:rsidR="004C54C5" w:rsidRDefault="001D55C8" w:rsidP="004C54C5">
      <w:pPr>
        <w:rPr>
          <w:rFonts w:cs="Arial"/>
          <w:sz w:val="22"/>
          <w:szCs w:val="22"/>
          <w:lang w:val="en-NZ"/>
        </w:rPr>
      </w:pPr>
      <w:r>
        <w:rPr>
          <w:rFonts w:cs="Arial"/>
          <w:sz w:val="22"/>
          <w:szCs w:val="22"/>
        </w:rPr>
        <w:t xml:space="preserve">It </w:t>
      </w:r>
      <w:r w:rsidR="004C54C5">
        <w:rPr>
          <w:rFonts w:cs="Arial"/>
          <w:sz w:val="22"/>
          <w:szCs w:val="22"/>
        </w:rPr>
        <w:t>create</w:t>
      </w:r>
      <w:r>
        <w:rPr>
          <w:rFonts w:cs="Arial"/>
          <w:sz w:val="22"/>
          <w:szCs w:val="22"/>
        </w:rPr>
        <w:t>s</w:t>
      </w:r>
      <w:r w:rsidR="004C54C5" w:rsidRPr="00D77889">
        <w:rPr>
          <w:rFonts w:cs="Arial"/>
          <w:sz w:val="22"/>
          <w:szCs w:val="22"/>
        </w:rPr>
        <w:t xml:space="preserve"> a three</w:t>
      </w:r>
      <w:r w:rsidR="009A55AA">
        <w:rPr>
          <w:rFonts w:cs="Arial"/>
          <w:sz w:val="22"/>
          <w:szCs w:val="22"/>
        </w:rPr>
        <w:t>-</w:t>
      </w:r>
      <w:r w:rsidR="004C54C5" w:rsidRPr="00D77889">
        <w:rPr>
          <w:rFonts w:cs="Arial"/>
          <w:sz w:val="22"/>
          <w:szCs w:val="22"/>
        </w:rPr>
        <w:t xml:space="preserve">stage regime where </w:t>
      </w:r>
      <w:r w:rsidR="006C5546">
        <w:rPr>
          <w:rFonts w:cs="Arial"/>
          <w:sz w:val="22"/>
          <w:szCs w:val="22"/>
        </w:rPr>
        <w:t xml:space="preserve">the </w:t>
      </w:r>
      <w:r w:rsidR="004C54C5" w:rsidRPr="00D77889">
        <w:rPr>
          <w:rFonts w:cs="Arial"/>
          <w:sz w:val="22"/>
          <w:szCs w:val="22"/>
        </w:rPr>
        <w:t>consequences for repeat serious violent off</w:t>
      </w:r>
      <w:r w:rsidR="004C54C5">
        <w:rPr>
          <w:rFonts w:cs="Arial"/>
          <w:sz w:val="22"/>
          <w:szCs w:val="22"/>
        </w:rPr>
        <w:t>enders are aggravated with each</w:t>
      </w:r>
      <w:r w:rsidR="004A132B">
        <w:rPr>
          <w:rFonts w:cs="Arial"/>
          <w:sz w:val="22"/>
          <w:szCs w:val="22"/>
        </w:rPr>
        <w:t xml:space="preserve"> conviction or ‘strike’</w:t>
      </w:r>
      <w:r w:rsidR="004C54C5" w:rsidRPr="00D77889">
        <w:rPr>
          <w:rFonts w:cs="Arial"/>
          <w:sz w:val="22"/>
          <w:szCs w:val="22"/>
        </w:rPr>
        <w:t xml:space="preserve">. </w:t>
      </w:r>
      <w:r w:rsidR="00F01E42">
        <w:rPr>
          <w:rFonts w:cs="Arial"/>
          <w:sz w:val="22"/>
          <w:szCs w:val="22"/>
        </w:rPr>
        <w:t xml:space="preserve">At the third ‘strike’ </w:t>
      </w:r>
      <w:r w:rsidR="004C54C5" w:rsidRPr="00D77889">
        <w:rPr>
          <w:rFonts w:cs="Arial"/>
          <w:sz w:val="22"/>
          <w:szCs w:val="22"/>
          <w:lang w:val="en-NZ"/>
        </w:rPr>
        <w:t>th</w:t>
      </w:r>
      <w:r w:rsidR="00F01E42">
        <w:rPr>
          <w:rFonts w:cs="Arial"/>
          <w:sz w:val="22"/>
          <w:szCs w:val="22"/>
          <w:lang w:val="en-NZ"/>
        </w:rPr>
        <w:t>e judge must sentence the offender</w:t>
      </w:r>
      <w:r w:rsidR="004C54C5" w:rsidRPr="00D77889">
        <w:rPr>
          <w:rFonts w:cs="Arial"/>
          <w:sz w:val="22"/>
          <w:szCs w:val="22"/>
          <w:lang w:val="en-NZ"/>
        </w:rPr>
        <w:t xml:space="preserve"> to the maximum term of imprisonment prescribed for the offence and order that it be served wi</w:t>
      </w:r>
      <w:r w:rsidR="003A4211">
        <w:rPr>
          <w:rFonts w:cs="Arial"/>
          <w:sz w:val="22"/>
          <w:szCs w:val="22"/>
          <w:lang w:val="en-NZ"/>
        </w:rPr>
        <w:t xml:space="preserve">thout parole, unless removing </w:t>
      </w:r>
      <w:r w:rsidR="004C54C5" w:rsidRPr="00D77889">
        <w:rPr>
          <w:rFonts w:cs="Arial"/>
          <w:sz w:val="22"/>
          <w:szCs w:val="22"/>
          <w:lang w:val="en-NZ"/>
        </w:rPr>
        <w:t xml:space="preserve">parole would be “manifestly unjust”. </w:t>
      </w:r>
    </w:p>
    <w:p w14:paraId="2DA4F614" w14:textId="77777777" w:rsidR="00C34F6F" w:rsidRDefault="00C34F6F" w:rsidP="004C54C5">
      <w:pPr>
        <w:rPr>
          <w:rFonts w:cs="Arial"/>
          <w:sz w:val="22"/>
          <w:szCs w:val="22"/>
          <w:lang w:val="en-NZ"/>
        </w:rPr>
      </w:pPr>
    </w:p>
    <w:p w14:paraId="64E71E54" w14:textId="34F3DFA2" w:rsidR="00C34F6F" w:rsidRPr="003A4211" w:rsidRDefault="003A4211" w:rsidP="00C34F6F">
      <w:pPr>
        <w:rPr>
          <w:rFonts w:cs="Arial"/>
          <w:sz w:val="22"/>
          <w:szCs w:val="22"/>
          <w:lang w:val="en-NZ"/>
        </w:rPr>
      </w:pPr>
      <w:r>
        <w:rPr>
          <w:rFonts w:cs="Arial"/>
          <w:iCs/>
          <w:sz w:val="22"/>
          <w:szCs w:val="22"/>
          <w:lang w:val="en-NZ"/>
        </w:rPr>
        <w:t xml:space="preserve">The three strikes policy ignores an important </w:t>
      </w:r>
      <w:r w:rsidR="00C34F6F" w:rsidRPr="003A4211">
        <w:rPr>
          <w:rFonts w:cs="Arial"/>
          <w:iCs/>
          <w:sz w:val="22"/>
          <w:szCs w:val="22"/>
          <w:lang w:val="en-NZ"/>
        </w:rPr>
        <w:t>princi</w:t>
      </w:r>
      <w:r w:rsidR="00F605F2">
        <w:rPr>
          <w:rFonts w:cs="Arial"/>
          <w:iCs/>
          <w:sz w:val="22"/>
          <w:szCs w:val="22"/>
          <w:lang w:val="en-NZ"/>
        </w:rPr>
        <w:t>ple of good</w:t>
      </w:r>
      <w:r>
        <w:rPr>
          <w:rFonts w:cs="Arial"/>
          <w:iCs/>
          <w:sz w:val="22"/>
          <w:szCs w:val="22"/>
          <w:lang w:val="en-NZ"/>
        </w:rPr>
        <w:t xml:space="preserve"> sentencing: </w:t>
      </w:r>
      <w:r w:rsidR="00C34F6F" w:rsidRPr="003A4211">
        <w:rPr>
          <w:rFonts w:cs="Arial"/>
          <w:iCs/>
          <w:sz w:val="22"/>
          <w:szCs w:val="22"/>
          <w:lang w:val="en-NZ"/>
        </w:rPr>
        <w:t xml:space="preserve">proportionate response to </w:t>
      </w:r>
      <w:r>
        <w:rPr>
          <w:rFonts w:cs="Arial"/>
          <w:iCs/>
          <w:sz w:val="22"/>
          <w:szCs w:val="22"/>
          <w:lang w:val="en-NZ"/>
        </w:rPr>
        <w:t xml:space="preserve">criminal </w:t>
      </w:r>
      <w:r w:rsidR="00C34F6F" w:rsidRPr="003A4211">
        <w:rPr>
          <w:rFonts w:cs="Arial"/>
          <w:iCs/>
          <w:sz w:val="22"/>
          <w:szCs w:val="22"/>
          <w:lang w:val="en-NZ"/>
        </w:rPr>
        <w:t>wrongdoing.</w:t>
      </w:r>
      <w:r w:rsidR="001D55C8">
        <w:rPr>
          <w:rFonts w:cs="Arial"/>
          <w:iCs/>
          <w:sz w:val="22"/>
          <w:szCs w:val="22"/>
          <w:lang w:val="en-NZ"/>
        </w:rPr>
        <w:t xml:space="preserve"> It inevitably</w:t>
      </w:r>
      <w:r>
        <w:rPr>
          <w:rFonts w:cs="Arial"/>
          <w:iCs/>
          <w:sz w:val="22"/>
          <w:szCs w:val="22"/>
          <w:lang w:val="en-NZ"/>
        </w:rPr>
        <w:t xml:space="preserve"> leads to situations where a relatively minor offence </w:t>
      </w:r>
      <w:r w:rsidR="003D3135">
        <w:rPr>
          <w:rFonts w:cs="Arial"/>
          <w:iCs/>
          <w:sz w:val="22"/>
          <w:szCs w:val="22"/>
          <w:lang w:val="en-NZ"/>
        </w:rPr>
        <w:t>is treated like a more serious offence. By taking</w:t>
      </w:r>
      <w:r w:rsidR="000C55D7">
        <w:rPr>
          <w:rFonts w:cs="Arial"/>
          <w:iCs/>
          <w:sz w:val="22"/>
          <w:szCs w:val="22"/>
          <w:lang w:val="en-NZ"/>
        </w:rPr>
        <w:t xml:space="preserve"> from</w:t>
      </w:r>
      <w:r>
        <w:rPr>
          <w:rFonts w:cs="Arial"/>
          <w:iCs/>
          <w:sz w:val="22"/>
          <w:szCs w:val="22"/>
          <w:lang w:val="en-NZ"/>
        </w:rPr>
        <w:t xml:space="preserve"> judge</w:t>
      </w:r>
      <w:r w:rsidR="000C55D7">
        <w:rPr>
          <w:rFonts w:cs="Arial"/>
          <w:iCs/>
          <w:sz w:val="22"/>
          <w:szCs w:val="22"/>
          <w:lang w:val="en-NZ"/>
        </w:rPr>
        <w:t>s</w:t>
      </w:r>
      <w:r>
        <w:rPr>
          <w:rFonts w:cs="Arial"/>
          <w:iCs/>
          <w:sz w:val="22"/>
          <w:szCs w:val="22"/>
          <w:lang w:val="en-NZ"/>
        </w:rPr>
        <w:t xml:space="preserve"> the power to consider all the relevant fact</w:t>
      </w:r>
      <w:r w:rsidR="000C55D7">
        <w:rPr>
          <w:rFonts w:cs="Arial"/>
          <w:iCs/>
          <w:sz w:val="22"/>
          <w:szCs w:val="22"/>
          <w:lang w:val="en-NZ"/>
        </w:rPr>
        <w:t>ors of a</w:t>
      </w:r>
      <w:r w:rsidR="0072282B">
        <w:rPr>
          <w:rFonts w:cs="Arial"/>
          <w:iCs/>
          <w:sz w:val="22"/>
          <w:szCs w:val="22"/>
          <w:lang w:val="en-NZ"/>
        </w:rPr>
        <w:t xml:space="preserve"> case</w:t>
      </w:r>
      <w:r w:rsidR="003D3135">
        <w:rPr>
          <w:rFonts w:cs="Arial"/>
          <w:iCs/>
          <w:sz w:val="22"/>
          <w:szCs w:val="22"/>
          <w:lang w:val="en-NZ"/>
        </w:rPr>
        <w:t xml:space="preserve"> it inevi</w:t>
      </w:r>
      <w:r w:rsidR="00583C57">
        <w:rPr>
          <w:rFonts w:cs="Arial"/>
          <w:iCs/>
          <w:sz w:val="22"/>
          <w:szCs w:val="22"/>
          <w:lang w:val="en-NZ"/>
        </w:rPr>
        <w:t>t</w:t>
      </w:r>
      <w:r w:rsidR="003D3135">
        <w:rPr>
          <w:rFonts w:cs="Arial"/>
          <w:iCs/>
          <w:sz w:val="22"/>
          <w:szCs w:val="22"/>
          <w:lang w:val="en-NZ"/>
        </w:rPr>
        <w:t>ably leads to absurdity and injustice</w:t>
      </w:r>
      <w:r>
        <w:rPr>
          <w:rFonts w:cs="Arial"/>
          <w:iCs/>
          <w:sz w:val="22"/>
          <w:szCs w:val="22"/>
          <w:lang w:val="en-NZ"/>
        </w:rPr>
        <w:t>.</w:t>
      </w:r>
    </w:p>
    <w:p w14:paraId="2C8125A6" w14:textId="77777777" w:rsidR="00C34F6F" w:rsidRPr="00D77889" w:rsidRDefault="00C34F6F" w:rsidP="004C54C5">
      <w:pPr>
        <w:rPr>
          <w:rFonts w:cs="Arial"/>
          <w:sz w:val="22"/>
          <w:szCs w:val="22"/>
        </w:rPr>
      </w:pPr>
    </w:p>
    <w:p w14:paraId="685BADB0" w14:textId="77777777" w:rsidR="004C54C5" w:rsidRPr="00B859B7" w:rsidRDefault="004C54C5" w:rsidP="00B859B7">
      <w:pPr>
        <w:spacing w:before="20" w:after="80"/>
        <w:rPr>
          <w:rFonts w:ascii="Arial" w:hAnsi="Arial" w:cs="Arial"/>
          <w:sz w:val="22"/>
          <w:szCs w:val="22"/>
        </w:rPr>
      </w:pPr>
    </w:p>
    <w:p w14:paraId="2A5FEF15" w14:textId="007C830E" w:rsidR="00B859B7" w:rsidRDefault="00B859B7" w:rsidP="00B859B7">
      <w:pPr>
        <w:spacing w:before="20" w:after="80"/>
        <w:rPr>
          <w:rFonts w:ascii="Arial" w:hAnsi="Arial" w:cs="Arial"/>
          <w:sz w:val="22"/>
          <w:szCs w:val="22"/>
        </w:rPr>
      </w:pPr>
      <w:r w:rsidRPr="00B859B7">
        <w:rPr>
          <w:rFonts w:ascii="Arial" w:hAnsi="Arial" w:cs="Arial"/>
          <w:sz w:val="22"/>
          <w:szCs w:val="22"/>
        </w:rPr>
        <w:t>7</w:t>
      </w:r>
      <w:r w:rsidR="00D831B3">
        <w:rPr>
          <w:rFonts w:ascii="Arial" w:hAnsi="Arial" w:cs="Arial"/>
          <w:sz w:val="22"/>
          <w:szCs w:val="22"/>
        </w:rPr>
        <w:t>.</w:t>
      </w:r>
      <w:r w:rsidRPr="00B859B7">
        <w:rPr>
          <w:rFonts w:ascii="Arial" w:hAnsi="Arial" w:cs="Arial"/>
          <w:sz w:val="22"/>
          <w:szCs w:val="22"/>
        </w:rPr>
        <w:t xml:space="preserve"> Amend the Parole Act 20</w:t>
      </w:r>
      <w:r w:rsidR="00675DF4">
        <w:rPr>
          <w:rFonts w:ascii="Arial" w:hAnsi="Arial" w:cs="Arial"/>
          <w:sz w:val="22"/>
          <w:szCs w:val="22"/>
        </w:rPr>
        <w:t xml:space="preserve">02 so that long-term prisoners </w:t>
      </w:r>
      <w:r w:rsidRPr="00B859B7">
        <w:rPr>
          <w:rFonts w:ascii="Arial" w:hAnsi="Arial" w:cs="Arial"/>
          <w:sz w:val="22"/>
          <w:szCs w:val="22"/>
        </w:rPr>
        <w:t>are eligible for and more likely to be granted parole earlier.</w:t>
      </w:r>
    </w:p>
    <w:p w14:paraId="49139F32" w14:textId="588C0BA5" w:rsidR="00F80FB3" w:rsidRDefault="00D831B3" w:rsidP="00F80FB3">
      <w:pPr>
        <w:spacing w:before="40" w:after="40"/>
        <w:ind w:right="210"/>
        <w:jc w:val="both"/>
        <w:rPr>
          <w:sz w:val="22"/>
          <w:szCs w:val="22"/>
          <w:lang w:val="en-NZ"/>
        </w:rPr>
      </w:pPr>
      <w:r>
        <w:rPr>
          <w:sz w:val="22"/>
          <w:szCs w:val="22"/>
        </w:rPr>
        <w:t>The Parole Act 2002</w:t>
      </w:r>
      <w:r w:rsidR="00F80FB3">
        <w:rPr>
          <w:sz w:val="22"/>
          <w:szCs w:val="22"/>
        </w:rPr>
        <w:t xml:space="preserve"> </w:t>
      </w:r>
      <w:r w:rsidR="00F80FB3" w:rsidRPr="00EF6A40">
        <w:rPr>
          <w:sz w:val="22"/>
          <w:szCs w:val="22"/>
        </w:rPr>
        <w:t>specifies how and when offenders are released from prison.</w:t>
      </w:r>
      <w:r w:rsidR="00F80FB3">
        <w:rPr>
          <w:sz w:val="22"/>
          <w:szCs w:val="22"/>
        </w:rPr>
        <w:t xml:space="preserve"> </w:t>
      </w:r>
      <w:r w:rsidR="00F80FB3" w:rsidRPr="00EF6A40">
        <w:rPr>
          <w:sz w:val="22"/>
          <w:szCs w:val="22"/>
        </w:rPr>
        <w:t>Under the Act, most offenders sentenced</w:t>
      </w:r>
      <w:r w:rsidR="002D27C3">
        <w:rPr>
          <w:sz w:val="22"/>
          <w:szCs w:val="22"/>
        </w:rPr>
        <w:t xml:space="preserve"> to more than</w:t>
      </w:r>
      <w:r w:rsidR="00F80FB3" w:rsidRPr="00EF6A40">
        <w:rPr>
          <w:sz w:val="22"/>
          <w:szCs w:val="22"/>
        </w:rPr>
        <w:t xml:space="preserve"> two years </w:t>
      </w:r>
      <w:r w:rsidR="002D27C3">
        <w:rPr>
          <w:sz w:val="22"/>
          <w:szCs w:val="22"/>
        </w:rPr>
        <w:t xml:space="preserve">in prison </w:t>
      </w:r>
      <w:r w:rsidR="00F80FB3" w:rsidRPr="00EF6A40">
        <w:rPr>
          <w:sz w:val="22"/>
          <w:szCs w:val="22"/>
        </w:rPr>
        <w:t>are eligible (but not entitled) for release on parole after serving one-third of their sentence. </w:t>
      </w:r>
      <w:r w:rsidR="00F80FB3" w:rsidRPr="00892D24">
        <w:rPr>
          <w:sz w:val="22"/>
          <w:szCs w:val="22"/>
          <w:lang w:val="en-NZ"/>
        </w:rPr>
        <w:t xml:space="preserve"> </w:t>
      </w:r>
    </w:p>
    <w:p w14:paraId="10CF2F63" w14:textId="77777777" w:rsidR="00F80FB3" w:rsidRPr="00E048C6" w:rsidRDefault="00F80FB3" w:rsidP="00F80FB3">
      <w:pPr>
        <w:spacing w:before="40" w:after="40"/>
        <w:ind w:right="210"/>
        <w:jc w:val="both"/>
        <w:rPr>
          <w:sz w:val="22"/>
          <w:szCs w:val="22"/>
        </w:rPr>
      </w:pPr>
    </w:p>
    <w:p w14:paraId="537C49C2" w14:textId="4590CE56" w:rsidR="00F90F6E" w:rsidRDefault="00F80FB3" w:rsidP="00F80FB3">
      <w:pPr>
        <w:spacing w:before="40" w:after="40"/>
        <w:ind w:right="210"/>
        <w:jc w:val="both"/>
        <w:rPr>
          <w:sz w:val="22"/>
          <w:szCs w:val="22"/>
        </w:rPr>
      </w:pPr>
      <w:r>
        <w:rPr>
          <w:sz w:val="22"/>
          <w:szCs w:val="22"/>
        </w:rPr>
        <w:t xml:space="preserve">The effect of the </w:t>
      </w:r>
      <w:r w:rsidR="00D831B3">
        <w:rPr>
          <w:sz w:val="22"/>
          <w:szCs w:val="22"/>
        </w:rPr>
        <w:t xml:space="preserve">Parole </w:t>
      </w:r>
      <w:r>
        <w:rPr>
          <w:sz w:val="22"/>
          <w:szCs w:val="22"/>
        </w:rPr>
        <w:t>Act is that parole has be</w:t>
      </w:r>
      <w:r w:rsidR="00FC0F4F">
        <w:rPr>
          <w:sz w:val="22"/>
          <w:szCs w:val="22"/>
        </w:rPr>
        <w:t>en harder to get and that</w:t>
      </w:r>
      <w:r>
        <w:rPr>
          <w:sz w:val="22"/>
          <w:szCs w:val="22"/>
        </w:rPr>
        <w:t xml:space="preserve"> has </w:t>
      </w:r>
      <w:r w:rsidR="009A55AA">
        <w:rPr>
          <w:sz w:val="22"/>
          <w:szCs w:val="22"/>
        </w:rPr>
        <w:t xml:space="preserve">contributed to </w:t>
      </w:r>
      <w:r>
        <w:rPr>
          <w:sz w:val="22"/>
          <w:szCs w:val="22"/>
        </w:rPr>
        <w:t>th</w:t>
      </w:r>
      <w:r w:rsidR="00D831B3">
        <w:rPr>
          <w:sz w:val="22"/>
          <w:szCs w:val="22"/>
        </w:rPr>
        <w:t>e growing prison population. We</w:t>
      </w:r>
      <w:r>
        <w:rPr>
          <w:sz w:val="22"/>
          <w:szCs w:val="22"/>
        </w:rPr>
        <w:t xml:space="preserve"> would amend the Act with</w:t>
      </w:r>
      <w:r w:rsidR="00472F84">
        <w:rPr>
          <w:sz w:val="22"/>
          <w:szCs w:val="22"/>
        </w:rPr>
        <w:t xml:space="preserve"> the intention that more prisoners</w:t>
      </w:r>
      <w:r>
        <w:rPr>
          <w:sz w:val="22"/>
          <w:szCs w:val="22"/>
        </w:rPr>
        <w:t xml:space="preserve"> would be released earlier on parole than is currently the </w:t>
      </w:r>
      <w:r w:rsidR="009A55AA">
        <w:rPr>
          <w:sz w:val="22"/>
          <w:szCs w:val="22"/>
        </w:rPr>
        <w:t>case</w:t>
      </w:r>
      <w:r>
        <w:rPr>
          <w:sz w:val="22"/>
          <w:szCs w:val="22"/>
        </w:rPr>
        <w:t xml:space="preserve">. </w:t>
      </w:r>
      <w:r w:rsidR="00583C57">
        <w:rPr>
          <w:sz w:val="22"/>
          <w:szCs w:val="22"/>
        </w:rPr>
        <w:t>In some cases</w:t>
      </w:r>
      <w:r w:rsidR="004902BA">
        <w:rPr>
          <w:sz w:val="22"/>
          <w:szCs w:val="22"/>
        </w:rPr>
        <w:t>,</w:t>
      </w:r>
      <w:r w:rsidR="00583C57">
        <w:rPr>
          <w:sz w:val="22"/>
          <w:szCs w:val="22"/>
        </w:rPr>
        <w:t xml:space="preserve"> this </w:t>
      </w:r>
      <w:r w:rsidR="004902BA">
        <w:rPr>
          <w:sz w:val="22"/>
          <w:szCs w:val="22"/>
        </w:rPr>
        <w:t xml:space="preserve">would be the </w:t>
      </w:r>
      <w:r w:rsidR="00583C57">
        <w:rPr>
          <w:sz w:val="22"/>
          <w:szCs w:val="22"/>
        </w:rPr>
        <w:t>result</w:t>
      </w:r>
      <w:r w:rsidR="004902BA">
        <w:rPr>
          <w:sz w:val="22"/>
          <w:szCs w:val="22"/>
        </w:rPr>
        <w:t xml:space="preserve"> of our policy to develop an alternative-to-prison industry</w:t>
      </w:r>
      <w:r w:rsidR="00583C57">
        <w:rPr>
          <w:sz w:val="22"/>
          <w:szCs w:val="22"/>
        </w:rPr>
        <w:t xml:space="preserve"> </w:t>
      </w:r>
      <w:r w:rsidR="004902BA">
        <w:rPr>
          <w:sz w:val="22"/>
          <w:szCs w:val="22"/>
        </w:rPr>
        <w:t>that would ensure investment in</w:t>
      </w:r>
      <w:r w:rsidR="00583C57">
        <w:rPr>
          <w:sz w:val="22"/>
          <w:szCs w:val="22"/>
        </w:rPr>
        <w:t xml:space="preserve"> reintegration </w:t>
      </w:r>
      <w:proofErr w:type="spellStart"/>
      <w:r w:rsidR="00583C57">
        <w:rPr>
          <w:sz w:val="22"/>
          <w:szCs w:val="22"/>
        </w:rPr>
        <w:t>programmes</w:t>
      </w:r>
      <w:proofErr w:type="spellEnd"/>
      <w:r w:rsidR="00583C57">
        <w:rPr>
          <w:sz w:val="22"/>
          <w:szCs w:val="22"/>
        </w:rPr>
        <w:t xml:space="preserve"> such as housing for former </w:t>
      </w:r>
      <w:r w:rsidR="00920933">
        <w:rPr>
          <w:sz w:val="22"/>
          <w:szCs w:val="22"/>
        </w:rPr>
        <w:t>prisoners</w:t>
      </w:r>
      <w:r w:rsidR="00583C57">
        <w:rPr>
          <w:sz w:val="22"/>
          <w:szCs w:val="22"/>
        </w:rPr>
        <w:t xml:space="preserve">. </w:t>
      </w:r>
    </w:p>
    <w:p w14:paraId="2C7F3550" w14:textId="77777777" w:rsidR="00F90F6E" w:rsidRDefault="00F90F6E" w:rsidP="00F90F6E">
      <w:pPr>
        <w:rPr>
          <w:rFonts w:cs="Arial"/>
          <w:sz w:val="22"/>
          <w:szCs w:val="22"/>
        </w:rPr>
      </w:pPr>
    </w:p>
    <w:p w14:paraId="272D041F" w14:textId="459E463C" w:rsidR="00F90F6E" w:rsidRPr="006E14E4" w:rsidRDefault="00F90F6E" w:rsidP="00F90F6E">
      <w:pPr>
        <w:rPr>
          <w:rFonts w:cs="Arial"/>
          <w:sz w:val="22"/>
          <w:szCs w:val="22"/>
          <w:lang w:val="en-NZ"/>
        </w:rPr>
      </w:pPr>
      <w:r>
        <w:rPr>
          <w:rFonts w:cs="Arial"/>
          <w:sz w:val="22"/>
          <w:szCs w:val="22"/>
        </w:rPr>
        <w:t>I</w:t>
      </w:r>
      <w:r w:rsidR="000B2A1D">
        <w:rPr>
          <w:rFonts w:cs="Arial"/>
          <w:sz w:val="22"/>
          <w:szCs w:val="22"/>
        </w:rPr>
        <w:t>n addition, it may be necessary</w:t>
      </w:r>
      <w:r>
        <w:rPr>
          <w:rFonts w:cs="Arial"/>
          <w:sz w:val="22"/>
          <w:szCs w:val="22"/>
        </w:rPr>
        <w:t xml:space="preserve"> to redefine the meaning of ‘short-term [prison] sentence’. </w:t>
      </w:r>
      <w:r>
        <w:rPr>
          <w:rFonts w:cs="Arial"/>
          <w:sz w:val="22"/>
          <w:szCs w:val="22"/>
          <w:lang w:val="en-NZ"/>
        </w:rPr>
        <w:t>U</w:t>
      </w:r>
      <w:r w:rsidRPr="006E14E4">
        <w:rPr>
          <w:rFonts w:cs="Arial"/>
          <w:sz w:val="22"/>
          <w:szCs w:val="22"/>
          <w:lang w:val="en-NZ"/>
        </w:rPr>
        <w:t xml:space="preserve">nder </w:t>
      </w:r>
      <w:r w:rsidR="00472F84">
        <w:rPr>
          <w:rFonts w:cs="Arial"/>
          <w:sz w:val="22"/>
          <w:szCs w:val="22"/>
          <w:lang w:val="en-NZ"/>
        </w:rPr>
        <w:t>the Parole Act</w:t>
      </w:r>
      <w:r>
        <w:rPr>
          <w:rFonts w:cs="Arial"/>
          <w:sz w:val="22"/>
          <w:szCs w:val="22"/>
          <w:lang w:val="en-NZ"/>
        </w:rPr>
        <w:t>,</w:t>
      </w:r>
      <w:r w:rsidRPr="006E14E4">
        <w:rPr>
          <w:rFonts w:cs="Arial"/>
          <w:sz w:val="22"/>
          <w:szCs w:val="22"/>
          <w:lang w:val="en-NZ"/>
        </w:rPr>
        <w:t xml:space="preserve"> </w:t>
      </w:r>
      <w:r>
        <w:rPr>
          <w:rFonts w:cs="Arial"/>
          <w:sz w:val="22"/>
          <w:szCs w:val="22"/>
          <w:lang w:val="en-NZ"/>
        </w:rPr>
        <w:t>i</w:t>
      </w:r>
      <w:r w:rsidRPr="006E14E4">
        <w:rPr>
          <w:rFonts w:cs="Arial"/>
          <w:sz w:val="22"/>
          <w:szCs w:val="22"/>
          <w:lang w:val="en-NZ"/>
        </w:rPr>
        <w:t>f an offender is serving a short-te</w:t>
      </w:r>
      <w:r>
        <w:rPr>
          <w:rFonts w:cs="Arial"/>
          <w:sz w:val="22"/>
          <w:szCs w:val="22"/>
          <w:lang w:val="en-NZ"/>
        </w:rPr>
        <w:t>rm sentence</w:t>
      </w:r>
      <w:r w:rsidRPr="006E14E4">
        <w:rPr>
          <w:rFonts w:cs="Arial"/>
          <w:sz w:val="22"/>
          <w:szCs w:val="22"/>
          <w:lang w:val="en-NZ"/>
        </w:rPr>
        <w:t xml:space="preserve">, they must be released after serving half of their sentence.  </w:t>
      </w:r>
      <w:r>
        <w:rPr>
          <w:rFonts w:cs="Arial"/>
          <w:sz w:val="22"/>
          <w:szCs w:val="22"/>
          <w:lang w:val="en-NZ"/>
        </w:rPr>
        <w:t xml:space="preserve">(Upon release they </w:t>
      </w:r>
      <w:r w:rsidRPr="006E14E4">
        <w:rPr>
          <w:rFonts w:cs="Arial"/>
          <w:sz w:val="22"/>
          <w:szCs w:val="22"/>
          <w:lang w:val="en-NZ"/>
        </w:rPr>
        <w:t>may be subject to release conditions imposed by</w:t>
      </w:r>
      <w:r>
        <w:rPr>
          <w:rFonts w:cs="Arial"/>
          <w:sz w:val="22"/>
          <w:szCs w:val="22"/>
          <w:lang w:val="en-NZ"/>
        </w:rPr>
        <w:t xml:space="preserve"> the court that sentenced them.) </w:t>
      </w:r>
      <w:r>
        <w:rPr>
          <w:rFonts w:cs="Arial"/>
          <w:sz w:val="22"/>
          <w:szCs w:val="22"/>
        </w:rPr>
        <w:t xml:space="preserve">Currently short-term prison sentences are those sentences of 2 years or less (section 4 of the Parole Act). The definition of short-term sentence could be extended from 2 to 3 or </w:t>
      </w:r>
      <w:r w:rsidR="00C32823">
        <w:rPr>
          <w:rFonts w:cs="Arial"/>
          <w:sz w:val="22"/>
          <w:szCs w:val="22"/>
        </w:rPr>
        <w:t xml:space="preserve">even </w:t>
      </w:r>
      <w:r>
        <w:rPr>
          <w:rFonts w:cs="Arial"/>
          <w:sz w:val="22"/>
          <w:szCs w:val="22"/>
        </w:rPr>
        <w:t xml:space="preserve">4 years.  </w:t>
      </w:r>
    </w:p>
    <w:p w14:paraId="304102C2" w14:textId="77777777" w:rsidR="00F80FB3" w:rsidRDefault="00F80FB3" w:rsidP="00B859B7">
      <w:pPr>
        <w:spacing w:before="20" w:after="80"/>
        <w:rPr>
          <w:rFonts w:ascii="Arial" w:hAnsi="Arial" w:cs="Arial"/>
          <w:sz w:val="22"/>
          <w:szCs w:val="22"/>
        </w:rPr>
      </w:pPr>
    </w:p>
    <w:p w14:paraId="65AE05C2" w14:textId="5A7F608A" w:rsidR="00490D67" w:rsidRDefault="00B1007F" w:rsidP="00B859B7">
      <w:pPr>
        <w:spacing w:before="20" w:after="80"/>
        <w:rPr>
          <w:rFonts w:asciiTheme="majorHAnsi" w:hAnsiTheme="majorHAnsi" w:cs="Arial"/>
          <w:b/>
          <w:sz w:val="22"/>
          <w:szCs w:val="22"/>
        </w:rPr>
      </w:pPr>
      <w:r w:rsidRPr="00B1007F">
        <w:rPr>
          <w:rFonts w:asciiTheme="majorHAnsi" w:hAnsiTheme="majorHAnsi" w:cs="Arial"/>
          <w:b/>
          <w:sz w:val="22"/>
          <w:szCs w:val="22"/>
        </w:rPr>
        <w:lastRenderedPageBreak/>
        <w:t>Design legal rules t</w:t>
      </w:r>
      <w:r w:rsidR="004F5C85">
        <w:rPr>
          <w:rFonts w:asciiTheme="majorHAnsi" w:hAnsiTheme="majorHAnsi" w:cs="Arial"/>
          <w:b/>
          <w:sz w:val="22"/>
          <w:szCs w:val="22"/>
        </w:rPr>
        <w:t>hat include offenders in the community</w:t>
      </w:r>
    </w:p>
    <w:p w14:paraId="2274E419" w14:textId="4A87F81B" w:rsidR="00C35D34" w:rsidRPr="0048354E" w:rsidRDefault="0023668C" w:rsidP="00C35D34">
      <w:pPr>
        <w:spacing w:before="20" w:after="80"/>
        <w:rPr>
          <w:rFonts w:cs="Arial"/>
          <w:sz w:val="22"/>
          <w:szCs w:val="22"/>
        </w:rPr>
      </w:pPr>
      <w:r>
        <w:rPr>
          <w:rFonts w:cs="Arial"/>
          <w:sz w:val="22"/>
          <w:szCs w:val="22"/>
        </w:rPr>
        <w:t>Any c</w:t>
      </w:r>
      <w:r w:rsidR="00C35D34" w:rsidRPr="0048354E">
        <w:rPr>
          <w:rFonts w:cs="Arial"/>
          <w:sz w:val="22"/>
          <w:szCs w:val="22"/>
        </w:rPr>
        <w:t xml:space="preserve">riminal justice </w:t>
      </w:r>
      <w:r w:rsidR="00852AB8">
        <w:rPr>
          <w:rFonts w:cs="Arial"/>
          <w:sz w:val="22"/>
          <w:szCs w:val="22"/>
        </w:rPr>
        <w:t xml:space="preserve">policy that </w:t>
      </w:r>
      <w:r w:rsidR="00315742">
        <w:rPr>
          <w:rFonts w:cs="Arial"/>
          <w:sz w:val="22"/>
          <w:szCs w:val="22"/>
        </w:rPr>
        <w:t xml:space="preserve">works against reintegrating offenders back into the community is unlikely to reduce reoffending. </w:t>
      </w:r>
    </w:p>
    <w:p w14:paraId="13B7F42D" w14:textId="77777777" w:rsidR="00C35D34" w:rsidRPr="00B1007F" w:rsidRDefault="00C35D34" w:rsidP="00B859B7">
      <w:pPr>
        <w:spacing w:before="20" w:after="80"/>
        <w:rPr>
          <w:rFonts w:asciiTheme="majorHAnsi" w:hAnsiTheme="majorHAnsi" w:cs="Arial"/>
          <w:b/>
          <w:sz w:val="22"/>
          <w:szCs w:val="22"/>
        </w:rPr>
      </w:pPr>
    </w:p>
    <w:p w14:paraId="3D63B818" w14:textId="1DF4F880" w:rsidR="00B859B7" w:rsidRDefault="00B859B7" w:rsidP="00B859B7">
      <w:pPr>
        <w:spacing w:before="20" w:after="80"/>
        <w:rPr>
          <w:rFonts w:ascii="Arial" w:hAnsi="Arial" w:cs="Arial"/>
          <w:sz w:val="22"/>
          <w:szCs w:val="22"/>
          <w:lang w:val="en-NZ"/>
        </w:rPr>
      </w:pPr>
      <w:r w:rsidRPr="00B859B7">
        <w:rPr>
          <w:rFonts w:ascii="Arial" w:hAnsi="Arial" w:cs="Arial"/>
          <w:sz w:val="22"/>
          <w:szCs w:val="22"/>
        </w:rPr>
        <w:t>8</w:t>
      </w:r>
      <w:r w:rsidR="000D75AE">
        <w:rPr>
          <w:rFonts w:ascii="Arial" w:hAnsi="Arial" w:cs="Arial"/>
          <w:sz w:val="22"/>
          <w:szCs w:val="22"/>
        </w:rPr>
        <w:t>.</w:t>
      </w:r>
      <w:r w:rsidRPr="00B859B7">
        <w:rPr>
          <w:rFonts w:ascii="Arial" w:hAnsi="Arial" w:cs="Arial"/>
          <w:sz w:val="22"/>
          <w:szCs w:val="22"/>
        </w:rPr>
        <w:t xml:space="preserve"> Amend the Criminal Records (Clean Slate) Act 2004 so that its purpose of </w:t>
      </w:r>
      <w:r w:rsidRPr="00B859B7">
        <w:rPr>
          <w:rFonts w:ascii="Arial" w:hAnsi="Arial" w:cs="Arial"/>
          <w:sz w:val="22"/>
          <w:szCs w:val="22"/>
          <w:lang w:val="en-NZ"/>
        </w:rPr>
        <w:t>limiting “the effect of an individual’s convictions in most circumstances” (the Act, section 3) is strengthened.</w:t>
      </w:r>
    </w:p>
    <w:p w14:paraId="540B26DB" w14:textId="77777777" w:rsidR="002F456E" w:rsidRDefault="002F456E" w:rsidP="008732DA">
      <w:pPr>
        <w:spacing w:before="40" w:after="40"/>
        <w:ind w:right="210"/>
        <w:jc w:val="both"/>
        <w:rPr>
          <w:sz w:val="22"/>
          <w:szCs w:val="22"/>
          <w:lang w:val="en-NZ"/>
        </w:rPr>
      </w:pPr>
    </w:p>
    <w:p w14:paraId="50AAF881" w14:textId="049A532A" w:rsidR="008732DA" w:rsidRDefault="008732DA" w:rsidP="008732DA">
      <w:pPr>
        <w:spacing w:before="40" w:after="40"/>
        <w:ind w:right="210"/>
        <w:jc w:val="both"/>
        <w:rPr>
          <w:sz w:val="22"/>
          <w:szCs w:val="22"/>
          <w:lang w:val="en-NZ"/>
        </w:rPr>
      </w:pPr>
      <w:r>
        <w:rPr>
          <w:sz w:val="22"/>
          <w:szCs w:val="22"/>
          <w:lang w:val="en-NZ"/>
        </w:rPr>
        <w:t xml:space="preserve">The </w:t>
      </w:r>
      <w:r w:rsidR="00F83E78">
        <w:rPr>
          <w:sz w:val="22"/>
          <w:szCs w:val="22"/>
          <w:lang w:val="en-NZ"/>
        </w:rPr>
        <w:t>Clean Slate Act essentially wipes someone</w:t>
      </w:r>
      <w:r w:rsidR="00877F70">
        <w:rPr>
          <w:sz w:val="22"/>
          <w:szCs w:val="22"/>
          <w:lang w:val="en-NZ"/>
        </w:rPr>
        <w:t>’</w:t>
      </w:r>
      <w:r w:rsidR="00F83E78">
        <w:rPr>
          <w:sz w:val="22"/>
          <w:szCs w:val="22"/>
          <w:lang w:val="en-NZ"/>
        </w:rPr>
        <w:t xml:space="preserve">s criminal record after seven years, provided they </w:t>
      </w:r>
      <w:r w:rsidR="00023810">
        <w:rPr>
          <w:sz w:val="22"/>
          <w:szCs w:val="22"/>
          <w:lang w:val="en-NZ"/>
        </w:rPr>
        <w:t>were not sentenced to prison</w:t>
      </w:r>
      <w:r w:rsidRPr="00210821">
        <w:rPr>
          <w:sz w:val="22"/>
          <w:szCs w:val="22"/>
          <w:lang w:val="en-NZ"/>
        </w:rPr>
        <w:t>. The record remains available to the Police but in most circumstances, not to anyone else.</w:t>
      </w:r>
      <w:r>
        <w:rPr>
          <w:sz w:val="22"/>
          <w:szCs w:val="22"/>
          <w:lang w:val="en-NZ"/>
        </w:rPr>
        <w:t xml:space="preserve"> </w:t>
      </w:r>
    </w:p>
    <w:p w14:paraId="4A0C5251" w14:textId="77777777" w:rsidR="008732DA" w:rsidRDefault="008732DA" w:rsidP="008732DA">
      <w:pPr>
        <w:spacing w:before="40" w:after="40"/>
        <w:ind w:right="210"/>
        <w:jc w:val="both"/>
        <w:rPr>
          <w:sz w:val="22"/>
          <w:szCs w:val="22"/>
          <w:lang w:val="en-NZ"/>
        </w:rPr>
      </w:pPr>
    </w:p>
    <w:p w14:paraId="55BEC504" w14:textId="57EA1398" w:rsidR="008732DA" w:rsidRDefault="0023668C" w:rsidP="008732DA">
      <w:pPr>
        <w:spacing w:before="40" w:after="40"/>
        <w:ind w:right="210"/>
        <w:jc w:val="both"/>
        <w:rPr>
          <w:sz w:val="22"/>
          <w:szCs w:val="22"/>
        </w:rPr>
      </w:pPr>
      <w:r>
        <w:rPr>
          <w:sz w:val="22"/>
          <w:szCs w:val="22"/>
        </w:rPr>
        <w:t>We w</w:t>
      </w:r>
      <w:r w:rsidR="00C32823">
        <w:rPr>
          <w:sz w:val="22"/>
          <w:szCs w:val="22"/>
        </w:rPr>
        <w:t xml:space="preserve">ould </w:t>
      </w:r>
      <w:r w:rsidR="00A8354F">
        <w:rPr>
          <w:sz w:val="22"/>
          <w:szCs w:val="22"/>
        </w:rPr>
        <w:t>review the Act to</w:t>
      </w:r>
      <w:r w:rsidR="002A02E6">
        <w:rPr>
          <w:sz w:val="22"/>
          <w:szCs w:val="22"/>
        </w:rPr>
        <w:t xml:space="preserve"> reduce the seven</w:t>
      </w:r>
      <w:r>
        <w:rPr>
          <w:sz w:val="22"/>
          <w:szCs w:val="22"/>
        </w:rPr>
        <w:t xml:space="preserve"> year period and widen</w:t>
      </w:r>
      <w:r w:rsidR="008732DA">
        <w:rPr>
          <w:sz w:val="22"/>
          <w:szCs w:val="22"/>
        </w:rPr>
        <w:t xml:space="preserve"> the coverage of the Act to include criminal convictions that resulted in a prison sentence.</w:t>
      </w:r>
    </w:p>
    <w:p w14:paraId="12991142" w14:textId="77777777" w:rsidR="008732DA" w:rsidRDefault="008732DA" w:rsidP="008732DA">
      <w:pPr>
        <w:spacing w:before="40" w:after="40"/>
        <w:ind w:right="210"/>
        <w:jc w:val="both"/>
        <w:rPr>
          <w:sz w:val="22"/>
          <w:szCs w:val="22"/>
        </w:rPr>
      </w:pPr>
    </w:p>
    <w:p w14:paraId="1537CC8C" w14:textId="5A1ADD7D" w:rsidR="008732DA" w:rsidRDefault="008732DA" w:rsidP="008732DA">
      <w:r>
        <w:rPr>
          <w:sz w:val="22"/>
          <w:szCs w:val="22"/>
        </w:rPr>
        <w:t xml:space="preserve">A good model appears to be </w:t>
      </w:r>
      <w:r>
        <w:rPr>
          <w:sz w:val="22"/>
          <w:szCs w:val="22"/>
          <w:lang w:val="en-NZ"/>
        </w:rPr>
        <w:t>New York city legislation called the Fair Chance Act</w:t>
      </w:r>
      <w:r w:rsidR="00C32823">
        <w:rPr>
          <w:sz w:val="22"/>
          <w:szCs w:val="22"/>
          <w:lang w:val="en-NZ"/>
        </w:rPr>
        <w:t xml:space="preserve">, which </w:t>
      </w:r>
      <w:r>
        <w:rPr>
          <w:sz w:val="22"/>
          <w:szCs w:val="22"/>
          <w:lang w:val="en-NZ"/>
        </w:rPr>
        <w:t>makes it unlawful for</w:t>
      </w:r>
      <w:r w:rsidR="0020456E">
        <w:rPr>
          <w:sz w:val="22"/>
          <w:szCs w:val="22"/>
          <w:lang w:val="en-NZ"/>
        </w:rPr>
        <w:t xml:space="preserve"> employers </w:t>
      </w:r>
      <w:r w:rsidR="00753FA9">
        <w:rPr>
          <w:sz w:val="22"/>
          <w:szCs w:val="22"/>
          <w:lang w:val="en-NZ"/>
        </w:rPr>
        <w:t>with four</w:t>
      </w:r>
      <w:r w:rsidRPr="00CB005E">
        <w:rPr>
          <w:sz w:val="22"/>
          <w:szCs w:val="22"/>
          <w:lang w:val="en-NZ"/>
        </w:rPr>
        <w:t xml:space="preserve"> or more employees to ask about the criminal record of job applicants </w:t>
      </w:r>
      <w:r>
        <w:rPr>
          <w:sz w:val="22"/>
          <w:szCs w:val="22"/>
          <w:lang w:val="en-NZ"/>
        </w:rPr>
        <w:t xml:space="preserve">at any point </w:t>
      </w:r>
      <w:r w:rsidRPr="00CB005E">
        <w:rPr>
          <w:sz w:val="22"/>
          <w:szCs w:val="22"/>
          <w:lang w:val="en-NZ"/>
        </w:rPr>
        <w:t>before making a jo</w:t>
      </w:r>
      <w:r>
        <w:rPr>
          <w:sz w:val="22"/>
          <w:szCs w:val="22"/>
          <w:lang w:val="en-NZ"/>
        </w:rPr>
        <w:t>b offer</w:t>
      </w:r>
      <w:r w:rsidRPr="00CB005E">
        <w:rPr>
          <w:sz w:val="22"/>
          <w:szCs w:val="22"/>
          <w:lang w:val="en-NZ"/>
        </w:rPr>
        <w:t>.</w:t>
      </w:r>
      <w:r>
        <w:rPr>
          <w:sz w:val="22"/>
          <w:szCs w:val="22"/>
          <w:lang w:val="en-NZ"/>
        </w:rPr>
        <w:t xml:space="preserve"> </w:t>
      </w:r>
      <w:r w:rsidRPr="00CB005E">
        <w:rPr>
          <w:sz w:val="22"/>
          <w:szCs w:val="22"/>
          <w:lang w:val="en-NZ"/>
        </w:rPr>
        <w:t xml:space="preserve">If, after a job offer, an employer wants to revoke the offer based on the existence of </w:t>
      </w:r>
      <w:r>
        <w:rPr>
          <w:sz w:val="22"/>
          <w:szCs w:val="22"/>
          <w:lang w:val="en-NZ"/>
        </w:rPr>
        <w:t xml:space="preserve">a </w:t>
      </w:r>
      <w:r w:rsidRPr="00CB005E">
        <w:rPr>
          <w:sz w:val="22"/>
          <w:szCs w:val="22"/>
          <w:lang w:val="en-NZ"/>
        </w:rPr>
        <w:t xml:space="preserve">criminal record, the employer must provide </w:t>
      </w:r>
      <w:r>
        <w:rPr>
          <w:sz w:val="22"/>
          <w:szCs w:val="22"/>
          <w:lang w:val="en-NZ"/>
        </w:rPr>
        <w:t xml:space="preserve">the applicant with </w:t>
      </w:r>
      <w:r w:rsidRPr="00CB005E">
        <w:rPr>
          <w:sz w:val="22"/>
          <w:szCs w:val="22"/>
          <w:lang w:val="en-NZ"/>
        </w:rPr>
        <w:t>a copy of any b</w:t>
      </w:r>
      <w:r>
        <w:rPr>
          <w:sz w:val="22"/>
          <w:szCs w:val="22"/>
          <w:lang w:val="en-NZ"/>
        </w:rPr>
        <w:t>ackgr</w:t>
      </w:r>
      <w:r w:rsidR="00753FA9">
        <w:rPr>
          <w:sz w:val="22"/>
          <w:szCs w:val="22"/>
          <w:lang w:val="en-NZ"/>
        </w:rPr>
        <w:t>ound check and give him or her three</w:t>
      </w:r>
      <w:r w:rsidRPr="00CB005E">
        <w:rPr>
          <w:sz w:val="22"/>
          <w:szCs w:val="22"/>
          <w:lang w:val="en-NZ"/>
        </w:rPr>
        <w:t xml:space="preserve"> business days to respond.</w:t>
      </w:r>
    </w:p>
    <w:p w14:paraId="25769125" w14:textId="77777777" w:rsidR="008732DA" w:rsidRPr="00B859B7" w:rsidRDefault="008732DA" w:rsidP="00B859B7">
      <w:pPr>
        <w:spacing w:before="20" w:after="80"/>
        <w:rPr>
          <w:rFonts w:ascii="Arial" w:hAnsi="Arial" w:cs="Arial"/>
          <w:sz w:val="22"/>
          <w:szCs w:val="22"/>
          <w:lang w:val="en-NZ"/>
        </w:rPr>
      </w:pPr>
    </w:p>
    <w:p w14:paraId="359A44CA" w14:textId="1CCC18C4" w:rsidR="00B859B7" w:rsidRPr="00B859B7" w:rsidRDefault="00B859B7" w:rsidP="00B859B7">
      <w:pPr>
        <w:spacing w:before="20" w:after="80"/>
        <w:rPr>
          <w:rFonts w:ascii="Arial" w:hAnsi="Arial" w:cs="Arial"/>
          <w:sz w:val="22"/>
          <w:szCs w:val="22"/>
        </w:rPr>
      </w:pPr>
      <w:r w:rsidRPr="00B859B7">
        <w:rPr>
          <w:rFonts w:ascii="Arial" w:hAnsi="Arial" w:cs="Arial"/>
          <w:sz w:val="22"/>
          <w:szCs w:val="22"/>
        </w:rPr>
        <w:t>9</w:t>
      </w:r>
      <w:r w:rsidR="000D75AE">
        <w:rPr>
          <w:rFonts w:ascii="Arial" w:hAnsi="Arial" w:cs="Arial"/>
          <w:sz w:val="22"/>
          <w:szCs w:val="22"/>
        </w:rPr>
        <w:t>.</w:t>
      </w:r>
      <w:r w:rsidRPr="00B859B7">
        <w:rPr>
          <w:rFonts w:ascii="Arial" w:hAnsi="Arial" w:cs="Arial"/>
          <w:sz w:val="22"/>
          <w:szCs w:val="22"/>
        </w:rPr>
        <w:t xml:space="preserve"> Reverse the effects of the Electoral (Disqualification of Sentenced Prisoners) Amendment Act 2010 so that prisoners sentenced to less than 3 years have the right to vote.</w:t>
      </w:r>
      <w:r w:rsidRPr="00B859B7">
        <w:rPr>
          <w:rFonts w:ascii="Arial" w:hAnsi="Arial" w:cs="Arial"/>
          <w:sz w:val="22"/>
          <w:szCs w:val="22"/>
          <w:lang w:val="en-NZ"/>
        </w:rPr>
        <w:t> </w:t>
      </w:r>
    </w:p>
    <w:p w14:paraId="7CD2A686" w14:textId="77777777" w:rsidR="00B859B7" w:rsidRPr="003463B3" w:rsidRDefault="00B859B7" w:rsidP="00B859B7">
      <w:pPr>
        <w:spacing w:before="20" w:after="80"/>
        <w:rPr>
          <w:rFonts w:ascii="Arial Narrow" w:hAnsi="Arial Narrow"/>
          <w:sz w:val="22"/>
          <w:szCs w:val="22"/>
        </w:rPr>
      </w:pPr>
    </w:p>
    <w:p w14:paraId="2B155F63" w14:textId="26A4396D" w:rsidR="008C5740" w:rsidRDefault="00AF041C" w:rsidP="008C5740">
      <w:pPr>
        <w:rPr>
          <w:sz w:val="22"/>
          <w:szCs w:val="22"/>
          <w:lang w:val="en-NZ"/>
        </w:rPr>
      </w:pPr>
      <w:r>
        <w:rPr>
          <w:sz w:val="22"/>
          <w:szCs w:val="22"/>
          <w:lang w:val="en-NZ"/>
        </w:rPr>
        <w:t>T</w:t>
      </w:r>
      <w:r w:rsidR="008C5740" w:rsidRPr="00777EE8">
        <w:rPr>
          <w:sz w:val="22"/>
          <w:szCs w:val="22"/>
          <w:lang w:val="en-NZ"/>
        </w:rPr>
        <w:t>he Electoral (Disqualification of Sentenced Prisoner</w:t>
      </w:r>
      <w:r w:rsidR="002A0F28">
        <w:rPr>
          <w:sz w:val="22"/>
          <w:szCs w:val="22"/>
          <w:lang w:val="en-NZ"/>
        </w:rPr>
        <w:t xml:space="preserve">s) Amendment Act 2010 </w:t>
      </w:r>
      <w:r w:rsidR="008C5740" w:rsidRPr="00777EE8">
        <w:rPr>
          <w:sz w:val="22"/>
          <w:szCs w:val="22"/>
          <w:lang w:val="en-NZ"/>
        </w:rPr>
        <w:t>a</w:t>
      </w:r>
      <w:r w:rsidR="008C5740">
        <w:rPr>
          <w:sz w:val="22"/>
          <w:szCs w:val="22"/>
          <w:lang w:val="en-NZ"/>
        </w:rPr>
        <w:t>mended the El</w:t>
      </w:r>
      <w:r>
        <w:rPr>
          <w:sz w:val="22"/>
          <w:szCs w:val="22"/>
          <w:lang w:val="en-NZ"/>
        </w:rPr>
        <w:t xml:space="preserve">ectoral Act 1993 so </w:t>
      </w:r>
      <w:r w:rsidR="008C5740" w:rsidRPr="00777EE8">
        <w:rPr>
          <w:sz w:val="22"/>
          <w:szCs w:val="22"/>
          <w:lang w:val="en-NZ"/>
        </w:rPr>
        <w:t xml:space="preserve">that no offender sentenced to prison </w:t>
      </w:r>
      <w:r w:rsidR="00795177">
        <w:rPr>
          <w:sz w:val="22"/>
          <w:szCs w:val="22"/>
          <w:lang w:val="en-NZ"/>
        </w:rPr>
        <w:t xml:space="preserve">after the Act came into force in 2012 </w:t>
      </w:r>
      <w:r w:rsidR="008C5740" w:rsidRPr="00777EE8">
        <w:rPr>
          <w:sz w:val="22"/>
          <w:szCs w:val="22"/>
          <w:lang w:val="en-NZ"/>
        </w:rPr>
        <w:t>can vote.</w:t>
      </w:r>
      <w:r w:rsidR="009B0EFB">
        <w:rPr>
          <w:sz w:val="22"/>
          <w:szCs w:val="22"/>
          <w:lang w:val="en-NZ"/>
        </w:rPr>
        <w:t xml:space="preserve"> Up to then</w:t>
      </w:r>
      <w:r w:rsidR="00436406">
        <w:rPr>
          <w:sz w:val="22"/>
          <w:szCs w:val="22"/>
          <w:lang w:val="en-NZ"/>
        </w:rPr>
        <w:t>, and since 1993</w:t>
      </w:r>
      <w:r w:rsidR="008C5740">
        <w:rPr>
          <w:sz w:val="22"/>
          <w:szCs w:val="22"/>
          <w:lang w:val="en-NZ"/>
        </w:rPr>
        <w:t>, prisoners</w:t>
      </w:r>
      <w:r w:rsidR="008C5740" w:rsidRPr="00777EE8">
        <w:rPr>
          <w:sz w:val="22"/>
          <w:szCs w:val="22"/>
          <w:lang w:val="en-NZ"/>
        </w:rPr>
        <w:t xml:space="preserve"> whose sentence was </w:t>
      </w:r>
      <w:r w:rsidR="00436406">
        <w:rPr>
          <w:sz w:val="22"/>
          <w:szCs w:val="22"/>
          <w:lang w:val="en-NZ"/>
        </w:rPr>
        <w:t xml:space="preserve">no </w:t>
      </w:r>
      <w:r w:rsidR="008C5740" w:rsidRPr="00777EE8">
        <w:rPr>
          <w:sz w:val="22"/>
          <w:szCs w:val="22"/>
          <w:lang w:val="en-NZ"/>
        </w:rPr>
        <w:t>longer than three years</w:t>
      </w:r>
      <w:r w:rsidR="008C5740">
        <w:rPr>
          <w:sz w:val="22"/>
          <w:szCs w:val="22"/>
          <w:lang w:val="en-NZ"/>
        </w:rPr>
        <w:t xml:space="preserve"> could vote</w:t>
      </w:r>
      <w:r w:rsidR="008C5740" w:rsidRPr="00777EE8">
        <w:rPr>
          <w:sz w:val="22"/>
          <w:szCs w:val="22"/>
          <w:lang w:val="en-NZ"/>
        </w:rPr>
        <w:t xml:space="preserve">. </w:t>
      </w:r>
    </w:p>
    <w:p w14:paraId="6DF91714" w14:textId="77777777" w:rsidR="008C5740" w:rsidRDefault="008C5740" w:rsidP="008C5740">
      <w:pPr>
        <w:rPr>
          <w:sz w:val="22"/>
          <w:szCs w:val="22"/>
          <w:lang w:val="en-NZ"/>
        </w:rPr>
      </w:pPr>
    </w:p>
    <w:p w14:paraId="07F74A5D" w14:textId="03984B2D" w:rsidR="008C5740" w:rsidRDefault="007927F7" w:rsidP="008C5740">
      <w:pPr>
        <w:rPr>
          <w:sz w:val="22"/>
          <w:szCs w:val="22"/>
          <w:lang w:val="en-NZ"/>
        </w:rPr>
      </w:pPr>
      <w:r>
        <w:rPr>
          <w:sz w:val="22"/>
          <w:szCs w:val="22"/>
          <w:lang w:val="en-NZ"/>
        </w:rPr>
        <w:t xml:space="preserve">This </w:t>
      </w:r>
      <w:r w:rsidR="008C5740">
        <w:rPr>
          <w:sz w:val="22"/>
          <w:szCs w:val="22"/>
          <w:lang w:val="en-NZ"/>
        </w:rPr>
        <w:t>is inconsistent with the New Z</w:t>
      </w:r>
      <w:r>
        <w:rPr>
          <w:sz w:val="22"/>
          <w:szCs w:val="22"/>
          <w:lang w:val="en-NZ"/>
        </w:rPr>
        <w:t>ealand Bill of Rights Act</w:t>
      </w:r>
      <w:r w:rsidR="005159CF">
        <w:rPr>
          <w:sz w:val="22"/>
          <w:szCs w:val="22"/>
          <w:lang w:val="en-NZ"/>
        </w:rPr>
        <w:t xml:space="preserve"> which </w:t>
      </w:r>
      <w:r w:rsidR="008C5740" w:rsidRPr="0078541E">
        <w:rPr>
          <w:sz w:val="22"/>
          <w:szCs w:val="22"/>
          <w:lang w:val="en-NZ"/>
        </w:rPr>
        <w:t>affirms the right of N</w:t>
      </w:r>
      <w:r w:rsidR="009A38BB">
        <w:rPr>
          <w:sz w:val="22"/>
          <w:szCs w:val="22"/>
          <w:lang w:val="en-NZ"/>
        </w:rPr>
        <w:t xml:space="preserve">ew </w:t>
      </w:r>
      <w:r w:rsidR="008C5740" w:rsidRPr="0078541E">
        <w:rPr>
          <w:sz w:val="22"/>
          <w:szCs w:val="22"/>
          <w:lang w:val="en-NZ"/>
        </w:rPr>
        <w:t>Z</w:t>
      </w:r>
      <w:r w:rsidR="009A38BB">
        <w:rPr>
          <w:sz w:val="22"/>
          <w:szCs w:val="22"/>
          <w:lang w:val="en-NZ"/>
        </w:rPr>
        <w:t>ealand</w:t>
      </w:r>
      <w:r w:rsidR="008C5740" w:rsidRPr="0078541E">
        <w:rPr>
          <w:sz w:val="22"/>
          <w:szCs w:val="22"/>
          <w:lang w:val="en-NZ"/>
        </w:rPr>
        <w:t xml:space="preserve"> citizens over the age of 18 to vote.</w:t>
      </w:r>
      <w:r w:rsidR="008C5740">
        <w:rPr>
          <w:sz w:val="22"/>
          <w:szCs w:val="22"/>
          <w:lang w:val="en-NZ"/>
        </w:rPr>
        <w:t xml:space="preserve"> </w:t>
      </w:r>
      <w:r>
        <w:rPr>
          <w:sz w:val="22"/>
          <w:szCs w:val="22"/>
          <w:lang w:val="en-NZ"/>
        </w:rPr>
        <w:t>The</w:t>
      </w:r>
      <w:r w:rsidR="008C5740" w:rsidRPr="0078541E">
        <w:rPr>
          <w:sz w:val="22"/>
          <w:szCs w:val="22"/>
          <w:lang w:val="en-NZ"/>
        </w:rPr>
        <w:t xml:space="preserve"> policy has twice been fou</w:t>
      </w:r>
      <w:r w:rsidR="009A38BB">
        <w:rPr>
          <w:sz w:val="22"/>
          <w:szCs w:val="22"/>
          <w:lang w:val="en-NZ"/>
        </w:rPr>
        <w:t>nd to be inco</w:t>
      </w:r>
      <w:r w:rsidR="005159CF">
        <w:rPr>
          <w:sz w:val="22"/>
          <w:szCs w:val="22"/>
          <w:lang w:val="en-NZ"/>
        </w:rPr>
        <w:t>nsistent with Bill of Rights: f</w:t>
      </w:r>
      <w:r w:rsidR="00A40D9E">
        <w:rPr>
          <w:sz w:val="22"/>
          <w:szCs w:val="22"/>
          <w:lang w:val="en-NZ"/>
        </w:rPr>
        <w:t>irst</w:t>
      </w:r>
      <w:r w:rsidR="008C5740" w:rsidRPr="0078541E">
        <w:rPr>
          <w:sz w:val="22"/>
          <w:szCs w:val="22"/>
          <w:lang w:val="en-NZ"/>
        </w:rPr>
        <w:t xml:space="preserve"> by the Attorney-General during the passage of the bil</w:t>
      </w:r>
      <w:r w:rsidR="008C5740">
        <w:rPr>
          <w:sz w:val="22"/>
          <w:szCs w:val="22"/>
          <w:lang w:val="en-NZ"/>
        </w:rPr>
        <w:t>l throu</w:t>
      </w:r>
      <w:r w:rsidR="00436406">
        <w:rPr>
          <w:sz w:val="22"/>
          <w:szCs w:val="22"/>
          <w:lang w:val="en-NZ"/>
        </w:rPr>
        <w:t xml:space="preserve">gh Parliament, and then in </w:t>
      </w:r>
      <w:r w:rsidR="005B49CF">
        <w:rPr>
          <w:sz w:val="22"/>
          <w:szCs w:val="22"/>
          <w:lang w:val="en-NZ"/>
        </w:rPr>
        <w:t>2015</w:t>
      </w:r>
      <w:r w:rsidR="00A40D9E">
        <w:rPr>
          <w:sz w:val="22"/>
          <w:szCs w:val="22"/>
          <w:lang w:val="en-NZ"/>
        </w:rPr>
        <w:t xml:space="preserve"> </w:t>
      </w:r>
      <w:r w:rsidR="008C5740" w:rsidRPr="0078541E">
        <w:rPr>
          <w:sz w:val="22"/>
          <w:szCs w:val="22"/>
          <w:lang w:val="en-NZ"/>
        </w:rPr>
        <w:t>by Justice Heath in the Auckland High C</w:t>
      </w:r>
      <w:r w:rsidR="00C9476D">
        <w:rPr>
          <w:sz w:val="22"/>
          <w:szCs w:val="22"/>
          <w:lang w:val="en-NZ"/>
        </w:rPr>
        <w:t>ourt</w:t>
      </w:r>
      <w:r w:rsidR="008C5740">
        <w:rPr>
          <w:sz w:val="22"/>
          <w:szCs w:val="22"/>
          <w:lang w:val="en-NZ"/>
        </w:rPr>
        <w:t>.</w:t>
      </w:r>
      <w:r w:rsidR="00DF10D4">
        <w:rPr>
          <w:sz w:val="22"/>
          <w:szCs w:val="22"/>
          <w:lang w:val="en-NZ"/>
        </w:rPr>
        <w:t xml:space="preserve"> </w:t>
      </w:r>
    </w:p>
    <w:p w14:paraId="554999A6" w14:textId="77777777" w:rsidR="00DF10D4" w:rsidRDefault="00DF10D4" w:rsidP="008C5740">
      <w:pPr>
        <w:rPr>
          <w:sz w:val="22"/>
          <w:szCs w:val="22"/>
          <w:lang w:val="en-NZ"/>
        </w:rPr>
      </w:pPr>
    </w:p>
    <w:p w14:paraId="0488B6F9" w14:textId="055F5AAC" w:rsidR="00DF10D4" w:rsidRPr="00777EE8" w:rsidRDefault="00DF10D4" w:rsidP="008C5740">
      <w:pPr>
        <w:rPr>
          <w:sz w:val="22"/>
          <w:szCs w:val="22"/>
          <w:lang w:val="en-NZ"/>
        </w:rPr>
      </w:pPr>
      <w:r>
        <w:rPr>
          <w:sz w:val="22"/>
          <w:szCs w:val="22"/>
          <w:lang w:val="en-NZ"/>
        </w:rPr>
        <w:t>If we exclude prisoners fr</w:t>
      </w:r>
      <w:r w:rsidR="00B84223">
        <w:rPr>
          <w:sz w:val="22"/>
          <w:szCs w:val="22"/>
          <w:lang w:val="en-NZ"/>
        </w:rPr>
        <w:t xml:space="preserve">om the political community, </w:t>
      </w:r>
      <w:r>
        <w:rPr>
          <w:sz w:val="22"/>
          <w:szCs w:val="22"/>
          <w:lang w:val="en-NZ"/>
        </w:rPr>
        <w:t>can we expect them t</w:t>
      </w:r>
      <w:r w:rsidR="00B84223">
        <w:rPr>
          <w:sz w:val="22"/>
          <w:szCs w:val="22"/>
          <w:lang w:val="en-NZ"/>
        </w:rPr>
        <w:t>o feel part of it or</w:t>
      </w:r>
      <w:r w:rsidR="001C273C">
        <w:rPr>
          <w:sz w:val="22"/>
          <w:szCs w:val="22"/>
          <w:lang w:val="en-NZ"/>
        </w:rPr>
        <w:t xml:space="preserve"> fidelity</w:t>
      </w:r>
      <w:r>
        <w:rPr>
          <w:sz w:val="22"/>
          <w:szCs w:val="22"/>
          <w:lang w:val="en-NZ"/>
        </w:rPr>
        <w:t xml:space="preserve"> to its criminal law?</w:t>
      </w:r>
    </w:p>
    <w:p w14:paraId="390CE0DA" w14:textId="77777777" w:rsidR="000732C2" w:rsidRDefault="000732C2">
      <w:pPr>
        <w:rPr>
          <w:sz w:val="22"/>
          <w:szCs w:val="22"/>
          <w:lang w:val="en-NZ"/>
        </w:rPr>
      </w:pPr>
    </w:p>
    <w:p w14:paraId="6DF2FE11" w14:textId="77777777" w:rsidR="007B0A4D" w:rsidRPr="000732C2" w:rsidRDefault="007B0A4D">
      <w:pPr>
        <w:rPr>
          <w:sz w:val="22"/>
          <w:szCs w:val="22"/>
          <w:lang w:val="en-NZ"/>
        </w:rPr>
      </w:pPr>
    </w:p>
    <w:p w14:paraId="654D3673" w14:textId="4ED5698C" w:rsidR="005107BA" w:rsidRPr="000732C2" w:rsidRDefault="00007894">
      <w:pPr>
        <w:rPr>
          <w:sz w:val="22"/>
          <w:szCs w:val="22"/>
        </w:rPr>
      </w:pPr>
      <w:r>
        <w:rPr>
          <w:sz w:val="22"/>
          <w:szCs w:val="22"/>
        </w:rPr>
        <w:t>In sum, The Op</w:t>
      </w:r>
      <w:r w:rsidR="00CB147F">
        <w:rPr>
          <w:sz w:val="22"/>
          <w:szCs w:val="22"/>
        </w:rPr>
        <w:t xml:space="preserve">portunities Party has </w:t>
      </w:r>
      <w:r>
        <w:rPr>
          <w:sz w:val="22"/>
          <w:szCs w:val="22"/>
        </w:rPr>
        <w:t>a case for reducing the prison population and reinvesting the money saved into interventions that will actually work to reduce crime. In the long</w:t>
      </w:r>
      <w:r w:rsidR="007B0A4D">
        <w:rPr>
          <w:sz w:val="22"/>
          <w:szCs w:val="22"/>
        </w:rPr>
        <w:t>er</w:t>
      </w:r>
      <w:r>
        <w:rPr>
          <w:sz w:val="22"/>
          <w:szCs w:val="22"/>
        </w:rPr>
        <w:t xml:space="preserve"> term</w:t>
      </w:r>
      <w:r w:rsidR="00C32823">
        <w:rPr>
          <w:sz w:val="22"/>
          <w:szCs w:val="22"/>
        </w:rPr>
        <w:t>,</w:t>
      </w:r>
      <w:r>
        <w:rPr>
          <w:sz w:val="22"/>
          <w:szCs w:val="22"/>
        </w:rPr>
        <w:t xml:space="preserve"> our goal is to reduce the </w:t>
      </w:r>
      <w:r w:rsidR="00CB147F">
        <w:rPr>
          <w:sz w:val="22"/>
          <w:szCs w:val="22"/>
        </w:rPr>
        <w:t xml:space="preserve">size of the </w:t>
      </w:r>
      <w:r>
        <w:rPr>
          <w:sz w:val="22"/>
          <w:szCs w:val="22"/>
        </w:rPr>
        <w:t xml:space="preserve">prison population to the </w:t>
      </w:r>
      <w:r w:rsidR="007B0A4D">
        <w:rPr>
          <w:sz w:val="22"/>
          <w:szCs w:val="22"/>
        </w:rPr>
        <w:t>advanced economy</w:t>
      </w:r>
      <w:r w:rsidR="00CB147F">
        <w:rPr>
          <w:sz w:val="22"/>
          <w:szCs w:val="22"/>
        </w:rPr>
        <w:t xml:space="preserve"> average</w:t>
      </w:r>
      <w:r>
        <w:rPr>
          <w:sz w:val="22"/>
          <w:szCs w:val="22"/>
        </w:rPr>
        <w:t xml:space="preserve">, which would be half the </w:t>
      </w:r>
      <w:r w:rsidR="007B0A4D">
        <w:rPr>
          <w:sz w:val="22"/>
          <w:szCs w:val="22"/>
        </w:rPr>
        <w:t>size</w:t>
      </w:r>
      <w:r>
        <w:rPr>
          <w:sz w:val="22"/>
          <w:szCs w:val="22"/>
        </w:rPr>
        <w:t xml:space="preserve"> projected for 2027. </w:t>
      </w:r>
    </w:p>
    <w:p w14:paraId="5E2EC96B" w14:textId="77777777" w:rsidR="005107BA" w:rsidRDefault="005107BA"/>
    <w:sectPr w:rsidR="005107BA" w:rsidSect="00B75CDB">
      <w:headerReference w:type="default" r:id="rId23"/>
      <w:footerReference w:type="even" r:id="rId24"/>
      <w:footerReference w:type="default" r:id="rId25"/>
      <w:pgSz w:w="11900" w:h="16840"/>
      <w:pgMar w:top="1440" w:right="1800" w:bottom="1440" w:left="1843"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EF2F1F" w15:done="0"/>
  <w15:commentEx w15:paraId="08B78372" w15:done="0"/>
  <w15:commentEx w15:paraId="3662B49B" w15:done="0"/>
  <w15:commentEx w15:paraId="66BAFE10" w15:done="0"/>
  <w15:commentEx w15:paraId="4F83BA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EF2F1F" w16cid:durableId="1D249D1B"/>
  <w16cid:commentId w16cid:paraId="08B78372" w16cid:durableId="1D259310"/>
  <w16cid:commentId w16cid:paraId="3662B49B" w16cid:durableId="1D249043"/>
  <w16cid:commentId w16cid:paraId="66BAFE10" w16cid:durableId="1D2599BD"/>
  <w16cid:commentId w16cid:paraId="4F83BAA6" w16cid:durableId="1D259CA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4AB91" w14:textId="77777777" w:rsidR="00951299" w:rsidRDefault="00951299" w:rsidP="00D03D55">
      <w:r>
        <w:separator/>
      </w:r>
    </w:p>
  </w:endnote>
  <w:endnote w:type="continuationSeparator" w:id="0">
    <w:p w14:paraId="0847200E" w14:textId="77777777" w:rsidR="00951299" w:rsidRDefault="00951299" w:rsidP="00D0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Avenir Oblique">
    <w:panose1 w:val="020B0503020203090204"/>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524E0" w14:textId="77777777" w:rsidR="00951299" w:rsidRDefault="00951299" w:rsidP="00205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B2DE40" w14:textId="77777777" w:rsidR="00951299" w:rsidRDefault="00951299" w:rsidP="00AD5A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F4C5B" w14:textId="49AFDEBA" w:rsidR="00951299" w:rsidRDefault="00951299" w:rsidP="00205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7086">
      <w:rPr>
        <w:rStyle w:val="PageNumber"/>
        <w:noProof/>
      </w:rPr>
      <w:t>1</w:t>
    </w:r>
    <w:r>
      <w:rPr>
        <w:rStyle w:val="PageNumber"/>
      </w:rPr>
      <w:fldChar w:fldCharType="end"/>
    </w:r>
  </w:p>
  <w:p w14:paraId="7FA4C4D0" w14:textId="77777777" w:rsidR="00951299" w:rsidRDefault="00951299" w:rsidP="00AD5A1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0A44B" w14:textId="77777777" w:rsidR="00951299" w:rsidRDefault="00951299" w:rsidP="00D03D55">
      <w:r>
        <w:separator/>
      </w:r>
    </w:p>
  </w:footnote>
  <w:footnote w:type="continuationSeparator" w:id="0">
    <w:p w14:paraId="5C3B0D04" w14:textId="77777777" w:rsidR="00951299" w:rsidRDefault="00951299" w:rsidP="00D03D55">
      <w:r>
        <w:continuationSeparator/>
      </w:r>
    </w:p>
  </w:footnote>
  <w:footnote w:id="1">
    <w:p w14:paraId="0D00FDC0" w14:textId="77777777" w:rsidR="00951299" w:rsidRPr="005D5F6B" w:rsidRDefault="00951299" w:rsidP="00DD4718">
      <w:pPr>
        <w:pStyle w:val="FootnoteText"/>
        <w:rPr>
          <w:sz w:val="20"/>
          <w:szCs w:val="20"/>
        </w:rPr>
      </w:pPr>
      <w:r w:rsidRPr="005D5F6B">
        <w:rPr>
          <w:rStyle w:val="FootnoteReference"/>
          <w:sz w:val="20"/>
          <w:szCs w:val="20"/>
        </w:rPr>
        <w:footnoteRef/>
      </w:r>
      <w:r w:rsidRPr="005D5F6B">
        <w:rPr>
          <w:sz w:val="20"/>
          <w:szCs w:val="20"/>
        </w:rPr>
        <w:t xml:space="preserve"> Cullen, Francis T, Cheryl Leo Jonson and Daniel S Nagin (2011) ‘Prisons do not reduce recidivism: The high cost of ignoring science’ </w:t>
      </w:r>
      <w:r w:rsidRPr="005D5F6B">
        <w:rPr>
          <w:i/>
          <w:sz w:val="20"/>
          <w:szCs w:val="20"/>
        </w:rPr>
        <w:t>The Prison Journal</w:t>
      </w:r>
      <w:r>
        <w:rPr>
          <w:sz w:val="20"/>
          <w:szCs w:val="20"/>
        </w:rPr>
        <w:t xml:space="preserve"> 91(3) 48S-65S at p. 53S.</w:t>
      </w:r>
    </w:p>
    <w:p w14:paraId="7A137781" w14:textId="77777777" w:rsidR="00951299" w:rsidRPr="005F724D" w:rsidRDefault="00951299" w:rsidP="00DD4718">
      <w:pPr>
        <w:pStyle w:val="FootnoteText"/>
        <w:rPr>
          <w:sz w:val="20"/>
          <w:szCs w:val="20"/>
          <w:lang w:val="en-NZ"/>
        </w:rPr>
      </w:pPr>
      <w:r>
        <w:rPr>
          <w:sz w:val="20"/>
          <w:szCs w:val="20"/>
          <w:lang w:val="en-NZ"/>
        </w:rPr>
        <w:t>(</w:t>
      </w:r>
      <w:r w:rsidRPr="005F724D">
        <w:rPr>
          <w:sz w:val="20"/>
          <w:szCs w:val="20"/>
          <w:lang w:val="en-NZ"/>
        </w:rPr>
        <w:t>http://tpj.sagepub.com/content/91/3_suppl/48S T</w:t>
      </w:r>
      <w:r>
        <w:rPr>
          <w:sz w:val="20"/>
          <w:szCs w:val="20"/>
          <w:lang w:val="en-NZ"/>
        </w:rPr>
        <w:t>)</w:t>
      </w:r>
    </w:p>
    <w:p w14:paraId="57DC7803" w14:textId="77777777" w:rsidR="00951299" w:rsidRPr="005D5F6B" w:rsidRDefault="00951299" w:rsidP="00DD4718">
      <w:pPr>
        <w:pStyle w:val="FootnoteText"/>
        <w:rPr>
          <w:sz w:val="20"/>
          <w:szCs w:val="20"/>
        </w:rPr>
      </w:pPr>
    </w:p>
  </w:footnote>
  <w:footnote w:id="2">
    <w:p w14:paraId="3FF4F783" w14:textId="77777777" w:rsidR="00951299" w:rsidRPr="005D5F6B" w:rsidRDefault="00951299" w:rsidP="00DD4718">
      <w:pPr>
        <w:pStyle w:val="FootnoteText"/>
        <w:rPr>
          <w:sz w:val="20"/>
          <w:szCs w:val="20"/>
        </w:rPr>
      </w:pPr>
      <w:r w:rsidRPr="005D5F6B">
        <w:rPr>
          <w:rStyle w:val="FootnoteReference"/>
          <w:sz w:val="20"/>
          <w:szCs w:val="20"/>
        </w:rPr>
        <w:footnoteRef/>
      </w:r>
      <w:r w:rsidRPr="005D5F6B">
        <w:rPr>
          <w:sz w:val="20"/>
          <w:szCs w:val="20"/>
        </w:rPr>
        <w:t xml:space="preserve"> Department of Corrections. </w:t>
      </w:r>
      <w:r w:rsidRPr="005D5F6B">
        <w:rPr>
          <w:i/>
          <w:sz w:val="20"/>
          <w:szCs w:val="20"/>
        </w:rPr>
        <w:t>2015/16 Annual Report</w:t>
      </w:r>
      <w:r w:rsidRPr="005D5F6B">
        <w:rPr>
          <w:sz w:val="20"/>
          <w:szCs w:val="20"/>
        </w:rPr>
        <w:t>, Appendix Two: Recidivism Index.</w:t>
      </w:r>
    </w:p>
    <w:p w14:paraId="33C83010" w14:textId="77777777" w:rsidR="00951299" w:rsidRPr="005D5F6B" w:rsidRDefault="00951299" w:rsidP="00DD4718">
      <w:pPr>
        <w:pStyle w:val="FootnoteText"/>
        <w:rPr>
          <w:sz w:val="20"/>
          <w:szCs w:val="20"/>
        </w:rPr>
      </w:pPr>
    </w:p>
  </w:footnote>
  <w:footnote w:id="3">
    <w:p w14:paraId="21E896A1" w14:textId="77777777" w:rsidR="00951299" w:rsidRPr="00C27ADC" w:rsidRDefault="00951299" w:rsidP="00DD4718">
      <w:pPr>
        <w:pStyle w:val="FootnoteText"/>
        <w:rPr>
          <w:i/>
          <w:sz w:val="20"/>
          <w:szCs w:val="20"/>
        </w:rPr>
      </w:pPr>
      <w:r w:rsidRPr="00C27ADC">
        <w:rPr>
          <w:rStyle w:val="FootnoteReference"/>
          <w:sz w:val="20"/>
          <w:szCs w:val="20"/>
        </w:rPr>
        <w:footnoteRef/>
      </w:r>
      <w:r>
        <w:rPr>
          <w:sz w:val="20"/>
          <w:szCs w:val="20"/>
        </w:rPr>
        <w:t xml:space="preserve"> </w:t>
      </w:r>
      <w:proofErr w:type="spellStart"/>
      <w:r w:rsidRPr="00C27ADC">
        <w:rPr>
          <w:sz w:val="20"/>
          <w:szCs w:val="20"/>
        </w:rPr>
        <w:t>Nadesu</w:t>
      </w:r>
      <w:proofErr w:type="spellEnd"/>
      <w:r w:rsidRPr="00C27ADC">
        <w:rPr>
          <w:sz w:val="20"/>
          <w:szCs w:val="20"/>
        </w:rPr>
        <w:t xml:space="preserve">, Arul (March 2009) </w:t>
      </w:r>
      <w:r w:rsidRPr="00C27ADC">
        <w:rPr>
          <w:i/>
          <w:sz w:val="20"/>
          <w:szCs w:val="20"/>
        </w:rPr>
        <w:t>Reconviction patterns of released prisoners:</w:t>
      </w:r>
    </w:p>
    <w:p w14:paraId="72E75688" w14:textId="77777777" w:rsidR="00951299" w:rsidRPr="00C27ADC" w:rsidRDefault="00951299" w:rsidP="00DD4718">
      <w:pPr>
        <w:pStyle w:val="FootnoteText"/>
        <w:rPr>
          <w:sz w:val="20"/>
          <w:szCs w:val="20"/>
        </w:rPr>
      </w:pPr>
      <w:r w:rsidRPr="00C27ADC">
        <w:rPr>
          <w:i/>
          <w:sz w:val="20"/>
          <w:szCs w:val="20"/>
        </w:rPr>
        <w:t>A 60-months follow-up analysis</w:t>
      </w:r>
      <w:r>
        <w:rPr>
          <w:sz w:val="20"/>
          <w:szCs w:val="20"/>
        </w:rPr>
        <w:t xml:space="preserve">. </w:t>
      </w:r>
      <w:r w:rsidRPr="00C27ADC">
        <w:rPr>
          <w:sz w:val="20"/>
          <w:szCs w:val="20"/>
        </w:rPr>
        <w:t>For the re-imprisonment rate see Graph 1, p. 6; the re-conviction rate, Graph 2, p. 7.</w:t>
      </w:r>
    </w:p>
    <w:p w14:paraId="2FEF9A84" w14:textId="77777777" w:rsidR="00951299" w:rsidRPr="00C27ADC" w:rsidRDefault="00951299" w:rsidP="00DD4718">
      <w:pPr>
        <w:pStyle w:val="FootnoteText"/>
        <w:rPr>
          <w:sz w:val="20"/>
          <w:szCs w:val="20"/>
        </w:rPr>
      </w:pPr>
      <w:r>
        <w:rPr>
          <w:sz w:val="20"/>
          <w:szCs w:val="20"/>
        </w:rPr>
        <w:t>(</w:t>
      </w:r>
      <w:hyperlink r:id="rId1" w:history="1">
        <w:r w:rsidRPr="00C27ADC">
          <w:rPr>
            <w:rStyle w:val="Hyperlink"/>
            <w:sz w:val="20"/>
            <w:szCs w:val="20"/>
          </w:rPr>
          <w:t>www.corrections.govt.nz/resources/research_and_statistics/reconviction-patterns-of-released-prisoners-a-60-months-follow-up-analysis2.html</w:t>
        </w:r>
      </w:hyperlink>
      <w:r>
        <w:rPr>
          <w:rStyle w:val="Hyperlink"/>
          <w:sz w:val="20"/>
          <w:szCs w:val="20"/>
        </w:rPr>
        <w:t>)</w:t>
      </w:r>
    </w:p>
    <w:p w14:paraId="16077E37" w14:textId="77777777" w:rsidR="00951299" w:rsidRPr="00C27ADC" w:rsidRDefault="00951299" w:rsidP="00DD4718">
      <w:pPr>
        <w:pStyle w:val="FootnoteText"/>
        <w:rPr>
          <w:sz w:val="20"/>
          <w:szCs w:val="20"/>
        </w:rPr>
      </w:pPr>
    </w:p>
  </w:footnote>
  <w:footnote w:id="4">
    <w:p w14:paraId="273A09F6" w14:textId="2BDE50CE" w:rsidR="00951299" w:rsidRPr="00BD5BF8" w:rsidRDefault="00951299" w:rsidP="00DD4718">
      <w:pPr>
        <w:pStyle w:val="FootnoteText"/>
        <w:rPr>
          <w:sz w:val="20"/>
          <w:szCs w:val="20"/>
        </w:rPr>
      </w:pPr>
      <w:r w:rsidRPr="00BD5BF8">
        <w:rPr>
          <w:rStyle w:val="FootnoteReference"/>
          <w:sz w:val="20"/>
          <w:szCs w:val="20"/>
        </w:rPr>
        <w:footnoteRef/>
      </w:r>
      <w:r w:rsidRPr="00BD5BF8">
        <w:rPr>
          <w:sz w:val="20"/>
          <w:szCs w:val="20"/>
        </w:rPr>
        <w:t xml:space="preserve"> Fergusson, David M and Nicola R Swain (2004) ‘How does economic disadvantage lead to crime’, </w:t>
      </w:r>
      <w:r w:rsidRPr="00BD5BF8">
        <w:rPr>
          <w:i/>
          <w:sz w:val="20"/>
          <w:szCs w:val="20"/>
        </w:rPr>
        <w:t>Journal of Child Psychology and Psychiatry</w:t>
      </w:r>
      <w:r>
        <w:rPr>
          <w:sz w:val="20"/>
          <w:szCs w:val="20"/>
        </w:rPr>
        <w:t>, 45(5): 956-966</w:t>
      </w:r>
      <w:r w:rsidRPr="00BD5BF8">
        <w:rPr>
          <w:sz w:val="20"/>
          <w:szCs w:val="20"/>
        </w:rPr>
        <w:t>.</w:t>
      </w:r>
    </w:p>
    <w:p w14:paraId="789CF3E3" w14:textId="77777777" w:rsidR="00951299" w:rsidRPr="00EA70B9" w:rsidRDefault="00951299" w:rsidP="00DD4718">
      <w:pPr>
        <w:pStyle w:val="FootnoteText"/>
        <w:rPr>
          <w:sz w:val="20"/>
          <w:szCs w:val="20"/>
        </w:rPr>
      </w:pPr>
    </w:p>
  </w:footnote>
  <w:footnote w:id="5">
    <w:p w14:paraId="38453D48" w14:textId="1D73A4D5" w:rsidR="00951299" w:rsidRPr="00E23D00" w:rsidRDefault="00951299" w:rsidP="00DD4718">
      <w:pPr>
        <w:pStyle w:val="FootnoteText"/>
        <w:rPr>
          <w:sz w:val="20"/>
          <w:szCs w:val="20"/>
          <w:lang w:val="en-NZ"/>
        </w:rPr>
      </w:pPr>
      <w:r w:rsidRPr="00EA70B9">
        <w:rPr>
          <w:rStyle w:val="FootnoteReference"/>
          <w:sz w:val="20"/>
          <w:szCs w:val="20"/>
        </w:rPr>
        <w:footnoteRef/>
      </w:r>
      <w:r w:rsidRPr="00EA70B9">
        <w:rPr>
          <w:sz w:val="20"/>
          <w:szCs w:val="20"/>
        </w:rPr>
        <w:t xml:space="preserve"> </w:t>
      </w:r>
      <w:r>
        <w:rPr>
          <w:sz w:val="20"/>
          <w:szCs w:val="20"/>
        </w:rPr>
        <w:t xml:space="preserve">See the graph at the Equality Trust page </w:t>
      </w:r>
      <w:r w:rsidRPr="00E23D00">
        <w:rPr>
          <w:i/>
          <w:sz w:val="20"/>
          <w:szCs w:val="20"/>
        </w:rPr>
        <w:t>Imprisonment</w:t>
      </w:r>
      <w:r>
        <w:rPr>
          <w:sz w:val="20"/>
          <w:szCs w:val="20"/>
        </w:rPr>
        <w:t>. (</w:t>
      </w:r>
      <w:hyperlink r:id="rId2" w:history="1">
        <w:r w:rsidRPr="00337A1B">
          <w:rPr>
            <w:rStyle w:val="Hyperlink"/>
            <w:sz w:val="20"/>
            <w:szCs w:val="20"/>
          </w:rPr>
          <w:t>www.equalitytrust.org.uk/imprisonment</w:t>
        </w:r>
      </w:hyperlink>
      <w:r>
        <w:rPr>
          <w:sz w:val="20"/>
          <w:szCs w:val="20"/>
        </w:rPr>
        <w:t>)</w:t>
      </w:r>
      <w:r>
        <w:rPr>
          <w:sz w:val="20"/>
          <w:szCs w:val="20"/>
          <w:lang w:val="en-NZ"/>
        </w:rPr>
        <w:t>.</w:t>
      </w:r>
    </w:p>
    <w:p w14:paraId="534CC9B3" w14:textId="77777777" w:rsidR="00951299" w:rsidRPr="00552612" w:rsidRDefault="00951299" w:rsidP="00DD4718">
      <w:pPr>
        <w:pStyle w:val="FootnoteText"/>
        <w:rPr>
          <w:sz w:val="20"/>
          <w:szCs w:val="20"/>
        </w:rPr>
      </w:pPr>
    </w:p>
  </w:footnote>
  <w:footnote w:id="6">
    <w:p w14:paraId="43E2AA00" w14:textId="107CB624" w:rsidR="00951299" w:rsidRPr="00552612" w:rsidRDefault="00951299" w:rsidP="00DD4718">
      <w:pPr>
        <w:rPr>
          <w:rFonts w:eastAsia="Times New Roman" w:cs="Times New Roman"/>
          <w:sz w:val="20"/>
          <w:szCs w:val="20"/>
          <w:lang w:val="en-NZ"/>
        </w:rPr>
      </w:pPr>
      <w:r w:rsidRPr="00552612">
        <w:rPr>
          <w:rStyle w:val="FootnoteReference"/>
          <w:sz w:val="20"/>
          <w:szCs w:val="20"/>
        </w:rPr>
        <w:footnoteRef/>
      </w:r>
      <w:r w:rsidRPr="00552612">
        <w:rPr>
          <w:sz w:val="20"/>
          <w:szCs w:val="20"/>
        </w:rPr>
        <w:t xml:space="preserve"> </w:t>
      </w:r>
      <w:r w:rsidRPr="00552612">
        <w:rPr>
          <w:sz w:val="20"/>
          <w:szCs w:val="20"/>
          <w:lang w:val="en-NZ"/>
        </w:rPr>
        <w:t xml:space="preserve">Elgar, Frank J and Nicole Aitken (2010) </w:t>
      </w:r>
      <w:r>
        <w:rPr>
          <w:sz w:val="20"/>
          <w:szCs w:val="20"/>
          <w:lang w:val="en-NZ"/>
        </w:rPr>
        <w:t>‘</w:t>
      </w:r>
      <w:r w:rsidRPr="00552612">
        <w:rPr>
          <w:sz w:val="20"/>
          <w:szCs w:val="20"/>
          <w:lang w:val="en-NZ"/>
        </w:rPr>
        <w:t>Income inequality, trust and homicide in 33 countries</w:t>
      </w:r>
      <w:r>
        <w:rPr>
          <w:sz w:val="20"/>
          <w:szCs w:val="20"/>
          <w:lang w:val="en-NZ"/>
        </w:rPr>
        <w:t>’</w:t>
      </w:r>
      <w:r w:rsidRPr="00552612">
        <w:rPr>
          <w:sz w:val="20"/>
          <w:szCs w:val="20"/>
          <w:lang w:val="en-NZ"/>
        </w:rPr>
        <w:t xml:space="preserve">, </w:t>
      </w:r>
      <w:r w:rsidRPr="00552612">
        <w:rPr>
          <w:rFonts w:eastAsia="Times New Roman" w:cs="Times New Roman"/>
          <w:i/>
          <w:sz w:val="20"/>
          <w:szCs w:val="20"/>
          <w:lang w:val="en-NZ"/>
        </w:rPr>
        <w:t>European Journal of Public Health</w:t>
      </w:r>
      <w:r w:rsidRPr="00552612">
        <w:rPr>
          <w:rFonts w:eastAsia="Times New Roman" w:cs="Times New Roman"/>
          <w:sz w:val="20"/>
          <w:szCs w:val="20"/>
          <w:lang w:val="en-NZ"/>
        </w:rPr>
        <w:t>, Vol. 21, No. 2, 241–246</w:t>
      </w:r>
      <w:r>
        <w:rPr>
          <w:rFonts w:eastAsia="Times New Roman" w:cs="Times New Roman"/>
          <w:sz w:val="20"/>
          <w:szCs w:val="20"/>
          <w:lang w:val="en-NZ"/>
        </w:rPr>
        <w:t>. The study found that i</w:t>
      </w:r>
      <w:r w:rsidRPr="00552612">
        <w:rPr>
          <w:rFonts w:eastAsia="Times New Roman" w:cs="Times New Roman"/>
          <w:sz w:val="20"/>
          <w:szCs w:val="20"/>
          <w:lang w:val="en-NZ"/>
        </w:rPr>
        <w:t>n a group of 33 countries, income inequality accounted for 64% of the variance in homicide rates.</w:t>
      </w:r>
      <w:r>
        <w:rPr>
          <w:rFonts w:eastAsia="Times New Roman" w:cs="Times New Roman"/>
          <w:sz w:val="20"/>
          <w:szCs w:val="20"/>
          <w:lang w:val="en-NZ"/>
        </w:rPr>
        <w:t xml:space="preserve"> </w:t>
      </w:r>
      <w:r w:rsidRPr="00552612">
        <w:rPr>
          <w:rFonts w:eastAsia="Times New Roman" w:cs="Times New Roman"/>
          <w:sz w:val="20"/>
          <w:szCs w:val="20"/>
          <w:lang w:val="en-NZ"/>
        </w:rPr>
        <w:t xml:space="preserve"> (</w:t>
      </w:r>
      <w:r w:rsidRPr="00B61A27">
        <w:rPr>
          <w:rFonts w:eastAsia="Times New Roman" w:cs="Times New Roman"/>
          <w:sz w:val="20"/>
          <w:szCs w:val="20"/>
          <w:lang w:val="en-NZ"/>
        </w:rPr>
        <w:t>https://academic.oup.com/eurpub/article/21/2/241/498070/www.who.int/whosis</w:t>
      </w:r>
      <w:r w:rsidRPr="00552612">
        <w:rPr>
          <w:rFonts w:eastAsia="Times New Roman" w:cs="Times New Roman"/>
          <w:sz w:val="20"/>
          <w:szCs w:val="20"/>
          <w:lang w:val="en-NZ"/>
        </w:rPr>
        <w:t>)</w:t>
      </w:r>
      <w:r>
        <w:rPr>
          <w:rFonts w:eastAsia="Times New Roman" w:cs="Times New Roman"/>
          <w:sz w:val="20"/>
          <w:szCs w:val="20"/>
          <w:lang w:val="en-NZ"/>
        </w:rPr>
        <w:t xml:space="preserve">. </w:t>
      </w:r>
    </w:p>
    <w:p w14:paraId="69A090E6" w14:textId="77777777" w:rsidR="00951299" w:rsidRPr="00892D78" w:rsidRDefault="00951299" w:rsidP="00DD4718">
      <w:pPr>
        <w:pStyle w:val="FootnoteText"/>
        <w:rPr>
          <w:sz w:val="20"/>
          <w:szCs w:val="20"/>
        </w:rPr>
      </w:pPr>
    </w:p>
  </w:footnote>
  <w:footnote w:id="7">
    <w:p w14:paraId="4FE3ABA9" w14:textId="58C74351" w:rsidR="00951299" w:rsidRPr="00F518D2" w:rsidRDefault="00951299" w:rsidP="00DD4718">
      <w:pPr>
        <w:rPr>
          <w:rFonts w:eastAsia="Times New Roman" w:cs="Times New Roman"/>
          <w:sz w:val="20"/>
          <w:szCs w:val="20"/>
          <w:lang w:val="en-NZ"/>
        </w:rPr>
      </w:pPr>
      <w:r w:rsidRPr="00F518D2">
        <w:rPr>
          <w:rStyle w:val="FootnoteReference"/>
          <w:sz w:val="20"/>
          <w:szCs w:val="20"/>
        </w:rPr>
        <w:footnoteRef/>
      </w:r>
      <w:r w:rsidRPr="00F518D2">
        <w:rPr>
          <w:sz w:val="20"/>
          <w:szCs w:val="20"/>
        </w:rPr>
        <w:t xml:space="preserve"> </w:t>
      </w:r>
      <w:r w:rsidRPr="00F518D2">
        <w:rPr>
          <w:rFonts w:eastAsia="Times New Roman" w:cs="Times New Roman"/>
          <w:sz w:val="20"/>
          <w:szCs w:val="20"/>
          <w:lang w:val="en-NZ"/>
        </w:rPr>
        <w:t xml:space="preserve">Rufrancos H G, Power M, Pickett KE, Wilkinson R (2013) </w:t>
      </w:r>
      <w:r>
        <w:rPr>
          <w:rFonts w:eastAsia="Times New Roman" w:cs="Times New Roman"/>
          <w:sz w:val="20"/>
          <w:szCs w:val="20"/>
          <w:lang w:val="en-NZ"/>
        </w:rPr>
        <w:t>‘</w:t>
      </w:r>
      <w:r w:rsidRPr="00F518D2">
        <w:rPr>
          <w:rFonts w:eastAsia="Times New Roman" w:cs="Times New Roman"/>
          <w:sz w:val="20"/>
          <w:szCs w:val="20"/>
          <w:lang w:val="en-NZ"/>
        </w:rPr>
        <w:t>Income Inequality and Crime: A Review and Explanation of the Time–ser</w:t>
      </w:r>
      <w:r>
        <w:rPr>
          <w:rFonts w:eastAsia="Times New Roman" w:cs="Times New Roman"/>
          <w:sz w:val="20"/>
          <w:szCs w:val="20"/>
          <w:lang w:val="en-NZ"/>
        </w:rPr>
        <w:t>ies Evidence’. Social Crimonol 1. (</w:t>
      </w:r>
      <w:r w:rsidRPr="00F518D2">
        <w:rPr>
          <w:rFonts w:eastAsia="Times New Roman" w:cs="Times New Roman"/>
          <w:sz w:val="20"/>
          <w:szCs w:val="20"/>
          <w:lang w:val="en-NZ"/>
        </w:rPr>
        <w:t>www.equalitytrust.org.uk/sites/default/files/Income%20Inequality%20and%20Crime%20-%20A%20Review%20and%20Explanation%20of%20the%20Time%20series%20evidence_0.pdf)</w:t>
      </w:r>
    </w:p>
    <w:p w14:paraId="6C3D3FA5" w14:textId="77777777" w:rsidR="00951299" w:rsidRDefault="00951299" w:rsidP="00DD4718">
      <w:pPr>
        <w:pStyle w:val="FootnoteText"/>
      </w:pPr>
    </w:p>
  </w:footnote>
  <w:footnote w:id="8">
    <w:p w14:paraId="1D056A00" w14:textId="77777777" w:rsidR="00951299" w:rsidRPr="005A57B4" w:rsidRDefault="00951299" w:rsidP="0007587B">
      <w:pPr>
        <w:pStyle w:val="FootnoteText"/>
        <w:rPr>
          <w:sz w:val="20"/>
          <w:szCs w:val="20"/>
          <w:lang w:val="en-NZ"/>
        </w:rPr>
      </w:pPr>
      <w:r w:rsidRPr="005A57B4">
        <w:rPr>
          <w:rStyle w:val="FootnoteReference"/>
          <w:sz w:val="20"/>
          <w:szCs w:val="20"/>
        </w:rPr>
        <w:footnoteRef/>
      </w:r>
      <w:r w:rsidRPr="005A57B4">
        <w:rPr>
          <w:sz w:val="20"/>
          <w:szCs w:val="20"/>
        </w:rPr>
        <w:t xml:space="preserve"> </w:t>
      </w:r>
      <w:r w:rsidRPr="005A57B4">
        <w:rPr>
          <w:sz w:val="20"/>
          <w:szCs w:val="20"/>
          <w:lang w:val="en-NZ"/>
        </w:rPr>
        <w:t xml:space="preserve">Farrell, G., Tilly, N., Tseloni, A., and Mailley, J. (2010), ‘Explaining and sustaining the crime drop: Clarifying the role of opportunity-related theories’, </w:t>
      </w:r>
      <w:r w:rsidRPr="005A57B4">
        <w:rPr>
          <w:i/>
          <w:sz w:val="20"/>
          <w:szCs w:val="20"/>
          <w:lang w:val="en-NZ"/>
        </w:rPr>
        <w:t>Crime Prevention and Community Safety</w:t>
      </w:r>
      <w:r w:rsidRPr="005A57B4">
        <w:rPr>
          <w:sz w:val="20"/>
          <w:szCs w:val="20"/>
          <w:lang w:val="en-NZ"/>
        </w:rPr>
        <w:t xml:space="preserve"> (2010) 12, 24 – 41.</w:t>
      </w:r>
    </w:p>
    <w:p w14:paraId="73C04EE0" w14:textId="77777777" w:rsidR="00951299" w:rsidRPr="005A57B4" w:rsidRDefault="00951299" w:rsidP="0007587B">
      <w:pPr>
        <w:pStyle w:val="FootnoteText"/>
        <w:rPr>
          <w:sz w:val="20"/>
          <w:szCs w:val="20"/>
        </w:rPr>
      </w:pPr>
    </w:p>
  </w:footnote>
  <w:footnote w:id="9">
    <w:p w14:paraId="2B4EABEF" w14:textId="26595393" w:rsidR="00951299" w:rsidRDefault="00951299">
      <w:pPr>
        <w:pStyle w:val="FootnoteText"/>
        <w:rPr>
          <w:sz w:val="20"/>
          <w:szCs w:val="20"/>
          <w:lang w:val="en-NZ"/>
        </w:rPr>
      </w:pPr>
      <w:r w:rsidRPr="0036096D">
        <w:rPr>
          <w:rStyle w:val="FootnoteReference"/>
          <w:sz w:val="20"/>
          <w:szCs w:val="20"/>
        </w:rPr>
        <w:footnoteRef/>
      </w:r>
      <w:r>
        <w:rPr>
          <w:sz w:val="20"/>
          <w:szCs w:val="20"/>
        </w:rPr>
        <w:t xml:space="preserve"> In 2016, Corrections</w:t>
      </w:r>
      <w:r w:rsidRPr="0036096D">
        <w:rPr>
          <w:sz w:val="20"/>
          <w:szCs w:val="20"/>
        </w:rPr>
        <w:t xml:space="preserve"> explain</w:t>
      </w:r>
      <w:r>
        <w:rPr>
          <w:sz w:val="20"/>
          <w:szCs w:val="20"/>
        </w:rPr>
        <w:t>ed</w:t>
      </w:r>
      <w:r w:rsidRPr="0036096D">
        <w:rPr>
          <w:sz w:val="20"/>
          <w:szCs w:val="20"/>
        </w:rPr>
        <w:t xml:space="preserve"> </w:t>
      </w:r>
      <w:r>
        <w:rPr>
          <w:sz w:val="20"/>
          <w:szCs w:val="20"/>
        </w:rPr>
        <w:t>“</w:t>
      </w:r>
      <w:r w:rsidRPr="0036096D">
        <w:rPr>
          <w:sz w:val="20"/>
          <w:szCs w:val="20"/>
        </w:rPr>
        <w:t xml:space="preserve">the </w:t>
      </w:r>
      <w:r>
        <w:rPr>
          <w:sz w:val="20"/>
          <w:szCs w:val="20"/>
        </w:rPr>
        <w:t xml:space="preserve">major </w:t>
      </w:r>
      <w:r w:rsidRPr="0036096D">
        <w:rPr>
          <w:sz w:val="20"/>
          <w:szCs w:val="20"/>
        </w:rPr>
        <w:t>causes</w:t>
      </w:r>
      <w:r>
        <w:rPr>
          <w:sz w:val="20"/>
          <w:szCs w:val="20"/>
        </w:rPr>
        <w:t>”</w:t>
      </w:r>
      <w:r w:rsidRPr="0036096D">
        <w:rPr>
          <w:sz w:val="20"/>
          <w:szCs w:val="20"/>
        </w:rPr>
        <w:t xml:space="preserve"> of New Zealand’s stead</w:t>
      </w:r>
      <w:r>
        <w:rPr>
          <w:sz w:val="20"/>
          <w:szCs w:val="20"/>
        </w:rPr>
        <w:t>ily growing prison population</w:t>
      </w:r>
      <w:r w:rsidRPr="0036096D">
        <w:rPr>
          <w:sz w:val="20"/>
          <w:szCs w:val="20"/>
          <w:lang w:val="en-NZ"/>
        </w:rPr>
        <w:t xml:space="preserve"> to the incoming Minister of Corrections</w:t>
      </w:r>
      <w:r>
        <w:rPr>
          <w:sz w:val="20"/>
          <w:szCs w:val="20"/>
        </w:rPr>
        <w:t xml:space="preserve">. </w:t>
      </w:r>
      <w:r>
        <w:rPr>
          <w:sz w:val="20"/>
          <w:szCs w:val="20"/>
          <w:lang w:val="en-NZ"/>
        </w:rPr>
        <w:t>They were</w:t>
      </w:r>
      <w:r w:rsidRPr="0036096D">
        <w:rPr>
          <w:sz w:val="20"/>
          <w:szCs w:val="20"/>
          <w:lang w:val="en-NZ"/>
        </w:rPr>
        <w:t xml:space="preserve"> five pieces of 21</w:t>
      </w:r>
      <w:r w:rsidRPr="0036096D">
        <w:rPr>
          <w:sz w:val="20"/>
          <w:szCs w:val="20"/>
          <w:vertAlign w:val="superscript"/>
          <w:lang w:val="en-NZ"/>
        </w:rPr>
        <w:t>st</w:t>
      </w:r>
      <w:r w:rsidRPr="0036096D">
        <w:rPr>
          <w:sz w:val="20"/>
          <w:szCs w:val="20"/>
          <w:lang w:val="en-NZ"/>
        </w:rPr>
        <w:t xml:space="preserve"> centu</w:t>
      </w:r>
      <w:r>
        <w:rPr>
          <w:sz w:val="20"/>
          <w:szCs w:val="20"/>
          <w:lang w:val="en-NZ"/>
        </w:rPr>
        <w:t>r</w:t>
      </w:r>
      <w:r w:rsidRPr="0036096D">
        <w:rPr>
          <w:sz w:val="20"/>
          <w:szCs w:val="20"/>
          <w:lang w:val="en-NZ"/>
        </w:rPr>
        <w:t>y crimi</w:t>
      </w:r>
      <w:r>
        <w:rPr>
          <w:sz w:val="20"/>
          <w:szCs w:val="20"/>
          <w:lang w:val="en-NZ"/>
        </w:rPr>
        <w:t>nal justice legislation. T</w:t>
      </w:r>
      <w:r w:rsidRPr="0036096D">
        <w:rPr>
          <w:sz w:val="20"/>
          <w:szCs w:val="20"/>
          <w:lang w:val="en-NZ"/>
        </w:rPr>
        <w:t>he Bail Amendment Acts 2011 and 2013 made it harder to get bail; the Victims’ Rights Amendment Act 2014 and the Sente</w:t>
      </w:r>
      <w:r>
        <w:rPr>
          <w:sz w:val="20"/>
          <w:szCs w:val="20"/>
          <w:lang w:val="en-NZ"/>
        </w:rPr>
        <w:t xml:space="preserve">ncing Amendment Act 2014 </w:t>
      </w:r>
      <w:r w:rsidRPr="0036096D">
        <w:rPr>
          <w:sz w:val="20"/>
          <w:szCs w:val="20"/>
          <w:lang w:val="en-NZ"/>
        </w:rPr>
        <w:t>increased likelihood of adjournments for Restorative Justice; the Parole Act 2002 meant that prisoners serv</w:t>
      </w:r>
      <w:r>
        <w:rPr>
          <w:sz w:val="20"/>
          <w:szCs w:val="20"/>
          <w:lang w:val="en-NZ"/>
        </w:rPr>
        <w:t>ing longer sentences (</w:t>
      </w:r>
      <w:r w:rsidRPr="0036096D">
        <w:rPr>
          <w:sz w:val="20"/>
          <w:szCs w:val="20"/>
          <w:lang w:val="en-NZ"/>
        </w:rPr>
        <w:t>two years</w:t>
      </w:r>
      <w:r>
        <w:rPr>
          <w:sz w:val="20"/>
          <w:szCs w:val="20"/>
          <w:lang w:val="en-NZ"/>
        </w:rPr>
        <w:t xml:space="preserve"> plus</w:t>
      </w:r>
      <w:r w:rsidRPr="0036096D">
        <w:rPr>
          <w:sz w:val="20"/>
          <w:szCs w:val="20"/>
          <w:lang w:val="en-NZ"/>
        </w:rPr>
        <w:t>) are liable to serve a greater proportion of the imposed prison sentence.</w:t>
      </w:r>
      <w:r>
        <w:rPr>
          <w:sz w:val="20"/>
          <w:szCs w:val="20"/>
          <w:lang w:val="en-NZ"/>
        </w:rPr>
        <w:t xml:space="preserve"> </w:t>
      </w:r>
      <w:r w:rsidRPr="009E6D59">
        <w:rPr>
          <w:sz w:val="20"/>
          <w:szCs w:val="20"/>
        </w:rPr>
        <w:t xml:space="preserve">Department of Corrections (December 2016) </w:t>
      </w:r>
      <w:r w:rsidRPr="009E6D59">
        <w:rPr>
          <w:i/>
          <w:sz w:val="20"/>
          <w:szCs w:val="20"/>
        </w:rPr>
        <w:t>Briefing to the Incoming Minister</w:t>
      </w:r>
      <w:r w:rsidRPr="009E6D59">
        <w:rPr>
          <w:sz w:val="20"/>
          <w:szCs w:val="20"/>
        </w:rPr>
        <w:t xml:space="preserve"> at p. 4</w:t>
      </w:r>
      <w:r>
        <w:rPr>
          <w:sz w:val="20"/>
          <w:szCs w:val="20"/>
        </w:rPr>
        <w:t>.</w:t>
      </w:r>
      <w:r w:rsidRPr="009E6D59">
        <w:rPr>
          <w:sz w:val="20"/>
          <w:szCs w:val="20"/>
        </w:rPr>
        <w:t xml:space="preserve"> (</w:t>
      </w:r>
      <w:hyperlink r:id="rId3" w:history="1">
        <w:r w:rsidRPr="00337A1B">
          <w:rPr>
            <w:rStyle w:val="Hyperlink"/>
            <w:sz w:val="20"/>
            <w:szCs w:val="20"/>
          </w:rPr>
          <w:t>www.corrections.govt.nz/resources/strategic_reports/briefing_to_the_incoming_minister/briefing_to_the_incoming_minister_december_2016.html</w:t>
        </w:r>
      </w:hyperlink>
      <w:r w:rsidRPr="009E6D59">
        <w:rPr>
          <w:sz w:val="20"/>
          <w:szCs w:val="20"/>
        </w:rPr>
        <w:t>)</w:t>
      </w:r>
    </w:p>
    <w:p w14:paraId="60373328" w14:textId="77777777" w:rsidR="00951299" w:rsidRPr="0036096D" w:rsidRDefault="00951299">
      <w:pPr>
        <w:pStyle w:val="FootnoteText"/>
        <w:rPr>
          <w:sz w:val="20"/>
          <w:szCs w:val="20"/>
        </w:rPr>
      </w:pPr>
    </w:p>
  </w:footnote>
  <w:footnote w:id="10">
    <w:p w14:paraId="421708C9" w14:textId="77777777" w:rsidR="00951299" w:rsidRPr="00696839" w:rsidRDefault="00951299" w:rsidP="00F53314">
      <w:pPr>
        <w:pStyle w:val="FootnoteText"/>
        <w:rPr>
          <w:i/>
          <w:sz w:val="20"/>
          <w:szCs w:val="20"/>
        </w:rPr>
      </w:pPr>
      <w:r w:rsidRPr="00696839">
        <w:rPr>
          <w:rStyle w:val="FootnoteReference"/>
          <w:sz w:val="20"/>
          <w:szCs w:val="20"/>
        </w:rPr>
        <w:footnoteRef/>
      </w:r>
      <w:r w:rsidRPr="00696839">
        <w:rPr>
          <w:sz w:val="20"/>
          <w:szCs w:val="20"/>
        </w:rPr>
        <w:t xml:space="preserve"> The PEW Charitable Trusts (December 2016) </w:t>
      </w:r>
      <w:r w:rsidRPr="00696839">
        <w:rPr>
          <w:i/>
          <w:sz w:val="20"/>
          <w:szCs w:val="20"/>
        </w:rPr>
        <w:t xml:space="preserve">National Imprisonment and Crime </w:t>
      </w:r>
    </w:p>
    <w:p w14:paraId="08B8D39A" w14:textId="77777777" w:rsidR="00951299" w:rsidRPr="00696839" w:rsidRDefault="00951299" w:rsidP="00F53314">
      <w:pPr>
        <w:pStyle w:val="FootnoteText"/>
        <w:rPr>
          <w:sz w:val="20"/>
          <w:szCs w:val="20"/>
        </w:rPr>
      </w:pPr>
      <w:r w:rsidRPr="00696839">
        <w:rPr>
          <w:i/>
          <w:sz w:val="20"/>
          <w:szCs w:val="20"/>
        </w:rPr>
        <w:t>Rates Continue to Fall: Crime dropped faster in 2015 in states with larger prison declines</w:t>
      </w:r>
      <w:r w:rsidRPr="00696839">
        <w:rPr>
          <w:sz w:val="20"/>
          <w:szCs w:val="20"/>
        </w:rPr>
        <w:t xml:space="preserve"> (www.pewtrusts.org/en/research-and-analysis/fact-sheets/2016/12/national-imprisonment-and-crime-rates-continue-to-fall). </w:t>
      </w:r>
    </w:p>
    <w:p w14:paraId="359A607C" w14:textId="77777777" w:rsidR="00951299" w:rsidRPr="00696839" w:rsidRDefault="00951299" w:rsidP="00F53314">
      <w:pPr>
        <w:pStyle w:val="FootnoteText"/>
        <w:rPr>
          <w:sz w:val="20"/>
          <w:szCs w:val="20"/>
        </w:rPr>
      </w:pPr>
      <w:r w:rsidRPr="00696839">
        <w:rPr>
          <w:sz w:val="20"/>
          <w:szCs w:val="20"/>
        </w:rPr>
        <w:t xml:space="preserve"> </w:t>
      </w:r>
    </w:p>
  </w:footnote>
  <w:footnote w:id="11">
    <w:p w14:paraId="7B698119" w14:textId="6BF3FAB9" w:rsidR="00951299" w:rsidRPr="005D2C65" w:rsidRDefault="00951299" w:rsidP="00696839">
      <w:pPr>
        <w:pStyle w:val="FootnoteText"/>
        <w:rPr>
          <w:sz w:val="20"/>
          <w:szCs w:val="20"/>
        </w:rPr>
      </w:pPr>
      <w:r w:rsidRPr="005D2C65">
        <w:rPr>
          <w:rStyle w:val="FootnoteReference"/>
          <w:sz w:val="20"/>
          <w:szCs w:val="20"/>
        </w:rPr>
        <w:footnoteRef/>
      </w:r>
      <w:r w:rsidRPr="005D2C65">
        <w:rPr>
          <w:sz w:val="20"/>
          <w:szCs w:val="20"/>
        </w:rPr>
        <w:t xml:space="preserve"> </w:t>
      </w:r>
      <w:r w:rsidRPr="005D2C65">
        <w:rPr>
          <w:sz w:val="20"/>
          <w:szCs w:val="20"/>
          <w:lang w:val="en-NZ"/>
        </w:rPr>
        <w:t>Institute for Criminal Policy Research, World Prison Brief.</w:t>
      </w:r>
    </w:p>
    <w:p w14:paraId="24E26124" w14:textId="1B5FE38E" w:rsidR="00951299" w:rsidRPr="005D2C65" w:rsidRDefault="00951299">
      <w:pPr>
        <w:pStyle w:val="FootnoteText"/>
        <w:rPr>
          <w:sz w:val="20"/>
          <w:szCs w:val="20"/>
        </w:rPr>
      </w:pPr>
    </w:p>
  </w:footnote>
  <w:footnote w:id="12">
    <w:p w14:paraId="745153EF" w14:textId="50B0FF35" w:rsidR="00951299" w:rsidRPr="005D2C65" w:rsidRDefault="00951299" w:rsidP="005D2C65">
      <w:pPr>
        <w:pStyle w:val="FootnoteText"/>
        <w:rPr>
          <w:sz w:val="20"/>
          <w:szCs w:val="20"/>
          <w:lang w:val="en-NZ"/>
        </w:rPr>
      </w:pPr>
      <w:r w:rsidRPr="005D2C65">
        <w:rPr>
          <w:rStyle w:val="FootnoteReference"/>
          <w:sz w:val="20"/>
          <w:szCs w:val="20"/>
        </w:rPr>
        <w:footnoteRef/>
      </w:r>
      <w:r w:rsidRPr="005D2C65">
        <w:rPr>
          <w:sz w:val="20"/>
          <w:szCs w:val="20"/>
        </w:rPr>
        <w:t xml:space="preserve"> </w:t>
      </w:r>
      <w:r w:rsidRPr="005D2C65">
        <w:rPr>
          <w:sz w:val="20"/>
          <w:szCs w:val="20"/>
          <w:lang w:val="en-NZ"/>
        </w:rPr>
        <w:t xml:space="preserve">Statistics Netherlands (CBS) </w:t>
      </w:r>
      <w:r w:rsidRPr="005D2C65">
        <w:rPr>
          <w:i/>
          <w:sz w:val="20"/>
          <w:szCs w:val="20"/>
          <w:lang w:val="en-NZ"/>
        </w:rPr>
        <w:t>Fewer and fewer Dutch affected by crime, unsafety feelings and neighbourhood nuisance.</w:t>
      </w:r>
    </w:p>
    <w:p w14:paraId="2FC4618B" w14:textId="2E6C63FE" w:rsidR="00951299" w:rsidRDefault="00951299" w:rsidP="005D2C65">
      <w:pPr>
        <w:pStyle w:val="FootnoteText"/>
      </w:pPr>
      <w:r w:rsidRPr="005D2C65">
        <w:rPr>
          <w:sz w:val="20"/>
          <w:szCs w:val="20"/>
        </w:rPr>
        <w:t xml:space="preserve"> </w:t>
      </w:r>
      <w:r>
        <w:rPr>
          <w:sz w:val="20"/>
          <w:szCs w:val="20"/>
        </w:rPr>
        <w:t>(</w:t>
      </w:r>
      <w:r w:rsidRPr="005D2C65">
        <w:rPr>
          <w:sz w:val="20"/>
          <w:szCs w:val="20"/>
        </w:rPr>
        <w:t>www.cbs.nl/en-gb/news/2015/10/fewer-and-fewer-dutch-affected-by-crime-unsafety-feelings-and-neighbourhood-nuisance)</w:t>
      </w:r>
    </w:p>
  </w:footnote>
  <w:footnote w:id="13">
    <w:p w14:paraId="5C216153" w14:textId="77777777" w:rsidR="00951299" w:rsidRPr="003039A4" w:rsidRDefault="00951299" w:rsidP="00FC0FBA">
      <w:pPr>
        <w:pStyle w:val="FootnoteText"/>
        <w:rPr>
          <w:sz w:val="20"/>
          <w:szCs w:val="20"/>
        </w:rPr>
      </w:pPr>
      <w:r w:rsidRPr="003039A4">
        <w:rPr>
          <w:rStyle w:val="FootnoteReference"/>
          <w:sz w:val="20"/>
          <w:szCs w:val="20"/>
        </w:rPr>
        <w:footnoteRef/>
      </w:r>
      <w:r w:rsidRPr="003039A4">
        <w:rPr>
          <w:sz w:val="20"/>
          <w:szCs w:val="20"/>
        </w:rPr>
        <w:t xml:space="preserve"> Ministerial Committee of Inquiry into the Prisons System (1989) Prison Review. </w:t>
      </w:r>
      <w:proofErr w:type="spellStart"/>
      <w:r w:rsidRPr="003039A4">
        <w:rPr>
          <w:i/>
          <w:sz w:val="20"/>
          <w:szCs w:val="20"/>
        </w:rPr>
        <w:t>TeAraHou</w:t>
      </w:r>
      <w:proofErr w:type="spellEnd"/>
      <w:r w:rsidRPr="003039A4">
        <w:rPr>
          <w:i/>
          <w:sz w:val="20"/>
          <w:szCs w:val="20"/>
        </w:rPr>
        <w:t>: The New Way</w:t>
      </w:r>
      <w:r w:rsidRPr="003039A4">
        <w:rPr>
          <w:sz w:val="20"/>
          <w:szCs w:val="20"/>
        </w:rPr>
        <w:t xml:space="preserve">, Crown: </w:t>
      </w:r>
      <w:proofErr w:type="spellStart"/>
      <w:r w:rsidRPr="003039A4">
        <w:rPr>
          <w:sz w:val="20"/>
          <w:szCs w:val="20"/>
        </w:rPr>
        <w:t>Wellington.a</w:t>
      </w:r>
      <w:proofErr w:type="spellEnd"/>
    </w:p>
    <w:p w14:paraId="079F98AE" w14:textId="77777777" w:rsidR="00951299" w:rsidRPr="003039A4" w:rsidRDefault="00951299" w:rsidP="00FC0FBA">
      <w:pPr>
        <w:pStyle w:val="FootnoteText"/>
        <w:rPr>
          <w:sz w:val="20"/>
          <w:szCs w:val="20"/>
          <w:lang w:val="en-NZ"/>
        </w:rPr>
      </w:pPr>
    </w:p>
  </w:footnote>
  <w:footnote w:id="14">
    <w:p w14:paraId="6974EA8B" w14:textId="323EA687" w:rsidR="00951299" w:rsidRDefault="00951299">
      <w:pPr>
        <w:pStyle w:val="FootnoteText"/>
        <w:rPr>
          <w:sz w:val="20"/>
          <w:szCs w:val="20"/>
        </w:rPr>
      </w:pPr>
      <w:r w:rsidRPr="005A642C">
        <w:rPr>
          <w:rStyle w:val="FootnoteReference"/>
          <w:sz w:val="20"/>
          <w:szCs w:val="20"/>
        </w:rPr>
        <w:footnoteRef/>
      </w:r>
      <w:r>
        <w:rPr>
          <w:sz w:val="20"/>
          <w:szCs w:val="20"/>
        </w:rPr>
        <w:t xml:space="preserve"> </w:t>
      </w:r>
      <w:bookmarkStart w:id="0" w:name="_GoBack"/>
      <w:bookmarkEnd w:id="0"/>
      <w:r w:rsidRPr="005A642C">
        <w:rPr>
          <w:sz w:val="20"/>
          <w:szCs w:val="20"/>
        </w:rPr>
        <w:t>Corrections reports that the average cost of a sentenced prisoner per day is $307.53</w:t>
      </w:r>
      <w:r>
        <w:rPr>
          <w:sz w:val="20"/>
          <w:szCs w:val="20"/>
        </w:rPr>
        <w:t xml:space="preserve"> </w:t>
      </w:r>
      <w:r w:rsidRPr="005A642C">
        <w:rPr>
          <w:sz w:val="20"/>
          <w:szCs w:val="20"/>
        </w:rPr>
        <w:t xml:space="preserve">(Department of Corrections, </w:t>
      </w:r>
      <w:r w:rsidRPr="005A642C">
        <w:rPr>
          <w:i/>
          <w:sz w:val="20"/>
          <w:szCs w:val="20"/>
        </w:rPr>
        <w:t>Annual Report 2015/16</w:t>
      </w:r>
      <w:r w:rsidRPr="005A642C">
        <w:rPr>
          <w:sz w:val="20"/>
          <w:szCs w:val="20"/>
        </w:rPr>
        <w:t>, ‘Offender Summary’)</w:t>
      </w:r>
      <w:r>
        <w:rPr>
          <w:sz w:val="20"/>
          <w:szCs w:val="20"/>
        </w:rPr>
        <w:t xml:space="preserve"> which adds up to</w:t>
      </w:r>
      <w:r w:rsidRPr="005A642C">
        <w:rPr>
          <w:sz w:val="20"/>
          <w:szCs w:val="20"/>
        </w:rPr>
        <w:t xml:space="preserve"> $112,248.45 a year.</w:t>
      </w:r>
      <w:r>
        <w:rPr>
          <w:sz w:val="20"/>
          <w:szCs w:val="20"/>
        </w:rPr>
        <w:t xml:space="preserve"> </w:t>
      </w:r>
      <w:r w:rsidR="00946207">
        <w:rPr>
          <w:sz w:val="20"/>
          <w:szCs w:val="20"/>
        </w:rPr>
        <w:t xml:space="preserve"> We would rather </w:t>
      </w:r>
      <w:r w:rsidR="00746FF3">
        <w:rPr>
          <w:sz w:val="20"/>
          <w:szCs w:val="20"/>
        </w:rPr>
        <w:t xml:space="preserve">our model </w:t>
      </w:r>
      <w:r w:rsidR="00946207">
        <w:rPr>
          <w:sz w:val="20"/>
          <w:szCs w:val="20"/>
        </w:rPr>
        <w:t>err</w:t>
      </w:r>
      <w:r w:rsidR="00746FF3">
        <w:rPr>
          <w:sz w:val="20"/>
          <w:szCs w:val="20"/>
        </w:rPr>
        <w:t>ed</w:t>
      </w:r>
      <w:r w:rsidR="00946207">
        <w:rPr>
          <w:sz w:val="20"/>
          <w:szCs w:val="20"/>
        </w:rPr>
        <w:t xml:space="preserve"> on the low side than the high side.</w:t>
      </w:r>
      <w:r w:rsidRPr="005A642C">
        <w:rPr>
          <w:sz w:val="20"/>
          <w:szCs w:val="20"/>
        </w:rPr>
        <w:t xml:space="preserve"> </w:t>
      </w:r>
    </w:p>
    <w:p w14:paraId="37264881" w14:textId="4556D2CD" w:rsidR="00951299" w:rsidRPr="005A642C" w:rsidRDefault="00951299">
      <w:pPr>
        <w:pStyle w:val="FootnoteText"/>
        <w:rPr>
          <w:sz w:val="20"/>
          <w:szCs w:val="20"/>
        </w:rPr>
      </w:pPr>
      <w:r w:rsidRPr="005A642C">
        <w:rPr>
          <w:sz w:val="20"/>
          <w:szCs w:val="20"/>
        </w:rPr>
        <w:t xml:space="preserve">  </w:t>
      </w:r>
    </w:p>
  </w:footnote>
  <w:footnote w:id="15">
    <w:p w14:paraId="2C9FF982" w14:textId="664798B4" w:rsidR="00951299" w:rsidRPr="00835987" w:rsidRDefault="00951299" w:rsidP="00813273">
      <w:pPr>
        <w:pStyle w:val="FootnoteText"/>
        <w:rPr>
          <w:sz w:val="20"/>
          <w:szCs w:val="20"/>
        </w:rPr>
      </w:pPr>
      <w:r w:rsidRPr="00961E54">
        <w:rPr>
          <w:rStyle w:val="FootnoteReference"/>
          <w:sz w:val="20"/>
          <w:szCs w:val="20"/>
        </w:rPr>
        <w:footnoteRef/>
      </w:r>
      <w:r w:rsidRPr="00961E54">
        <w:rPr>
          <w:sz w:val="20"/>
          <w:szCs w:val="20"/>
        </w:rPr>
        <w:t xml:space="preserve"> </w:t>
      </w:r>
      <w:r w:rsidRPr="00813273">
        <w:rPr>
          <w:sz w:val="20"/>
          <w:szCs w:val="20"/>
          <w:lang w:val="en-NZ"/>
        </w:rPr>
        <w:t>Jones, Nicholas and Audrey Young (Oct 18 2016) ‘</w:t>
      </w:r>
      <w:r w:rsidRPr="00813273">
        <w:rPr>
          <w:bCs/>
          <w:sz w:val="20"/>
          <w:szCs w:val="20"/>
          <w:lang w:val="en-NZ"/>
        </w:rPr>
        <w:t xml:space="preserve">Tax cuts could be affected by $2.5b plan for more prison beds’. </w:t>
      </w:r>
      <w:r w:rsidRPr="00813273">
        <w:rPr>
          <w:bCs/>
          <w:i/>
          <w:sz w:val="20"/>
          <w:szCs w:val="20"/>
          <w:lang w:val="en-NZ"/>
        </w:rPr>
        <w:t>New Zealand Herald</w:t>
      </w:r>
      <w:r w:rsidRPr="00813273">
        <w:rPr>
          <w:bCs/>
          <w:sz w:val="20"/>
          <w:szCs w:val="20"/>
          <w:lang w:val="en-NZ"/>
        </w:rPr>
        <w:t xml:space="preserve">. </w:t>
      </w:r>
      <w:r w:rsidRPr="00835987">
        <w:rPr>
          <w:bCs/>
          <w:sz w:val="20"/>
          <w:szCs w:val="20"/>
          <w:lang w:val="en-NZ"/>
        </w:rPr>
        <w:t>(</w:t>
      </w:r>
      <w:hyperlink r:id="rId4" w:history="1">
        <w:r w:rsidRPr="00835987">
          <w:rPr>
            <w:rStyle w:val="Hyperlink"/>
            <w:bCs/>
            <w:sz w:val="20"/>
            <w:szCs w:val="20"/>
            <w:lang w:val="en-NZ"/>
          </w:rPr>
          <w:t>www.nzherald.co.nz/nz/news/article.cfm?c_id=1&amp;objectid=11730990</w:t>
        </w:r>
      </w:hyperlink>
      <w:r w:rsidRPr="00835987">
        <w:rPr>
          <w:bCs/>
          <w:sz w:val="20"/>
          <w:szCs w:val="20"/>
          <w:lang w:val="en-NZ"/>
        </w:rPr>
        <w:t>)</w:t>
      </w:r>
    </w:p>
    <w:p w14:paraId="2EFF67D8" w14:textId="7E520BEA" w:rsidR="00951299" w:rsidRPr="00835987" w:rsidRDefault="00951299">
      <w:pPr>
        <w:pStyle w:val="FootnoteText"/>
        <w:rPr>
          <w:sz w:val="20"/>
          <w:szCs w:val="20"/>
        </w:rPr>
      </w:pPr>
    </w:p>
  </w:footnote>
  <w:footnote w:id="16">
    <w:p w14:paraId="50E3FC7E" w14:textId="37837FCE" w:rsidR="00951299" w:rsidRDefault="00951299">
      <w:pPr>
        <w:pStyle w:val="FootnoteText"/>
        <w:rPr>
          <w:sz w:val="20"/>
          <w:szCs w:val="20"/>
        </w:rPr>
      </w:pPr>
      <w:r w:rsidRPr="00835987">
        <w:rPr>
          <w:rStyle w:val="FootnoteReference"/>
          <w:sz w:val="20"/>
          <w:szCs w:val="20"/>
        </w:rPr>
        <w:footnoteRef/>
      </w:r>
      <w:r w:rsidRPr="00835987">
        <w:rPr>
          <w:sz w:val="20"/>
          <w:szCs w:val="20"/>
        </w:rPr>
        <w:t xml:space="preserve"> Department of Corrections, </w:t>
      </w:r>
      <w:r w:rsidRPr="00835987">
        <w:rPr>
          <w:i/>
          <w:sz w:val="20"/>
          <w:szCs w:val="20"/>
        </w:rPr>
        <w:t>Annual Report 2015/16</w:t>
      </w:r>
      <w:r w:rsidRPr="00835987">
        <w:rPr>
          <w:sz w:val="20"/>
          <w:szCs w:val="20"/>
        </w:rPr>
        <w:t>, ‘Offender Summary’.</w:t>
      </w:r>
    </w:p>
    <w:p w14:paraId="38345894" w14:textId="77777777" w:rsidR="00951299" w:rsidRDefault="00951299">
      <w:pPr>
        <w:pStyle w:val="FootnoteText"/>
      </w:pPr>
    </w:p>
  </w:footnote>
  <w:footnote w:id="17">
    <w:p w14:paraId="3D512397" w14:textId="77777777" w:rsidR="00951299" w:rsidRPr="00CA5FD7" w:rsidRDefault="00951299" w:rsidP="003A04A3">
      <w:pPr>
        <w:pStyle w:val="FootnoteText"/>
        <w:rPr>
          <w:sz w:val="20"/>
          <w:szCs w:val="20"/>
        </w:rPr>
      </w:pPr>
      <w:r w:rsidRPr="00CA5FD7">
        <w:rPr>
          <w:rStyle w:val="FootnoteReference"/>
          <w:sz w:val="20"/>
          <w:szCs w:val="20"/>
        </w:rPr>
        <w:footnoteRef/>
      </w:r>
      <w:r w:rsidRPr="00CA5FD7">
        <w:rPr>
          <w:sz w:val="20"/>
          <w:szCs w:val="20"/>
        </w:rPr>
        <w:t xml:space="preserve"> Ministry of Justice, </w:t>
      </w:r>
      <w:r w:rsidRPr="00CA5FD7">
        <w:rPr>
          <w:i/>
          <w:sz w:val="20"/>
          <w:szCs w:val="20"/>
        </w:rPr>
        <w:t>Trends in child and youth prosecutions: Court statistics for 10-16 year olds in the year ended December 2015</w:t>
      </w:r>
      <w:r w:rsidRPr="00CA5FD7">
        <w:rPr>
          <w:sz w:val="20"/>
          <w:szCs w:val="20"/>
        </w:rPr>
        <w:t xml:space="preserve"> (www.youthcourt.govt.nz/assets/Documents/Publications/trends-in-child-and-youth-prosecutions-december-2015.pdf.)</w:t>
      </w:r>
    </w:p>
    <w:p w14:paraId="6CCF3BA8" w14:textId="77777777" w:rsidR="00951299" w:rsidRPr="00CA5FD7" w:rsidRDefault="00951299" w:rsidP="003A04A3">
      <w:pPr>
        <w:pStyle w:val="FootnoteText"/>
        <w:rPr>
          <w:sz w:val="20"/>
          <w:szCs w:val="20"/>
        </w:rPr>
      </w:pPr>
    </w:p>
  </w:footnote>
  <w:footnote w:id="18">
    <w:p w14:paraId="6FCA7778" w14:textId="77777777" w:rsidR="00951299" w:rsidRPr="00CA5FD7" w:rsidRDefault="00951299" w:rsidP="00CA5FD7">
      <w:pPr>
        <w:pStyle w:val="FootnoteText"/>
        <w:rPr>
          <w:sz w:val="20"/>
          <w:szCs w:val="20"/>
        </w:rPr>
      </w:pPr>
      <w:r w:rsidRPr="00CA5FD7">
        <w:rPr>
          <w:rStyle w:val="FootnoteReference"/>
          <w:sz w:val="20"/>
          <w:szCs w:val="20"/>
        </w:rPr>
        <w:footnoteRef/>
      </w:r>
      <w:r w:rsidRPr="00CA5FD7">
        <w:rPr>
          <w:sz w:val="20"/>
          <w:szCs w:val="20"/>
        </w:rPr>
        <w:t xml:space="preserve"> </w:t>
      </w:r>
      <w:proofErr w:type="spellStart"/>
      <w:r w:rsidRPr="00CA5FD7">
        <w:rPr>
          <w:sz w:val="20"/>
          <w:szCs w:val="20"/>
        </w:rPr>
        <w:t>Indig</w:t>
      </w:r>
      <w:proofErr w:type="spellEnd"/>
      <w:r w:rsidRPr="00CA5FD7">
        <w:rPr>
          <w:sz w:val="20"/>
          <w:szCs w:val="20"/>
        </w:rPr>
        <w:t xml:space="preserve">, Devon, Craig Gear and Kay Wilhelm (June 2016) </w:t>
      </w:r>
      <w:r w:rsidRPr="00CA5FD7">
        <w:rPr>
          <w:i/>
          <w:sz w:val="20"/>
          <w:szCs w:val="20"/>
        </w:rPr>
        <w:t>Comorbid substance use disorders and mental health disorders among New Zealand prisoners</w:t>
      </w:r>
      <w:r w:rsidRPr="00CA5FD7">
        <w:rPr>
          <w:sz w:val="20"/>
          <w:szCs w:val="20"/>
        </w:rPr>
        <w:t>. Department of Corrections</w:t>
      </w:r>
    </w:p>
    <w:p w14:paraId="05109942" w14:textId="308BDADD" w:rsidR="00951299" w:rsidRDefault="00951299">
      <w:pPr>
        <w:pStyle w:val="FootnoteText"/>
      </w:pPr>
    </w:p>
  </w:footnote>
  <w:footnote w:id="19">
    <w:p w14:paraId="1FDA0825" w14:textId="77777777" w:rsidR="00951299" w:rsidRPr="002B3FE5" w:rsidRDefault="00951299" w:rsidP="00DA055E">
      <w:pPr>
        <w:pStyle w:val="FootnoteText"/>
        <w:rPr>
          <w:sz w:val="20"/>
          <w:szCs w:val="20"/>
        </w:rPr>
      </w:pPr>
      <w:r w:rsidRPr="002B3FE5">
        <w:rPr>
          <w:rStyle w:val="FootnoteReference"/>
          <w:sz w:val="20"/>
          <w:szCs w:val="20"/>
        </w:rPr>
        <w:footnoteRef/>
      </w:r>
      <w:r w:rsidRPr="002B3FE5">
        <w:rPr>
          <w:sz w:val="20"/>
          <w:szCs w:val="20"/>
        </w:rPr>
        <w:t xml:space="preserve"> Office of the Minister of Justice, Office of the Minister of Health to Cabinet Social Policy Committee, </w:t>
      </w:r>
      <w:r w:rsidRPr="002B3FE5">
        <w:rPr>
          <w:i/>
          <w:sz w:val="20"/>
          <w:szCs w:val="20"/>
        </w:rPr>
        <w:t>Report-back on the Alcohol and Other Drug Treatment Court Pilot and other AOD-related Initiatives</w:t>
      </w:r>
      <w:r w:rsidRPr="002B3FE5">
        <w:rPr>
          <w:sz w:val="20"/>
          <w:szCs w:val="20"/>
        </w:rPr>
        <w:t xml:space="preserve">, at </w:t>
      </w:r>
      <w:hyperlink r:id="rId5" w:history="1">
        <w:r w:rsidRPr="002B3FE5">
          <w:rPr>
            <w:rStyle w:val="Hyperlink"/>
            <w:sz w:val="20"/>
            <w:szCs w:val="20"/>
          </w:rPr>
          <w:t>www.justice.govt.nz/assets/Documents/Publications/Report-back-on-the-Alcohol-and-Other-Drug-Treatment-Court-Pilot-and-other-AOD-related-Initiatives-Paper.pdf</w:t>
        </w:r>
      </w:hyperlink>
      <w:r w:rsidRPr="002B3FE5">
        <w:rPr>
          <w:sz w:val="20"/>
          <w:szCs w:val="20"/>
        </w:rPr>
        <w:t>. At para. 21.</w:t>
      </w:r>
    </w:p>
    <w:p w14:paraId="0A77286B" w14:textId="77777777" w:rsidR="00951299" w:rsidRPr="002B3FE5" w:rsidRDefault="00951299" w:rsidP="00DA055E">
      <w:pPr>
        <w:pStyle w:val="FootnoteText"/>
        <w:rPr>
          <w:sz w:val="20"/>
          <w:szCs w:val="20"/>
        </w:rPr>
      </w:pPr>
    </w:p>
  </w:footnote>
  <w:footnote w:id="20">
    <w:p w14:paraId="18565476" w14:textId="03C82345" w:rsidR="00951299" w:rsidRPr="002B3FE5" w:rsidRDefault="00951299" w:rsidP="00DA055E">
      <w:pPr>
        <w:pStyle w:val="FootnoteText"/>
        <w:rPr>
          <w:sz w:val="20"/>
          <w:szCs w:val="20"/>
          <w:lang w:val="en-NZ"/>
        </w:rPr>
      </w:pPr>
      <w:r w:rsidRPr="002B3FE5">
        <w:rPr>
          <w:rStyle w:val="FootnoteReference"/>
          <w:sz w:val="20"/>
          <w:szCs w:val="20"/>
        </w:rPr>
        <w:footnoteRef/>
      </w:r>
      <w:r>
        <w:rPr>
          <w:sz w:val="20"/>
          <w:szCs w:val="20"/>
          <w:lang w:val="en-NZ"/>
        </w:rPr>
        <w:t xml:space="preserve"> </w:t>
      </w:r>
      <w:r w:rsidRPr="002B3FE5">
        <w:rPr>
          <w:sz w:val="20"/>
          <w:szCs w:val="20"/>
          <w:lang w:val="en-NZ"/>
        </w:rPr>
        <w:t xml:space="preserve">Washington State Institute for Public Policy (January 2006) </w:t>
      </w:r>
      <w:r w:rsidRPr="002B3FE5">
        <w:rPr>
          <w:i/>
          <w:sz w:val="20"/>
          <w:szCs w:val="20"/>
          <w:lang w:val="en-NZ"/>
        </w:rPr>
        <w:t>Evidence-Based Adult Correctional Programs: What works and what does not</w:t>
      </w:r>
      <w:r w:rsidRPr="002B3FE5">
        <w:rPr>
          <w:sz w:val="20"/>
          <w:szCs w:val="20"/>
          <w:lang w:val="en-NZ"/>
        </w:rPr>
        <w:t xml:space="preserve"> at 3, Exhibit 1 (</w:t>
      </w:r>
      <w:hyperlink r:id="rId6" w:history="1">
        <w:r w:rsidRPr="002B3FE5">
          <w:rPr>
            <w:rStyle w:val="Hyperlink"/>
            <w:sz w:val="20"/>
            <w:szCs w:val="20"/>
            <w:lang w:val="en-NZ"/>
          </w:rPr>
          <w:t>www.wsipp.wa.gov/Reports/06-01-1201</w:t>
        </w:r>
      </w:hyperlink>
      <w:r w:rsidRPr="002B3FE5">
        <w:rPr>
          <w:sz w:val="20"/>
          <w:szCs w:val="20"/>
          <w:lang w:val="en-NZ"/>
        </w:rPr>
        <w:t>).</w:t>
      </w:r>
    </w:p>
    <w:p w14:paraId="42F2E033" w14:textId="77777777" w:rsidR="00951299" w:rsidRPr="00F755C8" w:rsidRDefault="00951299" w:rsidP="00DA055E">
      <w:pPr>
        <w:pStyle w:val="FootnoteText"/>
        <w:rPr>
          <w:sz w:val="22"/>
          <w:szCs w:val="22"/>
          <w:lang w:val="en-NZ"/>
        </w:rPr>
      </w:pPr>
    </w:p>
  </w:footnote>
  <w:footnote w:id="21">
    <w:p w14:paraId="57044ACE" w14:textId="1B2E8752" w:rsidR="00951299" w:rsidRDefault="00951299" w:rsidP="004357B4">
      <w:pPr>
        <w:pStyle w:val="FootnoteText"/>
        <w:rPr>
          <w:sz w:val="20"/>
          <w:szCs w:val="20"/>
        </w:rPr>
      </w:pPr>
      <w:r w:rsidRPr="002B3FE5">
        <w:rPr>
          <w:rStyle w:val="FootnoteReference"/>
          <w:sz w:val="20"/>
          <w:szCs w:val="20"/>
        </w:rPr>
        <w:footnoteRef/>
      </w:r>
      <w:r w:rsidRPr="002B3FE5">
        <w:rPr>
          <w:sz w:val="20"/>
          <w:szCs w:val="20"/>
        </w:rPr>
        <w:t xml:space="preserve"> Ministry of Justice. </w:t>
      </w:r>
      <w:r w:rsidRPr="002B3FE5">
        <w:rPr>
          <w:i/>
          <w:sz w:val="20"/>
          <w:szCs w:val="20"/>
        </w:rPr>
        <w:t>Reoffending Analysis for Restorative Justice Cases 2008-2013: Summary Results</w:t>
      </w:r>
      <w:r w:rsidRPr="002B3FE5">
        <w:rPr>
          <w:sz w:val="20"/>
          <w:szCs w:val="20"/>
        </w:rPr>
        <w:t xml:space="preserve"> </w:t>
      </w:r>
      <w:r>
        <w:rPr>
          <w:sz w:val="20"/>
          <w:szCs w:val="20"/>
        </w:rPr>
        <w:t>(</w:t>
      </w:r>
      <w:hyperlink r:id="rId7" w:history="1">
        <w:r w:rsidRPr="00337A1B">
          <w:rPr>
            <w:rStyle w:val="Hyperlink"/>
            <w:sz w:val="20"/>
            <w:szCs w:val="20"/>
          </w:rPr>
          <w:t>www.justice.govt.nz/assets/Documents/Publications/rj-Reoffending-Analysis-for-Restorative-Justice-Cases-2008-2013-Summary-Results.pdf</w:t>
        </w:r>
      </w:hyperlink>
      <w:r>
        <w:rPr>
          <w:sz w:val="20"/>
          <w:szCs w:val="20"/>
        </w:rPr>
        <w:t>).</w:t>
      </w:r>
    </w:p>
    <w:p w14:paraId="5AB6ABAF" w14:textId="77777777" w:rsidR="00951299" w:rsidRPr="002B3FE5" w:rsidRDefault="00951299" w:rsidP="004357B4">
      <w:pPr>
        <w:pStyle w:val="FootnoteText"/>
        <w:rPr>
          <w:sz w:val="20"/>
          <w:szCs w:val="20"/>
        </w:rPr>
      </w:pPr>
    </w:p>
  </w:footnote>
  <w:footnote w:id="22">
    <w:p w14:paraId="121DC928" w14:textId="77777777" w:rsidR="00951299" w:rsidRPr="001E5C2C" w:rsidRDefault="00951299" w:rsidP="00ED226B">
      <w:pPr>
        <w:pStyle w:val="FootnoteText"/>
      </w:pPr>
      <w:r w:rsidRPr="001E5C2C">
        <w:rPr>
          <w:rStyle w:val="FootnoteReference"/>
          <w:sz w:val="20"/>
          <w:szCs w:val="20"/>
        </w:rPr>
        <w:footnoteRef/>
      </w:r>
      <w:r w:rsidRPr="001E5C2C">
        <w:rPr>
          <w:sz w:val="20"/>
          <w:szCs w:val="20"/>
        </w:rPr>
        <w:t xml:space="preserve"> </w:t>
      </w:r>
      <w:proofErr w:type="spellStart"/>
      <w:r w:rsidRPr="001E5C2C">
        <w:rPr>
          <w:sz w:val="20"/>
          <w:szCs w:val="20"/>
        </w:rPr>
        <w:t>Strang</w:t>
      </w:r>
      <w:proofErr w:type="spellEnd"/>
      <w:r w:rsidRPr="001E5C2C">
        <w:rPr>
          <w:sz w:val="20"/>
          <w:szCs w:val="20"/>
        </w:rPr>
        <w:t xml:space="preserve"> H, Sherman LW, Mayo-Wilson E, Woods D, Ariel B. </w:t>
      </w:r>
      <w:r w:rsidRPr="001E5C2C">
        <w:rPr>
          <w:i/>
          <w:sz w:val="20"/>
          <w:szCs w:val="20"/>
        </w:rPr>
        <w:t>Restorative Justice Conferencing (RJC) Using Face-to-Face Meetings of Offenders and Victims: Effects on Offender Recidivism and Victim Satisfaction. A Systematic Review</w:t>
      </w:r>
      <w:r w:rsidRPr="001E5C2C">
        <w:rPr>
          <w:sz w:val="20"/>
          <w:szCs w:val="20"/>
        </w:rPr>
        <w:t>. Campbell Systematic Reviews 2013:12</w:t>
      </w:r>
      <w:r>
        <w:t>.</w:t>
      </w:r>
      <w:r w:rsidRPr="001E5C2C">
        <w:t xml:space="preserve"> </w:t>
      </w:r>
    </w:p>
    <w:p w14:paraId="1BBABFC7" w14:textId="77777777" w:rsidR="00951299" w:rsidRDefault="00951299" w:rsidP="00ED226B">
      <w:pPr>
        <w:pStyle w:val="FootnoteText"/>
      </w:pPr>
    </w:p>
  </w:footnote>
  <w:footnote w:id="23">
    <w:p w14:paraId="0644E0BB" w14:textId="77777777" w:rsidR="00951299" w:rsidRDefault="00951299" w:rsidP="00160CEC">
      <w:pPr>
        <w:pStyle w:val="FootnoteText"/>
        <w:rPr>
          <w:sz w:val="20"/>
          <w:szCs w:val="20"/>
        </w:rPr>
      </w:pPr>
      <w:r>
        <w:rPr>
          <w:rStyle w:val="FootnoteReference"/>
        </w:rPr>
        <w:footnoteRef/>
      </w:r>
      <w:r>
        <w:t xml:space="preserve"> </w:t>
      </w:r>
      <w:r>
        <w:rPr>
          <w:sz w:val="20"/>
          <w:szCs w:val="20"/>
        </w:rPr>
        <w:t xml:space="preserve">For the population projection relied on for this statement see </w:t>
      </w:r>
      <w:r w:rsidRPr="00383934">
        <w:rPr>
          <w:sz w:val="20"/>
          <w:szCs w:val="20"/>
        </w:rPr>
        <w:t>Stats NZ, Population projection</w:t>
      </w:r>
      <w:r w:rsidRPr="00383934">
        <w:rPr>
          <w:i/>
          <w:sz w:val="20"/>
          <w:szCs w:val="20"/>
        </w:rPr>
        <w:t>, National population projection, by age and sex 2016 (base-)-2068</w:t>
      </w:r>
      <w:r w:rsidRPr="00383934">
        <w:rPr>
          <w:sz w:val="20"/>
          <w:szCs w:val="20"/>
        </w:rPr>
        <w:t>, 50</w:t>
      </w:r>
      <w:r w:rsidRPr="00383934">
        <w:rPr>
          <w:sz w:val="20"/>
          <w:szCs w:val="20"/>
          <w:vertAlign w:val="superscript"/>
        </w:rPr>
        <w:t>th</w:t>
      </w:r>
      <w:r w:rsidRPr="00383934">
        <w:rPr>
          <w:sz w:val="20"/>
          <w:szCs w:val="20"/>
        </w:rPr>
        <w:t xml:space="preserve"> percentile (median) at </w:t>
      </w:r>
      <w:hyperlink r:id="rId8" w:history="1">
        <w:r w:rsidRPr="00383934">
          <w:rPr>
            <w:rStyle w:val="Hyperlink"/>
            <w:sz w:val="20"/>
            <w:szCs w:val="20"/>
          </w:rPr>
          <w:t>http://nzdotstat.stats.govt.nz/wbos/Index.aspx?DataSetCode=TABLECODE7542#</w:t>
        </w:r>
      </w:hyperlink>
      <w:r w:rsidRPr="00383934">
        <w:rPr>
          <w:sz w:val="20"/>
          <w:szCs w:val="20"/>
        </w:rPr>
        <w:t>.</w:t>
      </w:r>
      <w:r>
        <w:rPr>
          <w:sz w:val="20"/>
          <w:szCs w:val="20"/>
        </w:rPr>
        <w:t xml:space="preserve"> </w:t>
      </w:r>
      <w:r>
        <w:rPr>
          <w:sz w:val="20"/>
          <w:szCs w:val="20"/>
          <w:lang w:val="en-NZ"/>
        </w:rPr>
        <w:t>T</w:t>
      </w:r>
      <w:r w:rsidRPr="001D0C79">
        <w:rPr>
          <w:sz w:val="20"/>
          <w:szCs w:val="20"/>
          <w:lang w:val="en-NZ"/>
        </w:rPr>
        <w:t xml:space="preserve">he </w:t>
      </w:r>
      <w:r>
        <w:rPr>
          <w:sz w:val="20"/>
          <w:szCs w:val="20"/>
          <w:lang w:val="en-NZ"/>
        </w:rPr>
        <w:t>50</w:t>
      </w:r>
      <w:r w:rsidRPr="001D0C79">
        <w:rPr>
          <w:sz w:val="20"/>
          <w:szCs w:val="20"/>
          <w:lang w:val="en-NZ"/>
        </w:rPr>
        <w:t xml:space="preserve">th percentile indicates an estimated </w:t>
      </w:r>
      <w:r>
        <w:rPr>
          <w:sz w:val="20"/>
          <w:szCs w:val="20"/>
          <w:lang w:val="en-NZ"/>
        </w:rPr>
        <w:t>50</w:t>
      </w:r>
      <w:r w:rsidRPr="001D0C79">
        <w:rPr>
          <w:sz w:val="20"/>
          <w:szCs w:val="20"/>
          <w:lang w:val="en-NZ"/>
        </w:rPr>
        <w:t xml:space="preserve"> percent probability that the actual result will be lower, and a </w:t>
      </w:r>
      <w:r>
        <w:rPr>
          <w:sz w:val="20"/>
          <w:szCs w:val="20"/>
          <w:lang w:val="en-NZ"/>
        </w:rPr>
        <w:t>50</w:t>
      </w:r>
      <w:r w:rsidRPr="001D0C79">
        <w:rPr>
          <w:sz w:val="20"/>
          <w:szCs w:val="20"/>
          <w:lang w:val="en-NZ"/>
        </w:rPr>
        <w:t xml:space="preserve"> percent probability that the actual results will be higher, than this percentile.</w:t>
      </w:r>
      <w:r>
        <w:rPr>
          <w:sz w:val="20"/>
          <w:szCs w:val="20"/>
        </w:rPr>
        <w:t xml:space="preserve"> Specifically,  6,000 represents a prison population rate of 112, if we assume the population of 2027 is 5,345,100. </w:t>
      </w:r>
    </w:p>
    <w:p w14:paraId="1B6E0F99" w14:textId="77777777" w:rsidR="00951299" w:rsidRDefault="00951299" w:rsidP="00160CEC">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CB182" w14:textId="2077B62C" w:rsidR="00951299" w:rsidRPr="00BA5180" w:rsidRDefault="00951299" w:rsidP="00F61EE5">
    <w:pPr>
      <w:jc w:val="right"/>
      <w:rPr>
        <w:rFonts w:ascii="Avenir Oblique" w:hAnsi="Avenir Oblique"/>
        <w:sz w:val="22"/>
        <w:szCs w:val="22"/>
      </w:rPr>
    </w:pPr>
    <w:r w:rsidRPr="00BA5180">
      <w:rPr>
        <w:rFonts w:ascii="Avenir Oblique" w:hAnsi="Avenir Oblique"/>
        <w:sz w:val="22"/>
        <w:szCs w:val="22"/>
      </w:rPr>
      <w:t>The Opportunities Party’s Criminal Justice Policy</w:t>
    </w:r>
    <w:r>
      <w:rPr>
        <w:rFonts w:ascii="Avenir Oblique" w:hAnsi="Avenir Oblique"/>
        <w:sz w:val="22"/>
        <w:szCs w:val="22"/>
      </w:rPr>
      <w:t xml:space="preserve"> (1 August)</w:t>
    </w:r>
  </w:p>
  <w:p w14:paraId="2819D9A0" w14:textId="77777777" w:rsidR="00951299" w:rsidRDefault="0095129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645B9"/>
    <w:multiLevelType w:val="hybridMultilevel"/>
    <w:tmpl w:val="0CBA90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2E11BE"/>
    <w:multiLevelType w:val="hybridMultilevel"/>
    <w:tmpl w:val="7F429F44"/>
    <w:lvl w:ilvl="0" w:tplc="31AAB50E">
      <w:start w:val="1"/>
      <w:numFmt w:val="lowerLetter"/>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2">
    <w:nsid w:val="5B1219D6"/>
    <w:multiLevelType w:val="hybridMultilevel"/>
    <w:tmpl w:val="AF58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Gawith">
    <w15:presenceInfo w15:providerId="Windows Live" w15:userId="ae6985c9107f72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B6"/>
    <w:rsid w:val="00000A86"/>
    <w:rsid w:val="00003EC5"/>
    <w:rsid w:val="00004859"/>
    <w:rsid w:val="00007894"/>
    <w:rsid w:val="0001157D"/>
    <w:rsid w:val="00011765"/>
    <w:rsid w:val="0002083A"/>
    <w:rsid w:val="00020A4A"/>
    <w:rsid w:val="000220DB"/>
    <w:rsid w:val="00023231"/>
    <w:rsid w:val="000233AD"/>
    <w:rsid w:val="00023810"/>
    <w:rsid w:val="000248AF"/>
    <w:rsid w:val="00026F82"/>
    <w:rsid w:val="00027D60"/>
    <w:rsid w:val="00033A87"/>
    <w:rsid w:val="0003758D"/>
    <w:rsid w:val="00037E3E"/>
    <w:rsid w:val="000411BE"/>
    <w:rsid w:val="000418F0"/>
    <w:rsid w:val="000442F5"/>
    <w:rsid w:val="00047943"/>
    <w:rsid w:val="00051C80"/>
    <w:rsid w:val="00057A9D"/>
    <w:rsid w:val="00060BD7"/>
    <w:rsid w:val="000671E7"/>
    <w:rsid w:val="000673DA"/>
    <w:rsid w:val="000702E1"/>
    <w:rsid w:val="000729B9"/>
    <w:rsid w:val="000732C2"/>
    <w:rsid w:val="00073BC2"/>
    <w:rsid w:val="0007587B"/>
    <w:rsid w:val="000819A1"/>
    <w:rsid w:val="00082EC8"/>
    <w:rsid w:val="0008392C"/>
    <w:rsid w:val="0008456D"/>
    <w:rsid w:val="00093346"/>
    <w:rsid w:val="000A1EE2"/>
    <w:rsid w:val="000A21DE"/>
    <w:rsid w:val="000B1C5C"/>
    <w:rsid w:val="000B2718"/>
    <w:rsid w:val="000B27A9"/>
    <w:rsid w:val="000B28BF"/>
    <w:rsid w:val="000B2A1D"/>
    <w:rsid w:val="000B40E4"/>
    <w:rsid w:val="000B489B"/>
    <w:rsid w:val="000B623D"/>
    <w:rsid w:val="000C0229"/>
    <w:rsid w:val="000C3695"/>
    <w:rsid w:val="000C50FB"/>
    <w:rsid w:val="000C55D7"/>
    <w:rsid w:val="000C72EE"/>
    <w:rsid w:val="000D75AE"/>
    <w:rsid w:val="000E10B2"/>
    <w:rsid w:val="000E1E7F"/>
    <w:rsid w:val="000F1AD6"/>
    <w:rsid w:val="000F2846"/>
    <w:rsid w:val="000F3854"/>
    <w:rsid w:val="000F68BA"/>
    <w:rsid w:val="000F73F2"/>
    <w:rsid w:val="00100653"/>
    <w:rsid w:val="00100A1A"/>
    <w:rsid w:val="00104727"/>
    <w:rsid w:val="001076D7"/>
    <w:rsid w:val="0011068A"/>
    <w:rsid w:val="00110D54"/>
    <w:rsid w:val="001143FF"/>
    <w:rsid w:val="00117E26"/>
    <w:rsid w:val="0012028D"/>
    <w:rsid w:val="00123966"/>
    <w:rsid w:val="00125F29"/>
    <w:rsid w:val="00133FD1"/>
    <w:rsid w:val="00136D79"/>
    <w:rsid w:val="00140A53"/>
    <w:rsid w:val="00140B0E"/>
    <w:rsid w:val="00142D77"/>
    <w:rsid w:val="0014481D"/>
    <w:rsid w:val="00145B44"/>
    <w:rsid w:val="00146543"/>
    <w:rsid w:val="00160CEC"/>
    <w:rsid w:val="00163947"/>
    <w:rsid w:val="001639A1"/>
    <w:rsid w:val="00164553"/>
    <w:rsid w:val="00164BD2"/>
    <w:rsid w:val="0017272D"/>
    <w:rsid w:val="00180533"/>
    <w:rsid w:val="0018092C"/>
    <w:rsid w:val="00183A75"/>
    <w:rsid w:val="00186D5C"/>
    <w:rsid w:val="00193477"/>
    <w:rsid w:val="00194E5E"/>
    <w:rsid w:val="001A06D7"/>
    <w:rsid w:val="001A42E5"/>
    <w:rsid w:val="001A44E4"/>
    <w:rsid w:val="001A6573"/>
    <w:rsid w:val="001B5170"/>
    <w:rsid w:val="001C1149"/>
    <w:rsid w:val="001C24F4"/>
    <w:rsid w:val="001C273C"/>
    <w:rsid w:val="001C4281"/>
    <w:rsid w:val="001C7083"/>
    <w:rsid w:val="001D174E"/>
    <w:rsid w:val="001D3DEF"/>
    <w:rsid w:val="001D4E94"/>
    <w:rsid w:val="001D55C8"/>
    <w:rsid w:val="001D6C33"/>
    <w:rsid w:val="001E4345"/>
    <w:rsid w:val="001E49CE"/>
    <w:rsid w:val="001F58DD"/>
    <w:rsid w:val="001F6D5C"/>
    <w:rsid w:val="0020110D"/>
    <w:rsid w:val="0020456E"/>
    <w:rsid w:val="00204698"/>
    <w:rsid w:val="00205704"/>
    <w:rsid w:val="00206C8A"/>
    <w:rsid w:val="00211436"/>
    <w:rsid w:val="0021500E"/>
    <w:rsid w:val="002172E0"/>
    <w:rsid w:val="00217935"/>
    <w:rsid w:val="00217F6E"/>
    <w:rsid w:val="002274B2"/>
    <w:rsid w:val="00227BBF"/>
    <w:rsid w:val="00235553"/>
    <w:rsid w:val="0023668C"/>
    <w:rsid w:val="00236826"/>
    <w:rsid w:val="002421B1"/>
    <w:rsid w:val="00243D49"/>
    <w:rsid w:val="00251363"/>
    <w:rsid w:val="00253335"/>
    <w:rsid w:val="00254D30"/>
    <w:rsid w:val="00262638"/>
    <w:rsid w:val="00263334"/>
    <w:rsid w:val="0026447D"/>
    <w:rsid w:val="00267892"/>
    <w:rsid w:val="00272E61"/>
    <w:rsid w:val="00277B10"/>
    <w:rsid w:val="00277D96"/>
    <w:rsid w:val="00282F65"/>
    <w:rsid w:val="00297945"/>
    <w:rsid w:val="00297DD8"/>
    <w:rsid w:val="00297E94"/>
    <w:rsid w:val="002A02E6"/>
    <w:rsid w:val="002A0F28"/>
    <w:rsid w:val="002A601C"/>
    <w:rsid w:val="002A6D71"/>
    <w:rsid w:val="002B1318"/>
    <w:rsid w:val="002B1B18"/>
    <w:rsid w:val="002B77E7"/>
    <w:rsid w:val="002C100C"/>
    <w:rsid w:val="002C1648"/>
    <w:rsid w:val="002C3528"/>
    <w:rsid w:val="002C7EF6"/>
    <w:rsid w:val="002D0B9F"/>
    <w:rsid w:val="002D0C40"/>
    <w:rsid w:val="002D2526"/>
    <w:rsid w:val="002D27C3"/>
    <w:rsid w:val="002D4676"/>
    <w:rsid w:val="002D77A3"/>
    <w:rsid w:val="002E0456"/>
    <w:rsid w:val="002E6F3F"/>
    <w:rsid w:val="002F456E"/>
    <w:rsid w:val="00300635"/>
    <w:rsid w:val="0031120A"/>
    <w:rsid w:val="00315742"/>
    <w:rsid w:val="00315C5D"/>
    <w:rsid w:val="00316682"/>
    <w:rsid w:val="00317B1A"/>
    <w:rsid w:val="00317F23"/>
    <w:rsid w:val="00323ED7"/>
    <w:rsid w:val="00326210"/>
    <w:rsid w:val="0032719D"/>
    <w:rsid w:val="00332168"/>
    <w:rsid w:val="003334BF"/>
    <w:rsid w:val="00337190"/>
    <w:rsid w:val="003404E4"/>
    <w:rsid w:val="00341A62"/>
    <w:rsid w:val="0034273E"/>
    <w:rsid w:val="0034663C"/>
    <w:rsid w:val="00350542"/>
    <w:rsid w:val="003551C0"/>
    <w:rsid w:val="0036096D"/>
    <w:rsid w:val="00361CDE"/>
    <w:rsid w:val="00363BD0"/>
    <w:rsid w:val="003664FB"/>
    <w:rsid w:val="00366756"/>
    <w:rsid w:val="003700AF"/>
    <w:rsid w:val="00370306"/>
    <w:rsid w:val="0037627A"/>
    <w:rsid w:val="0038122F"/>
    <w:rsid w:val="00384745"/>
    <w:rsid w:val="00385202"/>
    <w:rsid w:val="003869B3"/>
    <w:rsid w:val="00387BA9"/>
    <w:rsid w:val="003909B8"/>
    <w:rsid w:val="003909F2"/>
    <w:rsid w:val="00393A48"/>
    <w:rsid w:val="0039405C"/>
    <w:rsid w:val="0039562E"/>
    <w:rsid w:val="003961E1"/>
    <w:rsid w:val="00397FB3"/>
    <w:rsid w:val="003A04A3"/>
    <w:rsid w:val="003A063B"/>
    <w:rsid w:val="003A1FA3"/>
    <w:rsid w:val="003A2B46"/>
    <w:rsid w:val="003A4211"/>
    <w:rsid w:val="003A77BF"/>
    <w:rsid w:val="003B141B"/>
    <w:rsid w:val="003B22CF"/>
    <w:rsid w:val="003B5885"/>
    <w:rsid w:val="003B66EA"/>
    <w:rsid w:val="003C0993"/>
    <w:rsid w:val="003C332C"/>
    <w:rsid w:val="003C750A"/>
    <w:rsid w:val="003D3135"/>
    <w:rsid w:val="003D6955"/>
    <w:rsid w:val="003E25BF"/>
    <w:rsid w:val="003E6B5B"/>
    <w:rsid w:val="003E75BB"/>
    <w:rsid w:val="003E7749"/>
    <w:rsid w:val="003F66F8"/>
    <w:rsid w:val="003F67F0"/>
    <w:rsid w:val="003F6EFD"/>
    <w:rsid w:val="00403138"/>
    <w:rsid w:val="0040391A"/>
    <w:rsid w:val="00404DC6"/>
    <w:rsid w:val="00407879"/>
    <w:rsid w:val="00407D62"/>
    <w:rsid w:val="00410BAC"/>
    <w:rsid w:val="00413E96"/>
    <w:rsid w:val="00420FC9"/>
    <w:rsid w:val="004216F4"/>
    <w:rsid w:val="00421DBD"/>
    <w:rsid w:val="0042472D"/>
    <w:rsid w:val="004357B4"/>
    <w:rsid w:val="00436406"/>
    <w:rsid w:val="00440F73"/>
    <w:rsid w:val="00445201"/>
    <w:rsid w:val="00445C9F"/>
    <w:rsid w:val="00445E76"/>
    <w:rsid w:val="0044653A"/>
    <w:rsid w:val="004563BC"/>
    <w:rsid w:val="00456AF5"/>
    <w:rsid w:val="00462EE2"/>
    <w:rsid w:val="004703E5"/>
    <w:rsid w:val="004713FD"/>
    <w:rsid w:val="00472F84"/>
    <w:rsid w:val="00481E91"/>
    <w:rsid w:val="0048229F"/>
    <w:rsid w:val="0048354E"/>
    <w:rsid w:val="004902BA"/>
    <w:rsid w:val="00490D67"/>
    <w:rsid w:val="004A132B"/>
    <w:rsid w:val="004A5EA5"/>
    <w:rsid w:val="004A6736"/>
    <w:rsid w:val="004A6813"/>
    <w:rsid w:val="004A7C61"/>
    <w:rsid w:val="004B4314"/>
    <w:rsid w:val="004B58F6"/>
    <w:rsid w:val="004C1F8C"/>
    <w:rsid w:val="004C524B"/>
    <w:rsid w:val="004C54C5"/>
    <w:rsid w:val="004C5CEF"/>
    <w:rsid w:val="004C6D4C"/>
    <w:rsid w:val="004D0712"/>
    <w:rsid w:val="004D6580"/>
    <w:rsid w:val="004E31BA"/>
    <w:rsid w:val="004E7742"/>
    <w:rsid w:val="004F5C85"/>
    <w:rsid w:val="005003B9"/>
    <w:rsid w:val="005003F8"/>
    <w:rsid w:val="00505504"/>
    <w:rsid w:val="005107BA"/>
    <w:rsid w:val="00512143"/>
    <w:rsid w:val="00512506"/>
    <w:rsid w:val="00513263"/>
    <w:rsid w:val="005159CF"/>
    <w:rsid w:val="00525578"/>
    <w:rsid w:val="00527569"/>
    <w:rsid w:val="0053203B"/>
    <w:rsid w:val="00534A18"/>
    <w:rsid w:val="00537989"/>
    <w:rsid w:val="005427FA"/>
    <w:rsid w:val="00544FA6"/>
    <w:rsid w:val="005564BB"/>
    <w:rsid w:val="00563A93"/>
    <w:rsid w:val="00565EB7"/>
    <w:rsid w:val="00570B26"/>
    <w:rsid w:val="00571511"/>
    <w:rsid w:val="0057401C"/>
    <w:rsid w:val="005801A8"/>
    <w:rsid w:val="005804CE"/>
    <w:rsid w:val="00583C57"/>
    <w:rsid w:val="00585BDF"/>
    <w:rsid w:val="005901DF"/>
    <w:rsid w:val="00590454"/>
    <w:rsid w:val="00592259"/>
    <w:rsid w:val="00593AB1"/>
    <w:rsid w:val="00596DA1"/>
    <w:rsid w:val="005A06A9"/>
    <w:rsid w:val="005A2545"/>
    <w:rsid w:val="005A642C"/>
    <w:rsid w:val="005A66CC"/>
    <w:rsid w:val="005B0DB8"/>
    <w:rsid w:val="005B1425"/>
    <w:rsid w:val="005B1EC6"/>
    <w:rsid w:val="005B28E9"/>
    <w:rsid w:val="005B32B6"/>
    <w:rsid w:val="005B479A"/>
    <w:rsid w:val="005B49CF"/>
    <w:rsid w:val="005B504F"/>
    <w:rsid w:val="005C2C87"/>
    <w:rsid w:val="005C378C"/>
    <w:rsid w:val="005C4BD7"/>
    <w:rsid w:val="005C7DDA"/>
    <w:rsid w:val="005D08EA"/>
    <w:rsid w:val="005D2C65"/>
    <w:rsid w:val="005D3A15"/>
    <w:rsid w:val="005D44AC"/>
    <w:rsid w:val="005E0E0C"/>
    <w:rsid w:val="005E1B95"/>
    <w:rsid w:val="005E4415"/>
    <w:rsid w:val="005E6C50"/>
    <w:rsid w:val="006006A5"/>
    <w:rsid w:val="00604B34"/>
    <w:rsid w:val="006137EE"/>
    <w:rsid w:val="006147EF"/>
    <w:rsid w:val="00620228"/>
    <w:rsid w:val="00620617"/>
    <w:rsid w:val="006227CF"/>
    <w:rsid w:val="006267BB"/>
    <w:rsid w:val="00626E43"/>
    <w:rsid w:val="00627224"/>
    <w:rsid w:val="006326EE"/>
    <w:rsid w:val="00640F19"/>
    <w:rsid w:val="006418EF"/>
    <w:rsid w:val="006508CB"/>
    <w:rsid w:val="00656BEE"/>
    <w:rsid w:val="00660CE5"/>
    <w:rsid w:val="00664412"/>
    <w:rsid w:val="00667069"/>
    <w:rsid w:val="006700B3"/>
    <w:rsid w:val="00671533"/>
    <w:rsid w:val="00672649"/>
    <w:rsid w:val="00675DF4"/>
    <w:rsid w:val="00680F2E"/>
    <w:rsid w:val="00683D51"/>
    <w:rsid w:val="00686F4C"/>
    <w:rsid w:val="006877C6"/>
    <w:rsid w:val="00690575"/>
    <w:rsid w:val="006905F7"/>
    <w:rsid w:val="00690663"/>
    <w:rsid w:val="00693145"/>
    <w:rsid w:val="00693BE5"/>
    <w:rsid w:val="00696839"/>
    <w:rsid w:val="006A52C4"/>
    <w:rsid w:val="006A7B87"/>
    <w:rsid w:val="006B0F5B"/>
    <w:rsid w:val="006B3B34"/>
    <w:rsid w:val="006B46D2"/>
    <w:rsid w:val="006B4727"/>
    <w:rsid w:val="006C0B2C"/>
    <w:rsid w:val="006C368F"/>
    <w:rsid w:val="006C5546"/>
    <w:rsid w:val="006C7674"/>
    <w:rsid w:val="006D0EEA"/>
    <w:rsid w:val="006D28C6"/>
    <w:rsid w:val="006D3749"/>
    <w:rsid w:val="006D5CB0"/>
    <w:rsid w:val="006E256D"/>
    <w:rsid w:val="006F19F5"/>
    <w:rsid w:val="006F3200"/>
    <w:rsid w:val="006F45F1"/>
    <w:rsid w:val="006F5051"/>
    <w:rsid w:val="00700B2A"/>
    <w:rsid w:val="00703EAF"/>
    <w:rsid w:val="007044F2"/>
    <w:rsid w:val="00705418"/>
    <w:rsid w:val="00707062"/>
    <w:rsid w:val="0070793B"/>
    <w:rsid w:val="00707EC6"/>
    <w:rsid w:val="00707F31"/>
    <w:rsid w:val="00712FE9"/>
    <w:rsid w:val="007136A3"/>
    <w:rsid w:val="00714E2D"/>
    <w:rsid w:val="0071579E"/>
    <w:rsid w:val="00717EE7"/>
    <w:rsid w:val="0072282B"/>
    <w:rsid w:val="007232AF"/>
    <w:rsid w:val="00735880"/>
    <w:rsid w:val="00737803"/>
    <w:rsid w:val="0074318F"/>
    <w:rsid w:val="007453E7"/>
    <w:rsid w:val="00746FF3"/>
    <w:rsid w:val="00747888"/>
    <w:rsid w:val="0075043A"/>
    <w:rsid w:val="00753800"/>
    <w:rsid w:val="00753FA9"/>
    <w:rsid w:val="00755439"/>
    <w:rsid w:val="00772DEC"/>
    <w:rsid w:val="00773B86"/>
    <w:rsid w:val="00775183"/>
    <w:rsid w:val="00777EE8"/>
    <w:rsid w:val="00780AC2"/>
    <w:rsid w:val="00782419"/>
    <w:rsid w:val="007827CC"/>
    <w:rsid w:val="00785E2E"/>
    <w:rsid w:val="00791374"/>
    <w:rsid w:val="00791AF5"/>
    <w:rsid w:val="007927F7"/>
    <w:rsid w:val="0079365A"/>
    <w:rsid w:val="00793F60"/>
    <w:rsid w:val="00795177"/>
    <w:rsid w:val="0079566E"/>
    <w:rsid w:val="00795796"/>
    <w:rsid w:val="007A04A8"/>
    <w:rsid w:val="007A35B4"/>
    <w:rsid w:val="007B05CF"/>
    <w:rsid w:val="007B0A4D"/>
    <w:rsid w:val="007B111C"/>
    <w:rsid w:val="007B3721"/>
    <w:rsid w:val="007B7A24"/>
    <w:rsid w:val="007C2258"/>
    <w:rsid w:val="007C462E"/>
    <w:rsid w:val="007D1F67"/>
    <w:rsid w:val="007D4092"/>
    <w:rsid w:val="007D5251"/>
    <w:rsid w:val="007E1E40"/>
    <w:rsid w:val="007F1B9C"/>
    <w:rsid w:val="007F29DC"/>
    <w:rsid w:val="007F5CB6"/>
    <w:rsid w:val="008021C9"/>
    <w:rsid w:val="00804236"/>
    <w:rsid w:val="00813273"/>
    <w:rsid w:val="00814BEE"/>
    <w:rsid w:val="00816576"/>
    <w:rsid w:val="00825361"/>
    <w:rsid w:val="0083277F"/>
    <w:rsid w:val="008329E6"/>
    <w:rsid w:val="00834BAB"/>
    <w:rsid w:val="00835987"/>
    <w:rsid w:val="0085026A"/>
    <w:rsid w:val="0085261E"/>
    <w:rsid w:val="00852AB8"/>
    <w:rsid w:val="00857475"/>
    <w:rsid w:val="00861C15"/>
    <w:rsid w:val="00861F82"/>
    <w:rsid w:val="00863E90"/>
    <w:rsid w:val="0087209F"/>
    <w:rsid w:val="008725C3"/>
    <w:rsid w:val="008732DA"/>
    <w:rsid w:val="0087340A"/>
    <w:rsid w:val="00875D4B"/>
    <w:rsid w:val="00876290"/>
    <w:rsid w:val="008770A9"/>
    <w:rsid w:val="008779FE"/>
    <w:rsid w:val="00877F70"/>
    <w:rsid w:val="008869B1"/>
    <w:rsid w:val="008871AA"/>
    <w:rsid w:val="00891CDB"/>
    <w:rsid w:val="00892CF7"/>
    <w:rsid w:val="00894D4C"/>
    <w:rsid w:val="00896F38"/>
    <w:rsid w:val="008A3EB4"/>
    <w:rsid w:val="008A44E8"/>
    <w:rsid w:val="008B266E"/>
    <w:rsid w:val="008B2990"/>
    <w:rsid w:val="008C1E5D"/>
    <w:rsid w:val="008C452E"/>
    <w:rsid w:val="008C5740"/>
    <w:rsid w:val="008C5CD4"/>
    <w:rsid w:val="008E343C"/>
    <w:rsid w:val="008E6D8A"/>
    <w:rsid w:val="00901235"/>
    <w:rsid w:val="0090162A"/>
    <w:rsid w:val="00903B76"/>
    <w:rsid w:val="009118CE"/>
    <w:rsid w:val="00920933"/>
    <w:rsid w:val="00923138"/>
    <w:rsid w:val="0092318E"/>
    <w:rsid w:val="0092427F"/>
    <w:rsid w:val="00925F8A"/>
    <w:rsid w:val="00930450"/>
    <w:rsid w:val="00930DCE"/>
    <w:rsid w:val="009421CB"/>
    <w:rsid w:val="0094567D"/>
    <w:rsid w:val="00946207"/>
    <w:rsid w:val="00951299"/>
    <w:rsid w:val="009518C8"/>
    <w:rsid w:val="00953A36"/>
    <w:rsid w:val="00956321"/>
    <w:rsid w:val="00961E2C"/>
    <w:rsid w:val="00961E54"/>
    <w:rsid w:val="009662E5"/>
    <w:rsid w:val="00970DEE"/>
    <w:rsid w:val="0097385E"/>
    <w:rsid w:val="0097448F"/>
    <w:rsid w:val="00974D99"/>
    <w:rsid w:val="0098593A"/>
    <w:rsid w:val="009A2B8C"/>
    <w:rsid w:val="009A38BB"/>
    <w:rsid w:val="009A45B8"/>
    <w:rsid w:val="009A55AA"/>
    <w:rsid w:val="009A78BD"/>
    <w:rsid w:val="009B0EFB"/>
    <w:rsid w:val="009B62CA"/>
    <w:rsid w:val="009B7702"/>
    <w:rsid w:val="009C10EF"/>
    <w:rsid w:val="009C1389"/>
    <w:rsid w:val="009C41A5"/>
    <w:rsid w:val="009C7674"/>
    <w:rsid w:val="009D0AB8"/>
    <w:rsid w:val="009D43FD"/>
    <w:rsid w:val="009D56AD"/>
    <w:rsid w:val="009D5FC8"/>
    <w:rsid w:val="009E2B22"/>
    <w:rsid w:val="009E552B"/>
    <w:rsid w:val="009E70E5"/>
    <w:rsid w:val="009E7420"/>
    <w:rsid w:val="009F3BAF"/>
    <w:rsid w:val="009F4662"/>
    <w:rsid w:val="00A01152"/>
    <w:rsid w:val="00A01DC0"/>
    <w:rsid w:val="00A05D26"/>
    <w:rsid w:val="00A06F7D"/>
    <w:rsid w:val="00A205B5"/>
    <w:rsid w:val="00A214EE"/>
    <w:rsid w:val="00A256FB"/>
    <w:rsid w:val="00A26699"/>
    <w:rsid w:val="00A305DA"/>
    <w:rsid w:val="00A40D9E"/>
    <w:rsid w:val="00A47AE2"/>
    <w:rsid w:val="00A52739"/>
    <w:rsid w:val="00A55010"/>
    <w:rsid w:val="00A62F78"/>
    <w:rsid w:val="00A65A7B"/>
    <w:rsid w:val="00A65AC0"/>
    <w:rsid w:val="00A706BF"/>
    <w:rsid w:val="00A71062"/>
    <w:rsid w:val="00A752D1"/>
    <w:rsid w:val="00A75487"/>
    <w:rsid w:val="00A763D9"/>
    <w:rsid w:val="00A8354F"/>
    <w:rsid w:val="00A85EFB"/>
    <w:rsid w:val="00A860AE"/>
    <w:rsid w:val="00A86C21"/>
    <w:rsid w:val="00A87583"/>
    <w:rsid w:val="00AA41CD"/>
    <w:rsid w:val="00AA6673"/>
    <w:rsid w:val="00AA6F92"/>
    <w:rsid w:val="00AA752D"/>
    <w:rsid w:val="00AB307C"/>
    <w:rsid w:val="00AC1BB0"/>
    <w:rsid w:val="00AC4DCE"/>
    <w:rsid w:val="00AC61CA"/>
    <w:rsid w:val="00AD34C9"/>
    <w:rsid w:val="00AD5A1D"/>
    <w:rsid w:val="00AD6757"/>
    <w:rsid w:val="00AE17BD"/>
    <w:rsid w:val="00AE541F"/>
    <w:rsid w:val="00AE641D"/>
    <w:rsid w:val="00AF041C"/>
    <w:rsid w:val="00AF2D22"/>
    <w:rsid w:val="00AF2E40"/>
    <w:rsid w:val="00AF3688"/>
    <w:rsid w:val="00B06CA3"/>
    <w:rsid w:val="00B1007F"/>
    <w:rsid w:val="00B137ED"/>
    <w:rsid w:val="00B207D5"/>
    <w:rsid w:val="00B222F1"/>
    <w:rsid w:val="00B23E28"/>
    <w:rsid w:val="00B3039A"/>
    <w:rsid w:val="00B32C35"/>
    <w:rsid w:val="00B344A7"/>
    <w:rsid w:val="00B37999"/>
    <w:rsid w:val="00B43E52"/>
    <w:rsid w:val="00B63401"/>
    <w:rsid w:val="00B70D25"/>
    <w:rsid w:val="00B75CDB"/>
    <w:rsid w:val="00B84223"/>
    <w:rsid w:val="00B84617"/>
    <w:rsid w:val="00B859B7"/>
    <w:rsid w:val="00B905B4"/>
    <w:rsid w:val="00B91A4A"/>
    <w:rsid w:val="00B952AA"/>
    <w:rsid w:val="00BA0B3C"/>
    <w:rsid w:val="00BA5180"/>
    <w:rsid w:val="00BB4F8A"/>
    <w:rsid w:val="00BC057F"/>
    <w:rsid w:val="00BC0BD4"/>
    <w:rsid w:val="00BC2EB3"/>
    <w:rsid w:val="00BC3F33"/>
    <w:rsid w:val="00BC500D"/>
    <w:rsid w:val="00BC6D45"/>
    <w:rsid w:val="00BD056B"/>
    <w:rsid w:val="00BD1B5C"/>
    <w:rsid w:val="00C03CF6"/>
    <w:rsid w:val="00C116B7"/>
    <w:rsid w:val="00C12B1E"/>
    <w:rsid w:val="00C1572B"/>
    <w:rsid w:val="00C219DC"/>
    <w:rsid w:val="00C3180F"/>
    <w:rsid w:val="00C32823"/>
    <w:rsid w:val="00C34F6F"/>
    <w:rsid w:val="00C35D34"/>
    <w:rsid w:val="00C37A95"/>
    <w:rsid w:val="00C37C30"/>
    <w:rsid w:val="00C43004"/>
    <w:rsid w:val="00C433A8"/>
    <w:rsid w:val="00C43710"/>
    <w:rsid w:val="00C4642D"/>
    <w:rsid w:val="00C47CAF"/>
    <w:rsid w:val="00C53A0C"/>
    <w:rsid w:val="00C64B47"/>
    <w:rsid w:val="00C71282"/>
    <w:rsid w:val="00C71FDD"/>
    <w:rsid w:val="00C72A5F"/>
    <w:rsid w:val="00C77D8E"/>
    <w:rsid w:val="00C8019A"/>
    <w:rsid w:val="00C907C0"/>
    <w:rsid w:val="00C90B87"/>
    <w:rsid w:val="00C90D62"/>
    <w:rsid w:val="00C9476D"/>
    <w:rsid w:val="00CA12CD"/>
    <w:rsid w:val="00CA5442"/>
    <w:rsid w:val="00CA5607"/>
    <w:rsid w:val="00CA5FD7"/>
    <w:rsid w:val="00CA6354"/>
    <w:rsid w:val="00CA74A7"/>
    <w:rsid w:val="00CA7653"/>
    <w:rsid w:val="00CB147F"/>
    <w:rsid w:val="00CB320B"/>
    <w:rsid w:val="00CB43DC"/>
    <w:rsid w:val="00CB4B7F"/>
    <w:rsid w:val="00CB613B"/>
    <w:rsid w:val="00CC482D"/>
    <w:rsid w:val="00CE0E96"/>
    <w:rsid w:val="00CE2915"/>
    <w:rsid w:val="00CE3348"/>
    <w:rsid w:val="00CE4513"/>
    <w:rsid w:val="00CE4F87"/>
    <w:rsid w:val="00CF24BF"/>
    <w:rsid w:val="00CF608A"/>
    <w:rsid w:val="00CF635A"/>
    <w:rsid w:val="00CF7E9A"/>
    <w:rsid w:val="00D03937"/>
    <w:rsid w:val="00D03D55"/>
    <w:rsid w:val="00D11BB0"/>
    <w:rsid w:val="00D1721E"/>
    <w:rsid w:val="00D2256D"/>
    <w:rsid w:val="00D25636"/>
    <w:rsid w:val="00D25ACE"/>
    <w:rsid w:val="00D26202"/>
    <w:rsid w:val="00D2722E"/>
    <w:rsid w:val="00D2769F"/>
    <w:rsid w:val="00D33ACB"/>
    <w:rsid w:val="00D34382"/>
    <w:rsid w:val="00D3467C"/>
    <w:rsid w:val="00D35CA4"/>
    <w:rsid w:val="00D37478"/>
    <w:rsid w:val="00D37A65"/>
    <w:rsid w:val="00D4173D"/>
    <w:rsid w:val="00D525BE"/>
    <w:rsid w:val="00D52F26"/>
    <w:rsid w:val="00D54372"/>
    <w:rsid w:val="00D55000"/>
    <w:rsid w:val="00D55B53"/>
    <w:rsid w:val="00D627E8"/>
    <w:rsid w:val="00D71146"/>
    <w:rsid w:val="00D72F2B"/>
    <w:rsid w:val="00D7585D"/>
    <w:rsid w:val="00D75C48"/>
    <w:rsid w:val="00D77889"/>
    <w:rsid w:val="00D824E9"/>
    <w:rsid w:val="00D831B3"/>
    <w:rsid w:val="00D84A8F"/>
    <w:rsid w:val="00D9449F"/>
    <w:rsid w:val="00D954D1"/>
    <w:rsid w:val="00DA055E"/>
    <w:rsid w:val="00DA1403"/>
    <w:rsid w:val="00DA2B24"/>
    <w:rsid w:val="00DA3C8F"/>
    <w:rsid w:val="00DA42C2"/>
    <w:rsid w:val="00DA4B14"/>
    <w:rsid w:val="00DA5D01"/>
    <w:rsid w:val="00DB5698"/>
    <w:rsid w:val="00DB6466"/>
    <w:rsid w:val="00DC692C"/>
    <w:rsid w:val="00DD2CE7"/>
    <w:rsid w:val="00DD4718"/>
    <w:rsid w:val="00DD573C"/>
    <w:rsid w:val="00DD5D93"/>
    <w:rsid w:val="00DD797E"/>
    <w:rsid w:val="00DE3921"/>
    <w:rsid w:val="00DF10D4"/>
    <w:rsid w:val="00DF159E"/>
    <w:rsid w:val="00DF2D44"/>
    <w:rsid w:val="00DF454A"/>
    <w:rsid w:val="00E01932"/>
    <w:rsid w:val="00E02AA8"/>
    <w:rsid w:val="00E054B5"/>
    <w:rsid w:val="00E11657"/>
    <w:rsid w:val="00E148B7"/>
    <w:rsid w:val="00E21381"/>
    <w:rsid w:val="00E24DE4"/>
    <w:rsid w:val="00E30AD6"/>
    <w:rsid w:val="00E3515F"/>
    <w:rsid w:val="00E3788D"/>
    <w:rsid w:val="00E44579"/>
    <w:rsid w:val="00E44C72"/>
    <w:rsid w:val="00E56F1B"/>
    <w:rsid w:val="00E6547A"/>
    <w:rsid w:val="00E66C50"/>
    <w:rsid w:val="00E679E5"/>
    <w:rsid w:val="00E72AB1"/>
    <w:rsid w:val="00E74BFF"/>
    <w:rsid w:val="00E8303B"/>
    <w:rsid w:val="00E84729"/>
    <w:rsid w:val="00E85F9A"/>
    <w:rsid w:val="00E86C6E"/>
    <w:rsid w:val="00E86CDC"/>
    <w:rsid w:val="00E9085A"/>
    <w:rsid w:val="00E92DCE"/>
    <w:rsid w:val="00E95304"/>
    <w:rsid w:val="00E963CD"/>
    <w:rsid w:val="00E9640A"/>
    <w:rsid w:val="00EA0D15"/>
    <w:rsid w:val="00EA1EE2"/>
    <w:rsid w:val="00EA2D4E"/>
    <w:rsid w:val="00EA3365"/>
    <w:rsid w:val="00EA395F"/>
    <w:rsid w:val="00EA39BB"/>
    <w:rsid w:val="00EA4186"/>
    <w:rsid w:val="00EA65AF"/>
    <w:rsid w:val="00EB15AE"/>
    <w:rsid w:val="00EB1CAC"/>
    <w:rsid w:val="00EB6952"/>
    <w:rsid w:val="00EB6D1B"/>
    <w:rsid w:val="00EB7086"/>
    <w:rsid w:val="00EC6EC0"/>
    <w:rsid w:val="00EC764E"/>
    <w:rsid w:val="00ED226B"/>
    <w:rsid w:val="00ED3143"/>
    <w:rsid w:val="00ED4055"/>
    <w:rsid w:val="00EE006D"/>
    <w:rsid w:val="00EE28CE"/>
    <w:rsid w:val="00EE58BD"/>
    <w:rsid w:val="00EE71B0"/>
    <w:rsid w:val="00EE739D"/>
    <w:rsid w:val="00EF00EC"/>
    <w:rsid w:val="00EF2326"/>
    <w:rsid w:val="00EF69DE"/>
    <w:rsid w:val="00F01E42"/>
    <w:rsid w:val="00F05D11"/>
    <w:rsid w:val="00F067E0"/>
    <w:rsid w:val="00F06E5E"/>
    <w:rsid w:val="00F122C3"/>
    <w:rsid w:val="00F12914"/>
    <w:rsid w:val="00F1372D"/>
    <w:rsid w:val="00F15AEC"/>
    <w:rsid w:val="00F16723"/>
    <w:rsid w:val="00F17B94"/>
    <w:rsid w:val="00F20F3F"/>
    <w:rsid w:val="00F20F5A"/>
    <w:rsid w:val="00F23783"/>
    <w:rsid w:val="00F254BA"/>
    <w:rsid w:val="00F256CC"/>
    <w:rsid w:val="00F30338"/>
    <w:rsid w:val="00F31AB4"/>
    <w:rsid w:val="00F350B4"/>
    <w:rsid w:val="00F36381"/>
    <w:rsid w:val="00F370EC"/>
    <w:rsid w:val="00F45ADF"/>
    <w:rsid w:val="00F4648F"/>
    <w:rsid w:val="00F46C85"/>
    <w:rsid w:val="00F530A5"/>
    <w:rsid w:val="00F53314"/>
    <w:rsid w:val="00F553A3"/>
    <w:rsid w:val="00F605F2"/>
    <w:rsid w:val="00F61EE5"/>
    <w:rsid w:val="00F62104"/>
    <w:rsid w:val="00F67F0D"/>
    <w:rsid w:val="00F75B62"/>
    <w:rsid w:val="00F77427"/>
    <w:rsid w:val="00F80FB3"/>
    <w:rsid w:val="00F83E78"/>
    <w:rsid w:val="00F8510C"/>
    <w:rsid w:val="00F90B0D"/>
    <w:rsid w:val="00F90B5B"/>
    <w:rsid w:val="00F90F6E"/>
    <w:rsid w:val="00F919D6"/>
    <w:rsid w:val="00FA007A"/>
    <w:rsid w:val="00FB0D8B"/>
    <w:rsid w:val="00FB22BA"/>
    <w:rsid w:val="00FB3D36"/>
    <w:rsid w:val="00FB4427"/>
    <w:rsid w:val="00FB4BAF"/>
    <w:rsid w:val="00FB51E2"/>
    <w:rsid w:val="00FB620B"/>
    <w:rsid w:val="00FB76AB"/>
    <w:rsid w:val="00FC0F4F"/>
    <w:rsid w:val="00FC0FBA"/>
    <w:rsid w:val="00FC3D2C"/>
    <w:rsid w:val="00FC4E9F"/>
    <w:rsid w:val="00FD11AB"/>
    <w:rsid w:val="00FD3847"/>
    <w:rsid w:val="00FD6D21"/>
    <w:rsid w:val="00FE0C69"/>
    <w:rsid w:val="00FF17AC"/>
    <w:rsid w:val="00FF6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17ED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5CB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D55"/>
    <w:rPr>
      <w:color w:val="0000FF" w:themeColor="hyperlink"/>
      <w:u w:val="single"/>
    </w:rPr>
  </w:style>
  <w:style w:type="paragraph" w:styleId="FootnoteText">
    <w:name w:val="footnote text"/>
    <w:basedOn w:val="Normal"/>
    <w:link w:val="FootnoteTextChar"/>
    <w:uiPriority w:val="99"/>
    <w:unhideWhenUsed/>
    <w:rsid w:val="00D03D55"/>
  </w:style>
  <w:style w:type="character" w:customStyle="1" w:styleId="FootnoteTextChar">
    <w:name w:val="Footnote Text Char"/>
    <w:basedOn w:val="DefaultParagraphFont"/>
    <w:link w:val="FootnoteText"/>
    <w:uiPriority w:val="99"/>
    <w:rsid w:val="00D03D55"/>
  </w:style>
  <w:style w:type="character" w:styleId="FootnoteReference">
    <w:name w:val="footnote reference"/>
    <w:basedOn w:val="DefaultParagraphFont"/>
    <w:uiPriority w:val="99"/>
    <w:unhideWhenUsed/>
    <w:rsid w:val="00D03D55"/>
    <w:rPr>
      <w:vertAlign w:val="superscript"/>
    </w:rPr>
  </w:style>
  <w:style w:type="paragraph" w:styleId="Header">
    <w:name w:val="header"/>
    <w:basedOn w:val="Normal"/>
    <w:link w:val="HeaderChar"/>
    <w:uiPriority w:val="99"/>
    <w:unhideWhenUsed/>
    <w:rsid w:val="00BA5180"/>
    <w:pPr>
      <w:tabs>
        <w:tab w:val="center" w:pos="4320"/>
        <w:tab w:val="right" w:pos="8640"/>
      </w:tabs>
    </w:pPr>
  </w:style>
  <w:style w:type="character" w:customStyle="1" w:styleId="HeaderChar">
    <w:name w:val="Header Char"/>
    <w:basedOn w:val="DefaultParagraphFont"/>
    <w:link w:val="Header"/>
    <w:uiPriority w:val="99"/>
    <w:rsid w:val="00BA5180"/>
  </w:style>
  <w:style w:type="paragraph" w:styleId="Footer">
    <w:name w:val="footer"/>
    <w:basedOn w:val="Normal"/>
    <w:link w:val="FooterChar"/>
    <w:uiPriority w:val="99"/>
    <w:unhideWhenUsed/>
    <w:rsid w:val="00BA5180"/>
    <w:pPr>
      <w:tabs>
        <w:tab w:val="center" w:pos="4320"/>
        <w:tab w:val="right" w:pos="8640"/>
      </w:tabs>
    </w:pPr>
  </w:style>
  <w:style w:type="character" w:customStyle="1" w:styleId="FooterChar">
    <w:name w:val="Footer Char"/>
    <w:basedOn w:val="DefaultParagraphFont"/>
    <w:link w:val="Footer"/>
    <w:uiPriority w:val="99"/>
    <w:rsid w:val="00BA5180"/>
  </w:style>
  <w:style w:type="character" w:customStyle="1" w:styleId="Heading1Char">
    <w:name w:val="Heading 1 Char"/>
    <w:basedOn w:val="DefaultParagraphFont"/>
    <w:link w:val="Heading1"/>
    <w:uiPriority w:val="9"/>
    <w:rsid w:val="007F5CB6"/>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AD5A1D"/>
  </w:style>
  <w:style w:type="character" w:styleId="FollowedHyperlink">
    <w:name w:val="FollowedHyperlink"/>
    <w:basedOn w:val="DefaultParagraphFont"/>
    <w:uiPriority w:val="99"/>
    <w:semiHidden/>
    <w:unhideWhenUsed/>
    <w:rsid w:val="0017272D"/>
    <w:rPr>
      <w:color w:val="800080" w:themeColor="followedHyperlink"/>
      <w:u w:val="single"/>
    </w:rPr>
  </w:style>
  <w:style w:type="paragraph" w:styleId="ListParagraph">
    <w:name w:val="List Paragraph"/>
    <w:basedOn w:val="Normal"/>
    <w:uiPriority w:val="34"/>
    <w:qFormat/>
    <w:rsid w:val="00267892"/>
    <w:pPr>
      <w:ind w:left="720"/>
      <w:contextualSpacing/>
    </w:pPr>
  </w:style>
  <w:style w:type="paragraph" w:styleId="BalloonText">
    <w:name w:val="Balloon Text"/>
    <w:basedOn w:val="Normal"/>
    <w:link w:val="BalloonTextChar"/>
    <w:uiPriority w:val="99"/>
    <w:semiHidden/>
    <w:unhideWhenUsed/>
    <w:rsid w:val="00DA14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1403"/>
    <w:rPr>
      <w:rFonts w:ascii="Lucida Grande" w:hAnsi="Lucida Grande" w:cs="Lucida Grande"/>
      <w:sz w:val="18"/>
      <w:szCs w:val="18"/>
    </w:rPr>
  </w:style>
  <w:style w:type="table" w:styleId="TableGrid">
    <w:name w:val="Table Grid"/>
    <w:basedOn w:val="TableNormal"/>
    <w:uiPriority w:val="59"/>
    <w:rsid w:val="003847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E4F87"/>
    <w:rPr>
      <w:sz w:val="18"/>
      <w:szCs w:val="18"/>
    </w:rPr>
  </w:style>
  <w:style w:type="paragraph" w:styleId="CommentText">
    <w:name w:val="annotation text"/>
    <w:basedOn w:val="Normal"/>
    <w:link w:val="CommentTextChar"/>
    <w:uiPriority w:val="99"/>
    <w:semiHidden/>
    <w:unhideWhenUsed/>
    <w:rsid w:val="00CE4F87"/>
  </w:style>
  <w:style w:type="character" w:customStyle="1" w:styleId="CommentTextChar">
    <w:name w:val="Comment Text Char"/>
    <w:basedOn w:val="DefaultParagraphFont"/>
    <w:link w:val="CommentText"/>
    <w:uiPriority w:val="99"/>
    <w:semiHidden/>
    <w:rsid w:val="00CE4F87"/>
  </w:style>
  <w:style w:type="paragraph" w:styleId="CommentSubject">
    <w:name w:val="annotation subject"/>
    <w:basedOn w:val="CommentText"/>
    <w:next w:val="CommentText"/>
    <w:link w:val="CommentSubjectChar"/>
    <w:uiPriority w:val="99"/>
    <w:semiHidden/>
    <w:unhideWhenUsed/>
    <w:rsid w:val="00CE4F87"/>
    <w:rPr>
      <w:b/>
      <w:bCs/>
      <w:sz w:val="20"/>
      <w:szCs w:val="20"/>
    </w:rPr>
  </w:style>
  <w:style w:type="character" w:customStyle="1" w:styleId="CommentSubjectChar">
    <w:name w:val="Comment Subject Char"/>
    <w:basedOn w:val="CommentTextChar"/>
    <w:link w:val="CommentSubject"/>
    <w:uiPriority w:val="99"/>
    <w:semiHidden/>
    <w:rsid w:val="00CE4F87"/>
    <w:rPr>
      <w:b/>
      <w:bCs/>
      <w:sz w:val="20"/>
      <w:szCs w:val="20"/>
    </w:rPr>
  </w:style>
  <w:style w:type="paragraph" w:styleId="Revision">
    <w:name w:val="Revision"/>
    <w:hidden/>
    <w:uiPriority w:val="99"/>
    <w:semiHidden/>
    <w:rsid w:val="00583C57"/>
  </w:style>
  <w:style w:type="paragraph" w:styleId="EndnoteText">
    <w:name w:val="endnote text"/>
    <w:basedOn w:val="Normal"/>
    <w:link w:val="EndnoteTextChar"/>
    <w:uiPriority w:val="99"/>
    <w:unhideWhenUsed/>
    <w:rsid w:val="00696839"/>
  </w:style>
  <w:style w:type="character" w:customStyle="1" w:styleId="EndnoteTextChar">
    <w:name w:val="Endnote Text Char"/>
    <w:basedOn w:val="DefaultParagraphFont"/>
    <w:link w:val="EndnoteText"/>
    <w:uiPriority w:val="99"/>
    <w:rsid w:val="00696839"/>
  </w:style>
  <w:style w:type="character" w:styleId="EndnoteReference">
    <w:name w:val="endnote reference"/>
    <w:basedOn w:val="DefaultParagraphFont"/>
    <w:uiPriority w:val="99"/>
    <w:unhideWhenUsed/>
    <w:rsid w:val="0069683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5CB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D55"/>
    <w:rPr>
      <w:color w:val="0000FF" w:themeColor="hyperlink"/>
      <w:u w:val="single"/>
    </w:rPr>
  </w:style>
  <w:style w:type="paragraph" w:styleId="FootnoteText">
    <w:name w:val="footnote text"/>
    <w:basedOn w:val="Normal"/>
    <w:link w:val="FootnoteTextChar"/>
    <w:uiPriority w:val="99"/>
    <w:unhideWhenUsed/>
    <w:rsid w:val="00D03D55"/>
  </w:style>
  <w:style w:type="character" w:customStyle="1" w:styleId="FootnoteTextChar">
    <w:name w:val="Footnote Text Char"/>
    <w:basedOn w:val="DefaultParagraphFont"/>
    <w:link w:val="FootnoteText"/>
    <w:uiPriority w:val="99"/>
    <w:rsid w:val="00D03D55"/>
  </w:style>
  <w:style w:type="character" w:styleId="FootnoteReference">
    <w:name w:val="footnote reference"/>
    <w:basedOn w:val="DefaultParagraphFont"/>
    <w:uiPriority w:val="99"/>
    <w:unhideWhenUsed/>
    <w:rsid w:val="00D03D55"/>
    <w:rPr>
      <w:vertAlign w:val="superscript"/>
    </w:rPr>
  </w:style>
  <w:style w:type="paragraph" w:styleId="Header">
    <w:name w:val="header"/>
    <w:basedOn w:val="Normal"/>
    <w:link w:val="HeaderChar"/>
    <w:uiPriority w:val="99"/>
    <w:unhideWhenUsed/>
    <w:rsid w:val="00BA5180"/>
    <w:pPr>
      <w:tabs>
        <w:tab w:val="center" w:pos="4320"/>
        <w:tab w:val="right" w:pos="8640"/>
      </w:tabs>
    </w:pPr>
  </w:style>
  <w:style w:type="character" w:customStyle="1" w:styleId="HeaderChar">
    <w:name w:val="Header Char"/>
    <w:basedOn w:val="DefaultParagraphFont"/>
    <w:link w:val="Header"/>
    <w:uiPriority w:val="99"/>
    <w:rsid w:val="00BA5180"/>
  </w:style>
  <w:style w:type="paragraph" w:styleId="Footer">
    <w:name w:val="footer"/>
    <w:basedOn w:val="Normal"/>
    <w:link w:val="FooterChar"/>
    <w:uiPriority w:val="99"/>
    <w:unhideWhenUsed/>
    <w:rsid w:val="00BA5180"/>
    <w:pPr>
      <w:tabs>
        <w:tab w:val="center" w:pos="4320"/>
        <w:tab w:val="right" w:pos="8640"/>
      </w:tabs>
    </w:pPr>
  </w:style>
  <w:style w:type="character" w:customStyle="1" w:styleId="FooterChar">
    <w:name w:val="Footer Char"/>
    <w:basedOn w:val="DefaultParagraphFont"/>
    <w:link w:val="Footer"/>
    <w:uiPriority w:val="99"/>
    <w:rsid w:val="00BA5180"/>
  </w:style>
  <w:style w:type="character" w:customStyle="1" w:styleId="Heading1Char">
    <w:name w:val="Heading 1 Char"/>
    <w:basedOn w:val="DefaultParagraphFont"/>
    <w:link w:val="Heading1"/>
    <w:uiPriority w:val="9"/>
    <w:rsid w:val="007F5CB6"/>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AD5A1D"/>
  </w:style>
  <w:style w:type="character" w:styleId="FollowedHyperlink">
    <w:name w:val="FollowedHyperlink"/>
    <w:basedOn w:val="DefaultParagraphFont"/>
    <w:uiPriority w:val="99"/>
    <w:semiHidden/>
    <w:unhideWhenUsed/>
    <w:rsid w:val="0017272D"/>
    <w:rPr>
      <w:color w:val="800080" w:themeColor="followedHyperlink"/>
      <w:u w:val="single"/>
    </w:rPr>
  </w:style>
  <w:style w:type="paragraph" w:styleId="ListParagraph">
    <w:name w:val="List Paragraph"/>
    <w:basedOn w:val="Normal"/>
    <w:uiPriority w:val="34"/>
    <w:qFormat/>
    <w:rsid w:val="00267892"/>
    <w:pPr>
      <w:ind w:left="720"/>
      <w:contextualSpacing/>
    </w:pPr>
  </w:style>
  <w:style w:type="paragraph" w:styleId="BalloonText">
    <w:name w:val="Balloon Text"/>
    <w:basedOn w:val="Normal"/>
    <w:link w:val="BalloonTextChar"/>
    <w:uiPriority w:val="99"/>
    <w:semiHidden/>
    <w:unhideWhenUsed/>
    <w:rsid w:val="00DA14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1403"/>
    <w:rPr>
      <w:rFonts w:ascii="Lucida Grande" w:hAnsi="Lucida Grande" w:cs="Lucida Grande"/>
      <w:sz w:val="18"/>
      <w:szCs w:val="18"/>
    </w:rPr>
  </w:style>
  <w:style w:type="table" w:styleId="TableGrid">
    <w:name w:val="Table Grid"/>
    <w:basedOn w:val="TableNormal"/>
    <w:uiPriority w:val="59"/>
    <w:rsid w:val="003847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E4F87"/>
    <w:rPr>
      <w:sz w:val="18"/>
      <w:szCs w:val="18"/>
    </w:rPr>
  </w:style>
  <w:style w:type="paragraph" w:styleId="CommentText">
    <w:name w:val="annotation text"/>
    <w:basedOn w:val="Normal"/>
    <w:link w:val="CommentTextChar"/>
    <w:uiPriority w:val="99"/>
    <w:semiHidden/>
    <w:unhideWhenUsed/>
    <w:rsid w:val="00CE4F87"/>
  </w:style>
  <w:style w:type="character" w:customStyle="1" w:styleId="CommentTextChar">
    <w:name w:val="Comment Text Char"/>
    <w:basedOn w:val="DefaultParagraphFont"/>
    <w:link w:val="CommentText"/>
    <w:uiPriority w:val="99"/>
    <w:semiHidden/>
    <w:rsid w:val="00CE4F87"/>
  </w:style>
  <w:style w:type="paragraph" w:styleId="CommentSubject">
    <w:name w:val="annotation subject"/>
    <w:basedOn w:val="CommentText"/>
    <w:next w:val="CommentText"/>
    <w:link w:val="CommentSubjectChar"/>
    <w:uiPriority w:val="99"/>
    <w:semiHidden/>
    <w:unhideWhenUsed/>
    <w:rsid w:val="00CE4F87"/>
    <w:rPr>
      <w:b/>
      <w:bCs/>
      <w:sz w:val="20"/>
      <w:szCs w:val="20"/>
    </w:rPr>
  </w:style>
  <w:style w:type="character" w:customStyle="1" w:styleId="CommentSubjectChar">
    <w:name w:val="Comment Subject Char"/>
    <w:basedOn w:val="CommentTextChar"/>
    <w:link w:val="CommentSubject"/>
    <w:uiPriority w:val="99"/>
    <w:semiHidden/>
    <w:rsid w:val="00CE4F87"/>
    <w:rPr>
      <w:b/>
      <w:bCs/>
      <w:sz w:val="20"/>
      <w:szCs w:val="20"/>
    </w:rPr>
  </w:style>
  <w:style w:type="paragraph" w:styleId="Revision">
    <w:name w:val="Revision"/>
    <w:hidden/>
    <w:uiPriority w:val="99"/>
    <w:semiHidden/>
    <w:rsid w:val="00583C57"/>
  </w:style>
  <w:style w:type="paragraph" w:styleId="EndnoteText">
    <w:name w:val="endnote text"/>
    <w:basedOn w:val="Normal"/>
    <w:link w:val="EndnoteTextChar"/>
    <w:uiPriority w:val="99"/>
    <w:unhideWhenUsed/>
    <w:rsid w:val="00696839"/>
  </w:style>
  <w:style w:type="character" w:customStyle="1" w:styleId="EndnoteTextChar">
    <w:name w:val="Endnote Text Char"/>
    <w:basedOn w:val="DefaultParagraphFont"/>
    <w:link w:val="EndnoteText"/>
    <w:uiPriority w:val="99"/>
    <w:rsid w:val="00696839"/>
  </w:style>
  <w:style w:type="character" w:styleId="EndnoteReference">
    <w:name w:val="endnote reference"/>
    <w:basedOn w:val="DefaultParagraphFont"/>
    <w:uiPriority w:val="99"/>
    <w:unhideWhenUsed/>
    <w:rsid w:val="006968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8751">
      <w:bodyDiv w:val="1"/>
      <w:marLeft w:val="0"/>
      <w:marRight w:val="0"/>
      <w:marTop w:val="0"/>
      <w:marBottom w:val="0"/>
      <w:divBdr>
        <w:top w:val="none" w:sz="0" w:space="0" w:color="auto"/>
        <w:left w:val="none" w:sz="0" w:space="0" w:color="auto"/>
        <w:bottom w:val="none" w:sz="0" w:space="0" w:color="auto"/>
        <w:right w:val="none" w:sz="0" w:space="0" w:color="auto"/>
      </w:divBdr>
    </w:div>
    <w:div w:id="35591647">
      <w:bodyDiv w:val="1"/>
      <w:marLeft w:val="0"/>
      <w:marRight w:val="0"/>
      <w:marTop w:val="0"/>
      <w:marBottom w:val="0"/>
      <w:divBdr>
        <w:top w:val="none" w:sz="0" w:space="0" w:color="auto"/>
        <w:left w:val="none" w:sz="0" w:space="0" w:color="auto"/>
        <w:bottom w:val="none" w:sz="0" w:space="0" w:color="auto"/>
        <w:right w:val="none" w:sz="0" w:space="0" w:color="auto"/>
      </w:divBdr>
    </w:div>
    <w:div w:id="47539373">
      <w:bodyDiv w:val="1"/>
      <w:marLeft w:val="0"/>
      <w:marRight w:val="0"/>
      <w:marTop w:val="0"/>
      <w:marBottom w:val="0"/>
      <w:divBdr>
        <w:top w:val="none" w:sz="0" w:space="0" w:color="auto"/>
        <w:left w:val="none" w:sz="0" w:space="0" w:color="auto"/>
        <w:bottom w:val="none" w:sz="0" w:space="0" w:color="auto"/>
        <w:right w:val="none" w:sz="0" w:space="0" w:color="auto"/>
      </w:divBdr>
    </w:div>
    <w:div w:id="153380621">
      <w:bodyDiv w:val="1"/>
      <w:marLeft w:val="0"/>
      <w:marRight w:val="0"/>
      <w:marTop w:val="0"/>
      <w:marBottom w:val="0"/>
      <w:divBdr>
        <w:top w:val="none" w:sz="0" w:space="0" w:color="auto"/>
        <w:left w:val="none" w:sz="0" w:space="0" w:color="auto"/>
        <w:bottom w:val="none" w:sz="0" w:space="0" w:color="auto"/>
        <w:right w:val="none" w:sz="0" w:space="0" w:color="auto"/>
      </w:divBdr>
    </w:div>
    <w:div w:id="159278754">
      <w:bodyDiv w:val="1"/>
      <w:marLeft w:val="0"/>
      <w:marRight w:val="0"/>
      <w:marTop w:val="0"/>
      <w:marBottom w:val="0"/>
      <w:divBdr>
        <w:top w:val="none" w:sz="0" w:space="0" w:color="auto"/>
        <w:left w:val="none" w:sz="0" w:space="0" w:color="auto"/>
        <w:bottom w:val="none" w:sz="0" w:space="0" w:color="auto"/>
        <w:right w:val="none" w:sz="0" w:space="0" w:color="auto"/>
      </w:divBdr>
    </w:div>
    <w:div w:id="946427139">
      <w:bodyDiv w:val="1"/>
      <w:marLeft w:val="0"/>
      <w:marRight w:val="0"/>
      <w:marTop w:val="0"/>
      <w:marBottom w:val="0"/>
      <w:divBdr>
        <w:top w:val="none" w:sz="0" w:space="0" w:color="auto"/>
        <w:left w:val="none" w:sz="0" w:space="0" w:color="auto"/>
        <w:bottom w:val="none" w:sz="0" w:space="0" w:color="auto"/>
        <w:right w:val="none" w:sz="0" w:space="0" w:color="auto"/>
      </w:divBdr>
    </w:div>
    <w:div w:id="1001783522">
      <w:bodyDiv w:val="1"/>
      <w:marLeft w:val="0"/>
      <w:marRight w:val="0"/>
      <w:marTop w:val="0"/>
      <w:marBottom w:val="0"/>
      <w:divBdr>
        <w:top w:val="none" w:sz="0" w:space="0" w:color="auto"/>
        <w:left w:val="none" w:sz="0" w:space="0" w:color="auto"/>
        <w:bottom w:val="none" w:sz="0" w:space="0" w:color="auto"/>
        <w:right w:val="none" w:sz="0" w:space="0" w:color="auto"/>
      </w:divBdr>
    </w:div>
    <w:div w:id="1046372711">
      <w:bodyDiv w:val="1"/>
      <w:marLeft w:val="0"/>
      <w:marRight w:val="0"/>
      <w:marTop w:val="0"/>
      <w:marBottom w:val="0"/>
      <w:divBdr>
        <w:top w:val="none" w:sz="0" w:space="0" w:color="auto"/>
        <w:left w:val="none" w:sz="0" w:space="0" w:color="auto"/>
        <w:bottom w:val="none" w:sz="0" w:space="0" w:color="auto"/>
        <w:right w:val="none" w:sz="0" w:space="0" w:color="auto"/>
      </w:divBdr>
    </w:div>
    <w:div w:id="1228418117">
      <w:bodyDiv w:val="1"/>
      <w:marLeft w:val="0"/>
      <w:marRight w:val="0"/>
      <w:marTop w:val="0"/>
      <w:marBottom w:val="0"/>
      <w:divBdr>
        <w:top w:val="none" w:sz="0" w:space="0" w:color="auto"/>
        <w:left w:val="none" w:sz="0" w:space="0" w:color="auto"/>
        <w:bottom w:val="none" w:sz="0" w:space="0" w:color="auto"/>
        <w:right w:val="none" w:sz="0" w:space="0" w:color="auto"/>
      </w:divBdr>
    </w:div>
    <w:div w:id="1239364735">
      <w:bodyDiv w:val="1"/>
      <w:marLeft w:val="0"/>
      <w:marRight w:val="0"/>
      <w:marTop w:val="0"/>
      <w:marBottom w:val="0"/>
      <w:divBdr>
        <w:top w:val="none" w:sz="0" w:space="0" w:color="auto"/>
        <w:left w:val="none" w:sz="0" w:space="0" w:color="auto"/>
        <w:bottom w:val="none" w:sz="0" w:space="0" w:color="auto"/>
        <w:right w:val="none" w:sz="0" w:space="0" w:color="auto"/>
      </w:divBdr>
    </w:div>
    <w:div w:id="1395394923">
      <w:bodyDiv w:val="1"/>
      <w:marLeft w:val="0"/>
      <w:marRight w:val="0"/>
      <w:marTop w:val="0"/>
      <w:marBottom w:val="0"/>
      <w:divBdr>
        <w:top w:val="none" w:sz="0" w:space="0" w:color="auto"/>
        <w:left w:val="none" w:sz="0" w:space="0" w:color="auto"/>
        <w:bottom w:val="none" w:sz="0" w:space="0" w:color="auto"/>
        <w:right w:val="none" w:sz="0" w:space="0" w:color="auto"/>
      </w:divBdr>
    </w:div>
    <w:div w:id="1451975546">
      <w:bodyDiv w:val="1"/>
      <w:marLeft w:val="0"/>
      <w:marRight w:val="0"/>
      <w:marTop w:val="0"/>
      <w:marBottom w:val="0"/>
      <w:divBdr>
        <w:top w:val="none" w:sz="0" w:space="0" w:color="auto"/>
        <w:left w:val="none" w:sz="0" w:space="0" w:color="auto"/>
        <w:bottom w:val="none" w:sz="0" w:space="0" w:color="auto"/>
        <w:right w:val="none" w:sz="0" w:space="0" w:color="auto"/>
      </w:divBdr>
    </w:div>
    <w:div w:id="1553688196">
      <w:bodyDiv w:val="1"/>
      <w:marLeft w:val="0"/>
      <w:marRight w:val="0"/>
      <w:marTop w:val="0"/>
      <w:marBottom w:val="0"/>
      <w:divBdr>
        <w:top w:val="none" w:sz="0" w:space="0" w:color="auto"/>
        <w:left w:val="none" w:sz="0" w:space="0" w:color="auto"/>
        <w:bottom w:val="none" w:sz="0" w:space="0" w:color="auto"/>
        <w:right w:val="none" w:sz="0" w:space="0" w:color="auto"/>
      </w:divBdr>
    </w:div>
    <w:div w:id="1563250396">
      <w:bodyDiv w:val="1"/>
      <w:marLeft w:val="0"/>
      <w:marRight w:val="0"/>
      <w:marTop w:val="0"/>
      <w:marBottom w:val="0"/>
      <w:divBdr>
        <w:top w:val="none" w:sz="0" w:space="0" w:color="auto"/>
        <w:left w:val="none" w:sz="0" w:space="0" w:color="auto"/>
        <w:bottom w:val="none" w:sz="0" w:space="0" w:color="auto"/>
        <w:right w:val="none" w:sz="0" w:space="0" w:color="auto"/>
      </w:divBdr>
    </w:div>
    <w:div w:id="1708023251">
      <w:bodyDiv w:val="1"/>
      <w:marLeft w:val="0"/>
      <w:marRight w:val="0"/>
      <w:marTop w:val="0"/>
      <w:marBottom w:val="0"/>
      <w:divBdr>
        <w:top w:val="none" w:sz="0" w:space="0" w:color="auto"/>
        <w:left w:val="none" w:sz="0" w:space="0" w:color="auto"/>
        <w:bottom w:val="none" w:sz="0" w:space="0" w:color="auto"/>
        <w:right w:val="none" w:sz="0" w:space="0" w:color="auto"/>
      </w:divBdr>
    </w:div>
    <w:div w:id="1755004715">
      <w:bodyDiv w:val="1"/>
      <w:marLeft w:val="0"/>
      <w:marRight w:val="0"/>
      <w:marTop w:val="0"/>
      <w:marBottom w:val="0"/>
      <w:divBdr>
        <w:top w:val="none" w:sz="0" w:space="0" w:color="auto"/>
        <w:left w:val="none" w:sz="0" w:space="0" w:color="auto"/>
        <w:bottom w:val="none" w:sz="0" w:space="0" w:color="auto"/>
        <w:right w:val="none" w:sz="0" w:space="0" w:color="auto"/>
      </w:divBdr>
    </w:div>
    <w:div w:id="1965116093">
      <w:bodyDiv w:val="1"/>
      <w:marLeft w:val="0"/>
      <w:marRight w:val="0"/>
      <w:marTop w:val="0"/>
      <w:marBottom w:val="0"/>
      <w:divBdr>
        <w:top w:val="none" w:sz="0" w:space="0" w:color="auto"/>
        <w:left w:val="none" w:sz="0" w:space="0" w:color="auto"/>
        <w:bottom w:val="none" w:sz="0" w:space="0" w:color="auto"/>
        <w:right w:val="none" w:sz="0" w:space="0" w:color="auto"/>
      </w:divBdr>
    </w:div>
    <w:div w:id="2037147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hyperlink" Target="http://www.top.org.nz/top8" TargetMode="External"/><Relationship Id="rId21" Type="http://schemas.openxmlformats.org/officeDocument/2006/relationships/hyperlink" Target="http://www.top.org.nz/top10" TargetMode="External"/><Relationship Id="rId22" Type="http://schemas.openxmlformats.org/officeDocument/2006/relationships/hyperlink" Target="http://www.top.org.nz/top4"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29" Type="http://schemas.microsoft.com/office/2011/relationships/people" Target="people.xml"/><Relationship Id="rId30" Type="http://schemas.microsoft.com/office/2011/relationships/commentsExtended" Target="commentsExtended.xml"/><Relationship Id="rId31" Type="http://schemas.microsoft.com/office/2016/09/relationships/commentsIds" Target="commentsIds.xml"/><Relationship Id="rId10" Type="http://schemas.openxmlformats.org/officeDocument/2006/relationships/chart" Target="charts/chart2.xml"/><Relationship Id="rId11" Type="http://schemas.openxmlformats.org/officeDocument/2006/relationships/hyperlink" Target="http://www.top.org.nz/top" TargetMode="External"/><Relationship Id="rId12" Type="http://schemas.openxmlformats.org/officeDocument/2006/relationships/hyperlink" Target="http://www.top.org.nz/top7" TargetMode="External"/><Relationship Id="rId13" Type="http://schemas.openxmlformats.org/officeDocument/2006/relationships/hyperlink" Target="http://www.top.org.nz/top5" TargetMode="External"/><Relationship Id="rId14" Type="http://schemas.openxmlformats.org/officeDocument/2006/relationships/hyperlink" Target="http://www.top.org.nz/top6" TargetMode="External"/><Relationship Id="rId15" Type="http://schemas.openxmlformats.org/officeDocument/2006/relationships/hyperlink" Target="http://www.top.org.nz/top7" TargetMode="External"/><Relationship Id="rId16" Type="http://schemas.openxmlformats.org/officeDocument/2006/relationships/hyperlink" Target="http://www.top.org.nz/top11" TargetMode="External"/><Relationship Id="rId17" Type="http://schemas.openxmlformats.org/officeDocument/2006/relationships/chart" Target="charts/chart3.xml"/><Relationship Id="rId18" Type="http://schemas.openxmlformats.org/officeDocument/2006/relationships/chart" Target="charts/chart4.xml"/><Relationship Id="rId19" Type="http://schemas.openxmlformats.org/officeDocument/2006/relationships/chart" Target="charts/chart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corrections.govt.nz/resources/strategic_reports/briefing_to_the_incoming_minister/briefing_to_the_incoming_minister_december_2016.html" TargetMode="External"/><Relationship Id="rId4" Type="http://schemas.openxmlformats.org/officeDocument/2006/relationships/hyperlink" Target="http://www.nzherald.co.nz/nz/news/article.cfm?c_id=1&amp;objectid=11730990" TargetMode="External"/><Relationship Id="rId5" Type="http://schemas.openxmlformats.org/officeDocument/2006/relationships/hyperlink" Target="http://www.justice.govt.nz/assets/Documents/Publications/Report-back-on-the-Alcohol-and-Other-Drug-Treatment-Court-Pilot-and-other-AOD-related-Initiatives-Paper.pdf" TargetMode="External"/><Relationship Id="rId6" Type="http://schemas.openxmlformats.org/officeDocument/2006/relationships/hyperlink" Target="http://www.wsipp.wa.gov/Reports/06-01-1201" TargetMode="External"/><Relationship Id="rId7" Type="http://schemas.openxmlformats.org/officeDocument/2006/relationships/hyperlink" Target="http://www.justice.govt.nz/assets/Documents/Publications/rj-Reoffending-Analysis-for-Restorative-Justice-Cases-2008-2013-Summary-Results.pdf" TargetMode="External"/><Relationship Id="rId8" Type="http://schemas.openxmlformats.org/officeDocument/2006/relationships/hyperlink" Target="http://nzdotstat.stats.govt.nz/wbos/Index.aspx?DataSetCode=TABLECODE7542" TargetMode="External"/><Relationship Id="rId1" Type="http://schemas.openxmlformats.org/officeDocument/2006/relationships/hyperlink" Target="http://www.corrections.govt.nz/resources/research_and_statistics/reconviction-patterns-of-released-prisoners-a-60-months-follow-up-analysis2.html" TargetMode="External"/><Relationship Id="rId2" Type="http://schemas.openxmlformats.org/officeDocument/2006/relationships/hyperlink" Target="http://www.equalitytrust.org.uk/imprisonmen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usang:Desktop:William's%20folder:DATA:NZ%20prison%20pop.%20rate%201950-2016%20(with%20graphs).xlsx" TargetMode="External"/><Relationship Id="rId2"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oleObject" Target="Workbook6"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Workbook5"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scatterChart>
        <c:scatterStyle val="smoothMarker"/>
        <c:varyColors val="0"/>
        <c:ser>
          <c:idx val="0"/>
          <c:order val="0"/>
          <c:tx>
            <c:strRef>
              <c:f>Sheet1!$E$6</c:f>
              <c:strCache>
                <c:ptCount val="1"/>
                <c:pt idx="0">
                  <c:v>Prison population rate</c:v>
                </c:pt>
              </c:strCache>
            </c:strRef>
          </c:tx>
          <c:marker>
            <c:symbol val="none"/>
          </c:marker>
          <c:xVal>
            <c:numRef>
              <c:f>Sheet1!$D$7:$D$25</c:f>
              <c:numCache>
                <c:formatCode>General</c:formatCode>
                <c:ptCount val="19"/>
                <c:pt idx="0">
                  <c:v>1950.0</c:v>
                </c:pt>
                <c:pt idx="1">
                  <c:v>1955.0</c:v>
                </c:pt>
                <c:pt idx="2">
                  <c:v>1960.0</c:v>
                </c:pt>
                <c:pt idx="3">
                  <c:v>1965.0</c:v>
                </c:pt>
                <c:pt idx="4">
                  <c:v>1970.0</c:v>
                </c:pt>
                <c:pt idx="5">
                  <c:v>1975.0</c:v>
                </c:pt>
                <c:pt idx="6">
                  <c:v>1980.0</c:v>
                </c:pt>
                <c:pt idx="7">
                  <c:v>1985.0</c:v>
                </c:pt>
                <c:pt idx="8">
                  <c:v>1990.0</c:v>
                </c:pt>
                <c:pt idx="9">
                  <c:v>1995.0</c:v>
                </c:pt>
                <c:pt idx="10">
                  <c:v>2000.0</c:v>
                </c:pt>
                <c:pt idx="11">
                  <c:v>2002.0</c:v>
                </c:pt>
                <c:pt idx="12">
                  <c:v>2004.0</c:v>
                </c:pt>
                <c:pt idx="13">
                  <c:v>2006.0</c:v>
                </c:pt>
                <c:pt idx="14">
                  <c:v>2008.0</c:v>
                </c:pt>
                <c:pt idx="15">
                  <c:v>2010.0</c:v>
                </c:pt>
                <c:pt idx="16">
                  <c:v>2012.0</c:v>
                </c:pt>
                <c:pt idx="17">
                  <c:v>2014.0</c:v>
                </c:pt>
                <c:pt idx="18">
                  <c:v>2016.0</c:v>
                </c:pt>
              </c:numCache>
            </c:numRef>
          </c:xVal>
          <c:yVal>
            <c:numRef>
              <c:f>Sheet1!$E$7:$E$25</c:f>
              <c:numCache>
                <c:formatCode>General</c:formatCode>
                <c:ptCount val="19"/>
                <c:pt idx="0">
                  <c:v>54.0</c:v>
                </c:pt>
                <c:pt idx="1">
                  <c:v>52.0</c:v>
                </c:pt>
                <c:pt idx="2">
                  <c:v>74.0</c:v>
                </c:pt>
                <c:pt idx="3">
                  <c:v>62.0</c:v>
                </c:pt>
                <c:pt idx="4">
                  <c:v>83.0</c:v>
                </c:pt>
                <c:pt idx="5">
                  <c:v>82.0</c:v>
                </c:pt>
                <c:pt idx="6">
                  <c:v>83.0</c:v>
                </c:pt>
                <c:pt idx="7">
                  <c:v>85.0</c:v>
                </c:pt>
                <c:pt idx="8">
                  <c:v>116.0</c:v>
                </c:pt>
                <c:pt idx="9">
                  <c:v>122.0</c:v>
                </c:pt>
                <c:pt idx="10">
                  <c:v>148.0</c:v>
                </c:pt>
                <c:pt idx="11">
                  <c:v>145.0</c:v>
                </c:pt>
                <c:pt idx="12">
                  <c:v>160.0</c:v>
                </c:pt>
                <c:pt idx="13">
                  <c:v>181.0</c:v>
                </c:pt>
                <c:pt idx="14">
                  <c:v>182.0</c:v>
                </c:pt>
                <c:pt idx="15">
                  <c:v>198.0</c:v>
                </c:pt>
                <c:pt idx="16">
                  <c:v>195.0</c:v>
                </c:pt>
                <c:pt idx="17">
                  <c:v>190.0</c:v>
                </c:pt>
                <c:pt idx="18">
                  <c:v>210.0</c:v>
                </c:pt>
              </c:numCache>
            </c:numRef>
          </c:yVal>
          <c:smooth val="1"/>
          <c:extLst xmlns:c16r2="http://schemas.microsoft.com/office/drawing/2015/06/chart">
            <c:ext xmlns:c16="http://schemas.microsoft.com/office/drawing/2014/chart" uri="{C3380CC4-5D6E-409C-BE32-E72D297353CC}">
              <c16:uniqueId val="{00000000-7BA5-42BA-A56D-F0B9627B64C6}"/>
            </c:ext>
          </c:extLst>
        </c:ser>
        <c:dLbls>
          <c:showLegendKey val="0"/>
          <c:showVal val="0"/>
          <c:showCatName val="0"/>
          <c:showSerName val="0"/>
          <c:showPercent val="0"/>
          <c:showBubbleSize val="0"/>
        </c:dLbls>
        <c:axId val="1845711096"/>
        <c:axId val="1846468376"/>
      </c:scatterChart>
      <c:valAx>
        <c:axId val="1845711096"/>
        <c:scaling>
          <c:orientation val="minMax"/>
        </c:scaling>
        <c:delete val="0"/>
        <c:axPos val="b"/>
        <c:numFmt formatCode="General" sourceLinked="1"/>
        <c:majorTickMark val="out"/>
        <c:minorTickMark val="none"/>
        <c:tickLblPos val="nextTo"/>
        <c:txPr>
          <a:bodyPr/>
          <a:lstStyle/>
          <a:p>
            <a:pPr>
              <a:defRPr lang="en-US" sz="800">
                <a:latin typeface="Arial Narrow"/>
                <a:cs typeface="Arial Narrow"/>
              </a:defRPr>
            </a:pPr>
            <a:endParaRPr lang="en-US"/>
          </a:p>
        </c:txPr>
        <c:crossAx val="1846468376"/>
        <c:crosses val="autoZero"/>
        <c:crossBetween val="midCat"/>
      </c:valAx>
      <c:valAx>
        <c:axId val="1846468376"/>
        <c:scaling>
          <c:orientation val="minMax"/>
        </c:scaling>
        <c:delete val="0"/>
        <c:axPos val="l"/>
        <c:majorGridlines/>
        <c:numFmt formatCode="General" sourceLinked="1"/>
        <c:majorTickMark val="out"/>
        <c:minorTickMark val="none"/>
        <c:tickLblPos val="nextTo"/>
        <c:txPr>
          <a:bodyPr/>
          <a:lstStyle/>
          <a:p>
            <a:pPr>
              <a:defRPr lang="en-US" sz="800">
                <a:latin typeface="Arial Narrow"/>
                <a:cs typeface="Arial Narrow"/>
              </a:defRPr>
            </a:pPr>
            <a:endParaRPr lang="en-US"/>
          </a:p>
        </c:txPr>
        <c:crossAx val="1845711096"/>
        <c:crosses val="autoZero"/>
        <c:crossBetween val="midCat"/>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latin typeface="Arial Narrow"/>
                <a:cs typeface="Arial Narrow"/>
              </a:defRPr>
            </a:pPr>
            <a:r>
              <a:rPr lang="en-US" i="1">
                <a:solidFill>
                  <a:schemeClr val="tx1">
                    <a:lumMod val="95000"/>
                    <a:lumOff val="5000"/>
                  </a:schemeClr>
                </a:solidFill>
              </a:rPr>
              <a:t>Re-conviction rate after prison at 5-years, for different ages</a:t>
            </a:r>
          </a:p>
        </c:rich>
      </c:tx>
      <c:layout/>
      <c:overlay val="0"/>
    </c:title>
    <c:autoTitleDeleted val="0"/>
    <c:plotArea>
      <c:layout/>
      <c:barChart>
        <c:barDir val="col"/>
        <c:grouping val="clustered"/>
        <c:varyColors val="0"/>
        <c:ser>
          <c:idx val="0"/>
          <c:order val="0"/>
          <c:tx>
            <c:strRef>
              <c:f>Sheet1!$F$47</c:f>
              <c:strCache>
                <c:ptCount val="1"/>
                <c:pt idx="0">
                  <c:v>Re-conviction rate at 5-years</c:v>
                </c:pt>
              </c:strCache>
            </c:strRef>
          </c:tx>
          <c:invertIfNegative val="0"/>
          <c:dPt>
            <c:idx val="2"/>
            <c:invertIfNegative val="0"/>
            <c:bubble3D val="0"/>
            <c:spPr>
              <a:solidFill>
                <a:schemeClr val="tx1">
                  <a:lumMod val="65000"/>
                  <a:lumOff val="35000"/>
                </a:schemeClr>
              </a:solidFill>
            </c:spPr>
            <c:extLst xmlns:c16r2="http://schemas.microsoft.com/office/drawing/2015/06/chart">
              <c:ext xmlns:c16="http://schemas.microsoft.com/office/drawing/2014/chart" uri="{C3380CC4-5D6E-409C-BE32-E72D297353CC}">
                <c16:uniqueId val="{00000001-81A0-4359-985B-D681EE93DF5E}"/>
              </c:ext>
            </c:extLst>
          </c:dPt>
          <c:dLbls>
            <c:dLbl>
              <c:idx val="0"/>
              <c:layout/>
              <c:tx>
                <c:rich>
                  <a:bodyPr/>
                  <a:lstStyle/>
                  <a:p>
                    <a:r>
                      <a:rPr lang="en-US" sz="900"/>
                      <a:t>51%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1A0-4359-985B-D681EE93DF5E}"/>
                </c:ext>
              </c:extLst>
            </c:dLbl>
            <c:dLbl>
              <c:idx val="1"/>
              <c:layout/>
              <c:tx>
                <c:rich>
                  <a:bodyPr/>
                  <a:lstStyle/>
                  <a:p>
                    <a:r>
                      <a:rPr lang="en-US" sz="900"/>
                      <a:t>69%</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1A0-4359-985B-D681EE93DF5E}"/>
                </c:ext>
              </c:extLst>
            </c:dLbl>
            <c:dLbl>
              <c:idx val="2"/>
              <c:layout/>
              <c:tx>
                <c:rich>
                  <a:bodyPr/>
                  <a:lstStyle/>
                  <a:p>
                    <a:r>
                      <a:rPr lang="en-US" sz="900"/>
                      <a:t>71%</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1A0-4359-985B-D681EE93DF5E}"/>
                </c:ext>
              </c:extLst>
            </c:dLbl>
            <c:dLbl>
              <c:idx val="3"/>
              <c:layout/>
              <c:tx>
                <c:rich>
                  <a:bodyPr/>
                  <a:lstStyle/>
                  <a:p>
                    <a:r>
                      <a:rPr lang="en-US" sz="900"/>
                      <a:t>74%</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1A0-4359-985B-D681EE93DF5E}"/>
                </c:ext>
              </c:extLst>
            </c:dLbl>
            <c:dLbl>
              <c:idx val="4"/>
              <c:layout/>
              <c:tx>
                <c:rich>
                  <a:bodyPr/>
                  <a:lstStyle/>
                  <a:p>
                    <a:r>
                      <a:rPr lang="en-US" sz="900"/>
                      <a:t>82%</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1A0-4359-985B-D681EE93DF5E}"/>
                </c:ext>
              </c:extLst>
            </c:dLbl>
            <c:dLbl>
              <c:idx val="5"/>
              <c:layout/>
              <c:tx>
                <c:rich>
                  <a:bodyPr/>
                  <a:lstStyle/>
                  <a:p>
                    <a:r>
                      <a:rPr lang="en-US" sz="900"/>
                      <a:t>88%</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1A0-4359-985B-D681EE93DF5E}"/>
                </c:ext>
              </c:extLst>
            </c:dLbl>
            <c:spPr>
              <a:noFill/>
              <a:ln>
                <a:noFill/>
              </a:ln>
              <a:effectLst/>
            </c:spPr>
            <c:txPr>
              <a:bodyPr/>
              <a:lstStyle/>
              <a:p>
                <a:pPr>
                  <a:defRPr sz="900">
                    <a:latin typeface="Arial Narrow"/>
                    <a:cs typeface="Arial Narrow"/>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Sheet1!$D$48:$E$53</c:f>
              <c:strCache>
                <c:ptCount val="6"/>
                <c:pt idx="0">
                  <c:v>40 &amp; over</c:v>
                </c:pt>
                <c:pt idx="1">
                  <c:v>30-39</c:v>
                </c:pt>
                <c:pt idx="2">
                  <c:v>All ages</c:v>
                </c:pt>
                <c:pt idx="3">
                  <c:v>25-29</c:v>
                </c:pt>
                <c:pt idx="4">
                  <c:v>20-24</c:v>
                </c:pt>
                <c:pt idx="5">
                  <c:v>Under 20</c:v>
                </c:pt>
              </c:strCache>
            </c:strRef>
          </c:cat>
          <c:val>
            <c:numRef>
              <c:f>Sheet1!$F$48:$F$53</c:f>
              <c:numCache>
                <c:formatCode>General</c:formatCode>
                <c:ptCount val="6"/>
                <c:pt idx="0">
                  <c:v>51.0</c:v>
                </c:pt>
                <c:pt idx="1">
                  <c:v>69.0</c:v>
                </c:pt>
                <c:pt idx="2">
                  <c:v>71.0</c:v>
                </c:pt>
                <c:pt idx="3">
                  <c:v>74.0</c:v>
                </c:pt>
                <c:pt idx="4">
                  <c:v>82.0</c:v>
                </c:pt>
                <c:pt idx="5">
                  <c:v>88.0</c:v>
                </c:pt>
              </c:numCache>
            </c:numRef>
          </c:val>
          <c:extLst xmlns:c16r2="http://schemas.microsoft.com/office/drawing/2015/06/chart">
            <c:ext xmlns:c16="http://schemas.microsoft.com/office/drawing/2014/chart" uri="{C3380CC4-5D6E-409C-BE32-E72D297353CC}">
              <c16:uniqueId val="{00000007-81A0-4359-985B-D681EE93DF5E}"/>
            </c:ext>
          </c:extLst>
        </c:ser>
        <c:dLbls>
          <c:showLegendKey val="0"/>
          <c:showVal val="1"/>
          <c:showCatName val="0"/>
          <c:showSerName val="0"/>
          <c:showPercent val="0"/>
          <c:showBubbleSize val="0"/>
        </c:dLbls>
        <c:gapWidth val="150"/>
        <c:overlap val="-25"/>
        <c:axId val="1875319864"/>
        <c:axId val="1852745016"/>
      </c:barChart>
      <c:catAx>
        <c:axId val="1875319864"/>
        <c:scaling>
          <c:orientation val="minMax"/>
        </c:scaling>
        <c:delete val="0"/>
        <c:axPos val="b"/>
        <c:numFmt formatCode="General" sourceLinked="0"/>
        <c:majorTickMark val="none"/>
        <c:minorTickMark val="none"/>
        <c:tickLblPos val="nextTo"/>
        <c:txPr>
          <a:bodyPr/>
          <a:lstStyle/>
          <a:p>
            <a:pPr>
              <a:defRPr sz="900" baseline="-25000">
                <a:latin typeface="Arial Narrow"/>
                <a:cs typeface="Arial Narrow"/>
              </a:defRPr>
            </a:pPr>
            <a:endParaRPr lang="en-US"/>
          </a:p>
        </c:txPr>
        <c:crossAx val="1852745016"/>
        <c:crosses val="autoZero"/>
        <c:auto val="1"/>
        <c:lblAlgn val="ctr"/>
        <c:lblOffset val="100"/>
        <c:noMultiLvlLbl val="0"/>
      </c:catAx>
      <c:valAx>
        <c:axId val="1852745016"/>
        <c:scaling>
          <c:orientation val="minMax"/>
        </c:scaling>
        <c:delete val="1"/>
        <c:axPos val="l"/>
        <c:numFmt formatCode="General" sourceLinked="1"/>
        <c:majorTickMark val="none"/>
        <c:minorTickMark val="none"/>
        <c:tickLblPos val="nextTo"/>
        <c:crossAx val="187531986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latin typeface="Arial Narrow"/>
                <a:cs typeface="Arial Narrow"/>
              </a:defRPr>
            </a:pPr>
            <a:r>
              <a:rPr lang="en-NZ" sz="1050" i="1" baseline="0">
                <a:latin typeface="Arial Narrow"/>
                <a:cs typeface="Arial Narrow"/>
              </a:rPr>
              <a:t>General &amp; prison populations - </a:t>
            </a:r>
            <a:r>
              <a:rPr lang="en-NZ" sz="1050" i="1">
                <a:latin typeface="Arial Narrow"/>
                <a:cs typeface="Arial Narrow"/>
              </a:rPr>
              <a:t>% with any mental disorder</a:t>
            </a:r>
          </a:p>
        </c:rich>
      </c:tx>
      <c:layout/>
      <c:overlay val="0"/>
    </c:title>
    <c:autoTitleDeleted val="0"/>
    <c:plotArea>
      <c:layout/>
      <c:barChart>
        <c:barDir val="col"/>
        <c:grouping val="clustered"/>
        <c:varyColors val="0"/>
        <c:ser>
          <c:idx val="0"/>
          <c:order val="0"/>
          <c:tx>
            <c:strRef>
              <c:f>Sheet1!$P$8</c:f>
              <c:strCache>
                <c:ptCount val="1"/>
                <c:pt idx="0">
                  <c:v>% with any mental disorder</c:v>
                </c:pt>
              </c:strCache>
            </c:strRef>
          </c:tx>
          <c:invertIfNegative val="0"/>
          <c:dPt>
            <c:idx val="0"/>
            <c:invertIfNegative val="0"/>
            <c:bubble3D val="0"/>
            <c:spPr>
              <a:solidFill>
                <a:schemeClr val="accent1"/>
              </a:solidFill>
            </c:spPr>
            <c:extLst xmlns:c16r2="http://schemas.microsoft.com/office/drawing/2015/06/chart">
              <c:ext xmlns:c16="http://schemas.microsoft.com/office/drawing/2014/chart" uri="{C3380CC4-5D6E-409C-BE32-E72D297353CC}">
                <c16:uniqueId val="{00000001-91F2-4F8D-8D89-D1D5A1F046A7}"/>
              </c:ext>
            </c:extLst>
          </c:dPt>
          <c:dPt>
            <c:idx val="1"/>
            <c:invertIfNegative val="0"/>
            <c:bubble3D val="0"/>
            <c:spPr>
              <a:solidFill>
                <a:schemeClr val="tx1">
                  <a:lumMod val="65000"/>
                  <a:lumOff val="35000"/>
                </a:schemeClr>
              </a:solidFill>
            </c:spPr>
            <c:extLst xmlns:c16r2="http://schemas.microsoft.com/office/drawing/2015/06/chart">
              <c:ext xmlns:c16="http://schemas.microsoft.com/office/drawing/2014/chart" uri="{C3380CC4-5D6E-409C-BE32-E72D297353CC}">
                <c16:uniqueId val="{00000003-91F2-4F8D-8D89-D1D5A1F046A7}"/>
              </c:ext>
            </c:extLst>
          </c:dPt>
          <c:cat>
            <c:strRef>
              <c:f>Sheet1!$Q$7:$R$7</c:f>
              <c:strCache>
                <c:ptCount val="2"/>
                <c:pt idx="0">
                  <c:v>General population</c:v>
                </c:pt>
                <c:pt idx="1">
                  <c:v>Prison population</c:v>
                </c:pt>
              </c:strCache>
            </c:strRef>
          </c:cat>
          <c:val>
            <c:numRef>
              <c:f>Sheet1!$Q$8:$R$8</c:f>
              <c:numCache>
                <c:formatCode>General</c:formatCode>
                <c:ptCount val="2"/>
                <c:pt idx="0">
                  <c:v>21.0</c:v>
                </c:pt>
                <c:pt idx="1">
                  <c:v>62.0</c:v>
                </c:pt>
              </c:numCache>
            </c:numRef>
          </c:val>
          <c:extLst xmlns:c16r2="http://schemas.microsoft.com/office/drawing/2015/06/chart">
            <c:ext xmlns:c16="http://schemas.microsoft.com/office/drawing/2014/chart" uri="{C3380CC4-5D6E-409C-BE32-E72D297353CC}">
              <c16:uniqueId val="{00000004-91F2-4F8D-8D89-D1D5A1F046A7}"/>
            </c:ext>
          </c:extLst>
        </c:ser>
        <c:dLbls>
          <c:showLegendKey val="0"/>
          <c:showVal val="0"/>
          <c:showCatName val="0"/>
          <c:showSerName val="0"/>
          <c:showPercent val="0"/>
          <c:showBubbleSize val="0"/>
        </c:dLbls>
        <c:gapWidth val="150"/>
        <c:axId val="1667608264"/>
        <c:axId val="1504241448"/>
      </c:barChart>
      <c:catAx>
        <c:axId val="1667608264"/>
        <c:scaling>
          <c:orientation val="minMax"/>
        </c:scaling>
        <c:delete val="0"/>
        <c:axPos val="b"/>
        <c:numFmt formatCode="General" sourceLinked="0"/>
        <c:majorTickMark val="none"/>
        <c:minorTickMark val="none"/>
        <c:tickLblPos val="nextTo"/>
        <c:txPr>
          <a:bodyPr/>
          <a:lstStyle/>
          <a:p>
            <a:pPr>
              <a:defRPr lang="en-US"/>
            </a:pPr>
            <a:endParaRPr lang="en-US"/>
          </a:p>
        </c:txPr>
        <c:crossAx val="1504241448"/>
        <c:crosses val="autoZero"/>
        <c:auto val="1"/>
        <c:lblAlgn val="ctr"/>
        <c:lblOffset val="100"/>
        <c:noMultiLvlLbl val="0"/>
      </c:catAx>
      <c:valAx>
        <c:axId val="1504241448"/>
        <c:scaling>
          <c:orientation val="minMax"/>
        </c:scaling>
        <c:delete val="0"/>
        <c:axPos val="l"/>
        <c:majorGridlines/>
        <c:title>
          <c:tx>
            <c:rich>
              <a:bodyPr/>
              <a:lstStyle/>
              <a:p>
                <a:pPr>
                  <a:defRPr lang="en-US"/>
                </a:pPr>
                <a:r>
                  <a:rPr lang="en-US"/>
                  <a:t>%</a:t>
                </a:r>
              </a:p>
            </c:rich>
          </c:tx>
          <c:layout/>
          <c:overlay val="0"/>
        </c:title>
        <c:numFmt formatCode="General" sourceLinked="1"/>
        <c:majorTickMark val="none"/>
        <c:minorTickMark val="none"/>
        <c:tickLblPos val="nextTo"/>
        <c:txPr>
          <a:bodyPr/>
          <a:lstStyle/>
          <a:p>
            <a:pPr>
              <a:defRPr lang="en-US">
                <a:latin typeface="Arial Narrow"/>
                <a:cs typeface="Arial Narrow"/>
              </a:defRPr>
            </a:pPr>
            <a:endParaRPr lang="en-US"/>
          </a:p>
        </c:txPr>
        <c:crossAx val="1667608264"/>
        <c:crosses val="autoZero"/>
        <c:crossBetween val="between"/>
      </c:valAx>
      <c:dTable>
        <c:showHorzBorder val="1"/>
        <c:showVertBorder val="1"/>
        <c:showOutline val="1"/>
        <c:showKeys val="1"/>
        <c:txPr>
          <a:bodyPr/>
          <a:lstStyle/>
          <a:p>
            <a:pPr rtl="0">
              <a:defRPr lang="en-US">
                <a:latin typeface="Arial Narrow"/>
                <a:cs typeface="Arial Narrow"/>
              </a:defRPr>
            </a:pPr>
            <a:endParaRPr lang="en-US"/>
          </a:p>
        </c:txPr>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000"/>
            </a:pPr>
            <a:r>
              <a:rPr lang="en-NZ" sz="1000" i="1" baseline="0">
                <a:latin typeface="Arial Narrow"/>
                <a:cs typeface="Arial Narrow"/>
              </a:rPr>
              <a:t>Operating expenditure, New Zealand prisons - 1999/00-2017/18 ($millions) </a:t>
            </a:r>
            <a:endParaRPr lang="en-NZ" sz="1000" i="1">
              <a:latin typeface="Arial Narrow"/>
              <a:cs typeface="Arial Narrow"/>
            </a:endParaRPr>
          </a:p>
        </c:rich>
      </c:tx>
      <c:layout/>
      <c:overlay val="0"/>
    </c:title>
    <c:autoTitleDeleted val="0"/>
    <c:plotArea>
      <c:layout/>
      <c:lineChart>
        <c:grouping val="standard"/>
        <c:varyColors val="0"/>
        <c:ser>
          <c:idx val="0"/>
          <c:order val="0"/>
          <c:marker>
            <c:symbol val="none"/>
          </c:marker>
          <c:cat>
            <c:strRef>
              <c:f>Sheet1!$F$29:$F$47</c:f>
              <c:strCache>
                <c:ptCount val="19"/>
                <c:pt idx="0">
                  <c:v>1999/00</c:v>
                </c:pt>
                <c:pt idx="1">
                  <c:v>2000/01</c:v>
                </c:pt>
                <c:pt idx="2">
                  <c:v>2001/02</c:v>
                </c:pt>
                <c:pt idx="3">
                  <c:v>2002/03</c:v>
                </c:pt>
                <c:pt idx="4">
                  <c:v>2003/04</c:v>
                </c:pt>
                <c:pt idx="5">
                  <c:v>2004/05</c:v>
                </c:pt>
                <c:pt idx="6">
                  <c:v>2005/06</c:v>
                </c:pt>
                <c:pt idx="7">
                  <c:v>2006/07</c:v>
                </c:pt>
                <c:pt idx="8">
                  <c:v>2007/08</c:v>
                </c:pt>
                <c:pt idx="9">
                  <c:v>2008/09</c:v>
                </c:pt>
                <c:pt idx="10">
                  <c:v>2009/10</c:v>
                </c:pt>
                <c:pt idx="11">
                  <c:v>2010/11</c:v>
                </c:pt>
                <c:pt idx="12">
                  <c:v>2011/12</c:v>
                </c:pt>
                <c:pt idx="13">
                  <c:v>2012/13</c:v>
                </c:pt>
                <c:pt idx="14">
                  <c:v>2013/14</c:v>
                </c:pt>
                <c:pt idx="15">
                  <c:v>2014/15</c:v>
                </c:pt>
                <c:pt idx="16">
                  <c:v>2015/16</c:v>
                </c:pt>
                <c:pt idx="17">
                  <c:v>2016/17</c:v>
                </c:pt>
                <c:pt idx="18">
                  <c:v>2017/18</c:v>
                </c:pt>
              </c:strCache>
            </c:strRef>
          </c:cat>
          <c:val>
            <c:numRef>
              <c:f>Sheet1!$G$29:$G$47</c:f>
              <c:numCache>
                <c:formatCode>General</c:formatCode>
                <c:ptCount val="19"/>
                <c:pt idx="0">
                  <c:v>237.0</c:v>
                </c:pt>
                <c:pt idx="1">
                  <c:v>257.0</c:v>
                </c:pt>
                <c:pt idx="2">
                  <c:v>279.0</c:v>
                </c:pt>
                <c:pt idx="3">
                  <c:v>277.0</c:v>
                </c:pt>
                <c:pt idx="4">
                  <c:v>271.0</c:v>
                </c:pt>
                <c:pt idx="5">
                  <c:v>328.0</c:v>
                </c:pt>
                <c:pt idx="6">
                  <c:v>374.0</c:v>
                </c:pt>
                <c:pt idx="7">
                  <c:v>425.0</c:v>
                </c:pt>
                <c:pt idx="8">
                  <c:v>506.0</c:v>
                </c:pt>
                <c:pt idx="9">
                  <c:v>554.0</c:v>
                </c:pt>
                <c:pt idx="10">
                  <c:v>591.0</c:v>
                </c:pt>
                <c:pt idx="11">
                  <c:v>581.0</c:v>
                </c:pt>
                <c:pt idx="12">
                  <c:v>584.0</c:v>
                </c:pt>
                <c:pt idx="13">
                  <c:v>757.0</c:v>
                </c:pt>
                <c:pt idx="14">
                  <c:v>753.0</c:v>
                </c:pt>
                <c:pt idx="15">
                  <c:v>728.0</c:v>
                </c:pt>
                <c:pt idx="16">
                  <c:v>814.0</c:v>
                </c:pt>
                <c:pt idx="17">
                  <c:v>900.0</c:v>
                </c:pt>
                <c:pt idx="18">
                  <c:v>938.0</c:v>
                </c:pt>
              </c:numCache>
            </c:numRef>
          </c:val>
          <c:smooth val="0"/>
          <c:extLst xmlns:c16r2="http://schemas.microsoft.com/office/drawing/2015/06/chart">
            <c:ext xmlns:c16="http://schemas.microsoft.com/office/drawing/2014/chart" uri="{C3380CC4-5D6E-409C-BE32-E72D297353CC}">
              <c16:uniqueId val="{00000000-8B7C-45DF-97C8-E0BF8E332868}"/>
            </c:ext>
          </c:extLst>
        </c:ser>
        <c:dLbls>
          <c:showLegendKey val="0"/>
          <c:showVal val="0"/>
          <c:showCatName val="0"/>
          <c:showSerName val="0"/>
          <c:showPercent val="0"/>
          <c:showBubbleSize val="0"/>
        </c:dLbls>
        <c:marker val="1"/>
        <c:smooth val="0"/>
        <c:axId val="1846358504"/>
        <c:axId val="1877286152"/>
      </c:lineChart>
      <c:catAx>
        <c:axId val="1846358504"/>
        <c:scaling>
          <c:orientation val="minMax"/>
        </c:scaling>
        <c:delete val="0"/>
        <c:axPos val="b"/>
        <c:numFmt formatCode="General" sourceLinked="0"/>
        <c:majorTickMark val="none"/>
        <c:minorTickMark val="none"/>
        <c:tickLblPos val="nextTo"/>
        <c:txPr>
          <a:bodyPr/>
          <a:lstStyle/>
          <a:p>
            <a:pPr>
              <a:defRPr lang="en-US" sz="900">
                <a:latin typeface="Arial Narrow"/>
                <a:cs typeface="Arial Narrow"/>
              </a:defRPr>
            </a:pPr>
            <a:endParaRPr lang="en-US"/>
          </a:p>
        </c:txPr>
        <c:crossAx val="1877286152"/>
        <c:crosses val="autoZero"/>
        <c:auto val="1"/>
        <c:lblAlgn val="ctr"/>
        <c:lblOffset val="100"/>
        <c:noMultiLvlLbl val="0"/>
      </c:catAx>
      <c:valAx>
        <c:axId val="1877286152"/>
        <c:scaling>
          <c:orientation val="minMax"/>
        </c:scaling>
        <c:delete val="0"/>
        <c:axPos val="l"/>
        <c:majorGridlines/>
        <c:title>
          <c:tx>
            <c:rich>
              <a:bodyPr/>
              <a:lstStyle/>
              <a:p>
                <a:pPr>
                  <a:defRPr lang="en-US">
                    <a:latin typeface="Arial Narrow"/>
                    <a:cs typeface="Arial Narrow"/>
                  </a:defRPr>
                </a:pPr>
                <a:r>
                  <a:rPr lang="en-US">
                    <a:latin typeface="Arial Narrow"/>
                    <a:cs typeface="Arial Narrow"/>
                  </a:rPr>
                  <a:t>$ imillions </a:t>
                </a:r>
              </a:p>
            </c:rich>
          </c:tx>
          <c:layout/>
          <c:overlay val="0"/>
        </c:title>
        <c:numFmt formatCode="General" sourceLinked="1"/>
        <c:majorTickMark val="none"/>
        <c:minorTickMark val="none"/>
        <c:tickLblPos val="nextTo"/>
        <c:txPr>
          <a:bodyPr/>
          <a:lstStyle/>
          <a:p>
            <a:pPr>
              <a:defRPr lang="en-US" sz="900">
                <a:latin typeface="Arial Narrow"/>
                <a:cs typeface="Arial Narrow"/>
              </a:defRPr>
            </a:pPr>
            <a:endParaRPr lang="en-US"/>
          </a:p>
        </c:txPr>
        <c:crossAx val="184635850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50">
                <a:latin typeface="Arial"/>
                <a:cs typeface="Arial"/>
              </a:defRPr>
            </a:pPr>
            <a:r>
              <a:rPr lang="en-US" sz="1050" i="1" baseline="0">
                <a:latin typeface="Arial"/>
                <a:cs typeface="Arial"/>
              </a:rPr>
              <a:t>New Zealand prison population - trendline projection </a:t>
            </a:r>
            <a:endParaRPr lang="en-US" sz="1050" i="1">
              <a:latin typeface="Arial"/>
              <a:cs typeface="Arial"/>
            </a:endParaRPr>
          </a:p>
        </c:rich>
      </c:tx>
      <c:layout/>
      <c:overlay val="0"/>
    </c:title>
    <c:autoTitleDeleted val="0"/>
    <c:plotArea>
      <c:layout/>
      <c:scatterChart>
        <c:scatterStyle val="lineMarker"/>
        <c:varyColors val="0"/>
        <c:ser>
          <c:idx val="0"/>
          <c:order val="0"/>
          <c:tx>
            <c:strRef>
              <c:f>Sheet1!$I$10</c:f>
              <c:strCache>
                <c:ptCount val="1"/>
                <c:pt idx="0">
                  <c:v>Prison population</c:v>
                </c:pt>
              </c:strCache>
            </c:strRef>
          </c:tx>
          <c:spPr>
            <a:ln w="47625">
              <a:noFill/>
            </a:ln>
          </c:spPr>
          <c:trendline>
            <c:trendlineType val="linear"/>
            <c:dispRSqr val="0"/>
            <c:dispEq val="0"/>
          </c:trendline>
          <c:trendline>
            <c:trendlineType val="linear"/>
            <c:dispRSqr val="1"/>
            <c:dispEq val="1"/>
            <c:trendlineLbl>
              <c:layout>
                <c:manualLayout>
                  <c:x val="0.109914808841666"/>
                  <c:y val="0.432626661875674"/>
                </c:manualLayout>
              </c:layout>
              <c:numFmt formatCode="General" sourceLinked="0"/>
            </c:trendlineLbl>
          </c:trendline>
          <c:xVal>
            <c:numRef>
              <c:f>Sheet1!$H$11:$H$39</c:f>
              <c:numCache>
                <c:formatCode>General</c:formatCode>
                <c:ptCount val="29"/>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pt idx="14">
                  <c:v>2014.0</c:v>
                </c:pt>
                <c:pt idx="15">
                  <c:v>2015.0</c:v>
                </c:pt>
                <c:pt idx="16">
                  <c:v>2016.0</c:v>
                </c:pt>
                <c:pt idx="17">
                  <c:v>2017.0</c:v>
                </c:pt>
                <c:pt idx="18">
                  <c:v>2018.0</c:v>
                </c:pt>
                <c:pt idx="19">
                  <c:v>2019.0</c:v>
                </c:pt>
                <c:pt idx="20">
                  <c:v>2020.0</c:v>
                </c:pt>
                <c:pt idx="21">
                  <c:v>2021.0</c:v>
                </c:pt>
                <c:pt idx="22">
                  <c:v>2022.0</c:v>
                </c:pt>
                <c:pt idx="23">
                  <c:v>2023.0</c:v>
                </c:pt>
                <c:pt idx="24">
                  <c:v>2024.0</c:v>
                </c:pt>
                <c:pt idx="25">
                  <c:v>2025.0</c:v>
                </c:pt>
                <c:pt idx="26">
                  <c:v>2027.0</c:v>
                </c:pt>
                <c:pt idx="27">
                  <c:v>2028.0</c:v>
                </c:pt>
                <c:pt idx="28">
                  <c:v>2029.0</c:v>
                </c:pt>
              </c:numCache>
            </c:numRef>
          </c:xVal>
          <c:yVal>
            <c:numRef>
              <c:f>Sheet1!$I$11:$I$39</c:f>
              <c:numCache>
                <c:formatCode>General</c:formatCode>
                <c:ptCount val="29"/>
                <c:pt idx="0">
                  <c:v>5720.0</c:v>
                </c:pt>
                <c:pt idx="2">
                  <c:v>5738.0</c:v>
                </c:pt>
                <c:pt idx="4">
                  <c:v>6556.0</c:v>
                </c:pt>
                <c:pt idx="6">
                  <c:v>7595.0</c:v>
                </c:pt>
                <c:pt idx="8">
                  <c:v>7763.0</c:v>
                </c:pt>
                <c:pt idx="10">
                  <c:v>8604.0</c:v>
                </c:pt>
                <c:pt idx="12">
                  <c:v>8618.0</c:v>
                </c:pt>
                <c:pt idx="14">
                  <c:v>8571.0</c:v>
                </c:pt>
                <c:pt idx="16" formatCode="#,##0">
                  <c:v>10000.0</c:v>
                </c:pt>
              </c:numCache>
            </c:numRef>
          </c:yVal>
          <c:smooth val="0"/>
          <c:extLst xmlns:c16r2="http://schemas.microsoft.com/office/drawing/2015/06/chart">
            <c:ext xmlns:c16="http://schemas.microsoft.com/office/drawing/2014/chart" uri="{C3380CC4-5D6E-409C-BE32-E72D297353CC}">
              <c16:uniqueId val="{00000002-0A11-42CF-B800-F154D5491DA2}"/>
            </c:ext>
          </c:extLst>
        </c:ser>
        <c:dLbls>
          <c:showLegendKey val="0"/>
          <c:showVal val="0"/>
          <c:showCatName val="0"/>
          <c:showSerName val="0"/>
          <c:showPercent val="0"/>
          <c:showBubbleSize val="0"/>
        </c:dLbls>
        <c:axId val="1833313672"/>
        <c:axId val="1877385816"/>
      </c:scatterChart>
      <c:valAx>
        <c:axId val="1833313672"/>
        <c:scaling>
          <c:orientation val="minMax"/>
        </c:scaling>
        <c:delete val="0"/>
        <c:axPos val="b"/>
        <c:numFmt formatCode="General" sourceLinked="1"/>
        <c:majorTickMark val="out"/>
        <c:minorTickMark val="none"/>
        <c:tickLblPos val="nextTo"/>
        <c:txPr>
          <a:bodyPr/>
          <a:lstStyle/>
          <a:p>
            <a:pPr>
              <a:defRPr sz="900">
                <a:latin typeface="Arial Narrow"/>
                <a:cs typeface="Arial Narrow"/>
              </a:defRPr>
            </a:pPr>
            <a:endParaRPr lang="en-US"/>
          </a:p>
        </c:txPr>
        <c:crossAx val="1877385816"/>
        <c:crosses val="autoZero"/>
        <c:crossBetween val="midCat"/>
      </c:valAx>
      <c:valAx>
        <c:axId val="1877385816"/>
        <c:scaling>
          <c:orientation val="minMax"/>
        </c:scaling>
        <c:delete val="0"/>
        <c:axPos val="l"/>
        <c:majorGridlines/>
        <c:numFmt formatCode="General" sourceLinked="1"/>
        <c:majorTickMark val="out"/>
        <c:minorTickMark val="none"/>
        <c:tickLblPos val="nextTo"/>
        <c:txPr>
          <a:bodyPr/>
          <a:lstStyle/>
          <a:p>
            <a:pPr>
              <a:defRPr sz="900">
                <a:latin typeface="Arial Narrow"/>
                <a:cs typeface="Arial Narrow"/>
              </a:defRPr>
            </a:pPr>
            <a:endParaRPr lang="en-US"/>
          </a:p>
        </c:txPr>
        <c:crossAx val="1833313672"/>
        <c:crosses val="autoZero"/>
        <c:crossBetween val="midCat"/>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0.35714</cdr:x>
      <cdr:y>0.4976</cdr:y>
    </cdr:from>
    <cdr:to>
      <cdr:x>0.82143</cdr:x>
      <cdr:y>0.4976</cdr:y>
    </cdr:to>
    <cdr:cxnSp macro="">
      <cdr:nvCxnSpPr>
        <cdr:cNvPr id="3" name="Straight Connector 2"/>
        <cdr:cNvCxnSpPr/>
      </cdr:nvCxnSpPr>
      <cdr:spPr>
        <a:xfrm xmlns:a="http://schemas.openxmlformats.org/drawingml/2006/main">
          <a:off x="1143000" y="857250"/>
          <a:ext cx="1485900" cy="0"/>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0.10714</cdr:x>
      <cdr:y>0.43126</cdr:y>
    </cdr:from>
    <cdr:to>
      <cdr:x>0.42857</cdr:x>
      <cdr:y>0.6303</cdr:y>
    </cdr:to>
    <cdr:sp macro="" textlink="">
      <cdr:nvSpPr>
        <cdr:cNvPr id="4" name="Text Box 3"/>
        <cdr:cNvSpPr txBox="1"/>
      </cdr:nvSpPr>
      <cdr:spPr>
        <a:xfrm xmlns:a="http://schemas.openxmlformats.org/drawingml/2006/main">
          <a:off x="342900" y="742950"/>
          <a:ext cx="102870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700">
              <a:latin typeface="Arial Narrow"/>
              <a:cs typeface="Arial Narrow"/>
            </a:rPr>
            <a:t>OECD average</a:t>
          </a:r>
          <a:r>
            <a:rPr lang="en-US" sz="700" baseline="0">
              <a:latin typeface="Arial Narrow"/>
              <a:cs typeface="Arial Narrow"/>
            </a:rPr>
            <a:t> = 114</a:t>
          </a:r>
          <a:endParaRPr lang="en-US" sz="700">
            <a:latin typeface="Arial Narrow"/>
            <a:cs typeface="Arial Narrow"/>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620C3-C836-424D-AE95-1952EFBA5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3958</Words>
  <Characters>22566</Characters>
  <Application>Microsoft Macintosh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guthrie</dc:creator>
  <cp:keywords/>
  <dc:description/>
  <cp:lastModifiedBy>susan guthrie</cp:lastModifiedBy>
  <cp:revision>2</cp:revision>
  <cp:lastPrinted>2017-07-31T22:27:00Z</cp:lastPrinted>
  <dcterms:created xsi:type="dcterms:W3CDTF">2017-08-01T04:37:00Z</dcterms:created>
  <dcterms:modified xsi:type="dcterms:W3CDTF">2017-08-01T04:37:00Z</dcterms:modified>
</cp:coreProperties>
</file>