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78DB2" w14:textId="43682050" w:rsidR="00010A2D" w:rsidRDefault="00010A2D">
      <w:r>
        <w:rPr>
          <w:noProof/>
          <w:lang w:eastAsia="en-NZ"/>
        </w:rPr>
        <mc:AlternateContent>
          <mc:Choice Requires="wps">
            <w:drawing>
              <wp:anchor distT="0" distB="0" distL="114300" distR="114300" simplePos="0" relativeHeight="251658241" behindDoc="0" locked="0" layoutInCell="1" allowOverlap="1" wp14:anchorId="1BA61E3F" wp14:editId="4EE304AB">
                <wp:simplePos x="0" y="0"/>
                <wp:positionH relativeFrom="column">
                  <wp:posOffset>-190500</wp:posOffset>
                </wp:positionH>
                <wp:positionV relativeFrom="paragraph">
                  <wp:posOffset>-152400</wp:posOffset>
                </wp:positionV>
                <wp:extent cx="6096000" cy="11334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133475"/>
                        </a:xfrm>
                        <a:prstGeom prst="rect">
                          <a:avLst/>
                        </a:prstGeom>
                        <a:noFill/>
                        <a:ln w="9525">
                          <a:noFill/>
                          <a:miter lim="800000"/>
                          <a:headEnd/>
                          <a:tailEnd/>
                        </a:ln>
                      </wps:spPr>
                      <wps:txbx>
                        <w:txbxContent>
                          <w:p w14:paraId="43B4A81C" w14:textId="77777777" w:rsidR="003A7637" w:rsidRDefault="003A7637" w:rsidP="00CF6847">
                            <w:pPr>
                              <w:ind w:left="28"/>
                            </w:pPr>
                            <w:r>
                              <w:rPr>
                                <w:noProof/>
                                <w:lang w:eastAsia="en-NZ"/>
                              </w:rPr>
                              <w:drawing>
                                <wp:inline distT="0" distB="0" distL="0" distR="0" wp14:anchorId="1352CA87" wp14:editId="6A306366">
                                  <wp:extent cx="5853113" cy="1047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sonal_Climate_Outlook_1_masthead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4211" cy="106226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A61E3F" id="_x0000_t202" coordsize="21600,21600" o:spt="202" path="m,l,21600r21600,l21600,xe">
                <v:stroke joinstyle="miter"/>
                <v:path gradientshapeok="t" o:connecttype="rect"/>
              </v:shapetype>
              <v:shape id="Text Box 2" o:spid="_x0000_s1026" type="#_x0000_t202" style="position:absolute;margin-left:-15pt;margin-top:-12pt;width:480pt;height:89.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" filled="f" stroked="f">
                <v:textbox>
                  <w:txbxContent>
                    <w:p w14:paraId="43B4A81C" w14:textId="77777777" w:rsidR="003A7637" w:rsidRDefault="003A7637" w:rsidP="00CF6847">
                      <w:pPr>
                        <w:ind w:left="28"/>
                      </w:pPr>
                      <w:r>
                        <w:rPr>
                          <w:noProof/>
                          <w:lang w:eastAsia="en-NZ"/>
                        </w:rPr>
                        <w:drawing>
                          <wp:inline distT="0" distB="0" distL="0" distR="0" wp14:anchorId="1352CA87" wp14:editId="6A306366">
                            <wp:extent cx="5853113" cy="1047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sonal_Climate_Outlook_1_masthead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34211" cy="1062267"/>
                                    </a:xfrm>
                                    <a:prstGeom prst="rect">
                                      <a:avLst/>
                                    </a:prstGeom>
                                  </pic:spPr>
                                </pic:pic>
                              </a:graphicData>
                            </a:graphic>
                          </wp:inline>
                        </w:drawing>
                      </w:r>
                    </w:p>
                  </w:txbxContent>
                </v:textbox>
              </v:shape>
            </w:pict>
          </mc:Fallback>
        </mc:AlternateContent>
      </w:r>
      <w:r w:rsidR="001728A8">
        <w:tab/>
      </w:r>
    </w:p>
    <w:p w14:paraId="07F38823" w14:textId="77777777" w:rsidR="00010A2D" w:rsidRDefault="00010A2D"/>
    <w:p w14:paraId="24BA491C" w14:textId="77777777" w:rsidR="00010A2D" w:rsidRDefault="00010A2D"/>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016"/>
      </w:tblGrid>
      <w:tr w:rsidR="006D4A85" w14:paraId="49943B46" w14:textId="77777777" w:rsidTr="6877726F">
        <w:tc>
          <w:tcPr>
            <w:tcW w:w="9242" w:type="dxa"/>
            <w:shd w:val="clear" w:color="auto" w:fill="C6D9F1" w:themeFill="text2" w:themeFillTint="33"/>
          </w:tcPr>
          <w:p w14:paraId="199378F6" w14:textId="488DD0FD" w:rsidR="006D4A85" w:rsidRDefault="0065112A" w:rsidP="0065112A">
            <w:pPr>
              <w:spacing w:before="40" w:after="40"/>
            </w:pPr>
            <w:r>
              <w:rPr>
                <w:b/>
                <w:bCs/>
              </w:rPr>
              <w:t>March</w:t>
            </w:r>
            <w:r w:rsidR="00397372" w:rsidRPr="7EC835B1">
              <w:rPr>
                <w:b/>
                <w:bCs/>
              </w:rPr>
              <w:t xml:space="preserve"> </w:t>
            </w:r>
            <w:r w:rsidR="00870DFD" w:rsidRPr="7EC835B1">
              <w:rPr>
                <w:b/>
                <w:bCs/>
              </w:rPr>
              <w:t>–</w:t>
            </w:r>
            <w:r w:rsidR="00262A00" w:rsidRPr="7EC835B1">
              <w:rPr>
                <w:b/>
                <w:bCs/>
              </w:rPr>
              <w:t xml:space="preserve"> </w:t>
            </w:r>
            <w:r>
              <w:rPr>
                <w:b/>
                <w:bCs/>
              </w:rPr>
              <w:t>May</w:t>
            </w:r>
            <w:r w:rsidR="00EF2D5A" w:rsidRPr="7EC835B1">
              <w:rPr>
                <w:b/>
                <w:bCs/>
              </w:rPr>
              <w:t xml:space="preserve"> </w:t>
            </w:r>
            <w:r w:rsidR="00B67E77" w:rsidRPr="7EC835B1">
              <w:rPr>
                <w:b/>
                <w:bCs/>
              </w:rPr>
              <w:t>201</w:t>
            </w:r>
            <w:r w:rsidR="00EF2D5A" w:rsidRPr="7EC835B1">
              <w:rPr>
                <w:b/>
                <w:bCs/>
              </w:rPr>
              <w:t>7</w:t>
            </w:r>
            <w:r w:rsidR="00530321">
              <w:tab/>
            </w:r>
            <w:r w:rsidR="00530321">
              <w:tab/>
            </w:r>
            <w:r w:rsidR="00530321">
              <w:tab/>
            </w:r>
            <w:r w:rsidR="00530321">
              <w:tab/>
              <w:t xml:space="preserve">  </w:t>
            </w:r>
            <w:r w:rsidR="00C373F3">
              <w:t xml:space="preserve">  </w:t>
            </w:r>
            <w:r w:rsidR="00B77503">
              <w:t xml:space="preserve">         </w:t>
            </w:r>
            <w:r w:rsidR="005F72CE">
              <w:t xml:space="preserve">  </w:t>
            </w:r>
            <w:r w:rsidR="001557BD">
              <w:t xml:space="preserve">                             </w:t>
            </w:r>
            <w:r w:rsidR="005A1251">
              <w:t>Issued</w:t>
            </w:r>
            <w:r w:rsidR="00955527">
              <w:t xml:space="preserve">: </w:t>
            </w:r>
            <w:r w:rsidR="00F91BE8">
              <w:t>01</w:t>
            </w:r>
            <w:r w:rsidR="00EF2D5A">
              <w:t xml:space="preserve"> </w:t>
            </w:r>
            <w:r>
              <w:t>March</w:t>
            </w:r>
            <w:r w:rsidR="000F7970">
              <w:t xml:space="preserve"> </w:t>
            </w:r>
            <w:r w:rsidR="00E9570F">
              <w:t>201</w:t>
            </w:r>
            <w:r w:rsidR="00CC7F3B">
              <w:t>7</w:t>
            </w:r>
          </w:p>
        </w:tc>
      </w:tr>
    </w:tbl>
    <w:p w14:paraId="2621D793" w14:textId="5863B1EA" w:rsidR="00536FD0" w:rsidRDefault="6877726F">
      <w:r>
        <w:t xml:space="preserve">Hold mouse over links and press </w:t>
      </w:r>
      <w:r w:rsidRPr="6877726F">
        <w:rPr>
          <w:b/>
          <w:bCs/>
        </w:rPr>
        <w:t>ctrl + left click</w:t>
      </w:r>
      <w:r>
        <w:t xml:space="preserve"> to jump to the information you require:</w:t>
      </w:r>
    </w:p>
    <w:p w14:paraId="22BF74C3" w14:textId="6F96E6D0" w:rsidR="00EA5B29" w:rsidRDefault="007C01B0" w:rsidP="00EA5B29">
      <w:pPr>
        <w:spacing w:after="0"/>
        <w:rPr>
          <w:rStyle w:val="Hyperlink"/>
        </w:rPr>
      </w:pPr>
      <w:hyperlink w:anchor="overview" w:history="1">
        <w:r w:rsidR="6877726F" w:rsidRPr="6877726F">
          <w:rPr>
            <w:rStyle w:val="Hyperlink"/>
          </w:rPr>
          <w:t>Overview</w:t>
        </w:r>
        <w:r w:rsidR="000A04DB">
          <w:br/>
        </w:r>
        <w:r w:rsidR="000A04DB">
          <w:br/>
        </w:r>
        <w:r w:rsidR="6877726F" w:rsidRPr="6877726F">
          <w:rPr>
            <w:b/>
            <w:bCs/>
          </w:rPr>
          <w:t>Regional predictions for the next three months</w:t>
        </w:r>
        <w:r w:rsidR="000A04DB">
          <w:br/>
        </w:r>
        <w:r w:rsidR="6877726F" w:rsidRPr="6877726F">
          <w:rPr>
            <w:rStyle w:val="Hyperlink"/>
          </w:rPr>
          <w:t>Northland, Auckland, Waikato, Bay of Plenty</w:t>
        </w:r>
      </w:hyperlink>
      <w:hyperlink w:anchor="nthldauckwaikbop" w:history="1"/>
    </w:p>
    <w:p w14:paraId="2C135C66" w14:textId="0ED286B1" w:rsidR="00EA5B29" w:rsidRDefault="007C01B0" w:rsidP="00EA5B29">
      <w:pPr>
        <w:spacing w:after="0"/>
        <w:rPr>
          <w:rStyle w:val="Hyperlink"/>
        </w:rPr>
      </w:pPr>
      <w:hyperlink w:anchor="centnitarwangmanwel" w:tooltip="Central North Island" w:history="1">
        <w:r w:rsidR="6877726F" w:rsidRPr="6877726F">
          <w:rPr>
            <w:rStyle w:val="Hyperlink"/>
          </w:rPr>
          <w:t>Central North Island, Taranaki, Whanganui, Manawatu, Wellington</w:t>
        </w:r>
      </w:hyperlink>
    </w:p>
    <w:p w14:paraId="7B57D9B2" w14:textId="3ACB11BF" w:rsidR="006C0B56" w:rsidRPr="00083E47" w:rsidRDefault="007C01B0">
      <w:pPr>
        <w:rPr>
          <w:color w:val="0000FF"/>
          <w:u w:val="single"/>
        </w:rPr>
      </w:pPr>
      <w:hyperlink w:anchor="gishbwair" w:history="1">
        <w:r w:rsidR="6877726F" w:rsidRPr="6877726F">
          <w:rPr>
            <w:rStyle w:val="Hyperlink"/>
          </w:rPr>
          <w:t>Gisborne, Hawke’s Bay, Wairarapa</w:t>
        </w:r>
        <w:r w:rsidR="000A04DB">
          <w:br/>
        </w:r>
        <w:r w:rsidR="6877726F" w:rsidRPr="6877726F">
          <w:rPr>
            <w:rStyle w:val="Hyperlink"/>
          </w:rPr>
          <w:t>Tasman, Nelson, Marlborough, Buller</w:t>
        </w:r>
        <w:r w:rsidR="000A04DB">
          <w:br/>
        </w:r>
        <w:r w:rsidR="6877726F" w:rsidRPr="6877726F">
          <w:rPr>
            <w:rStyle w:val="Hyperlink"/>
          </w:rPr>
          <w:t>West Coast, Alps and foothills, inland Otago and Southland</w:t>
        </w:r>
        <w:r w:rsidR="000A04DB">
          <w:br/>
        </w:r>
        <w:r w:rsidR="6877726F" w:rsidRPr="6877726F">
          <w:rPr>
            <w:rStyle w:val="Hyperlink"/>
          </w:rPr>
          <w:t>Coastal Canterbury, east Otago</w:t>
        </w:r>
        <w:r w:rsidR="000A04DB">
          <w:br/>
        </w:r>
        <w:r w:rsidR="6877726F" w:rsidRPr="6877726F">
          <w:rPr>
            <w:rStyle w:val="Hyperlink"/>
          </w:rPr>
          <w:t>Background</w:t>
        </w:r>
        <w:r w:rsidR="000A04DB">
          <w:br/>
        </w:r>
        <w:r w:rsidR="6877726F" w:rsidRPr="6877726F">
          <w:rPr>
            <w:rStyle w:val="Hyperlink"/>
          </w:rPr>
          <w:t>Contacts</w:t>
        </w:r>
        <w:r w:rsidR="000A04DB">
          <w:br/>
        </w:r>
        <w:r w:rsidR="6877726F" w:rsidRPr="6877726F">
          <w:rPr>
            <w:rStyle w:val="Hyperlink"/>
          </w:rPr>
          <w:t>Notes to reporters and editors</w:t>
        </w:r>
        <w:r w:rsidR="000A04DB">
          <w:br/>
        </w:r>
      </w:hyperlink>
      <w:r w:rsidR="00AB6939">
        <w:t xml:space="preserve">                                                                                                                                                    </w:t>
      </w:r>
      <w:hyperlink w:anchor="nelsmarlbull" w:history="1"/>
      <w:hyperlink w:anchor="wcalpsfooteotag" w:tooltip="West Coast, Alps and foothills, inland Otago and Southland" w:history="1"/>
      <w:hyperlink w:anchor="coastcanteotag" w:history="1"/>
      <w:hyperlink w:anchor="background" w:history="1"/>
      <w:hyperlink w:anchor="contacts" w:history="1"/>
      <w:hyperlink w:anchor="notes" w:history="1"/>
    </w:p>
    <w:p w14:paraId="744783D0" w14:textId="522E13DC" w:rsidR="001C5577" w:rsidRPr="00521CA1" w:rsidRDefault="00EF2D5A" w:rsidP="00C91878">
      <w:pPr>
        <w:tabs>
          <w:tab w:val="center" w:pos="4513"/>
        </w:tabs>
        <w:rPr>
          <w:color w:val="1F497D" w:themeColor="text2"/>
          <w:sz w:val="36"/>
          <w:szCs w:val="36"/>
        </w:rPr>
      </w:pPr>
      <w:bookmarkStart w:id="0" w:name="summary"/>
      <w:r>
        <w:rPr>
          <w:color w:val="1F497D" w:themeColor="text2"/>
          <w:sz w:val="36"/>
          <w:szCs w:val="36"/>
        </w:rPr>
        <w:t xml:space="preserve">NIWA Outlook: </w:t>
      </w:r>
      <w:r w:rsidR="0065112A">
        <w:rPr>
          <w:color w:val="1F497D" w:themeColor="text2"/>
          <w:sz w:val="36"/>
          <w:szCs w:val="36"/>
        </w:rPr>
        <w:t>March</w:t>
      </w:r>
      <w:r w:rsidR="0092095C">
        <w:rPr>
          <w:color w:val="1F497D" w:themeColor="text2"/>
          <w:sz w:val="36"/>
          <w:szCs w:val="36"/>
        </w:rPr>
        <w:t xml:space="preserve"> </w:t>
      </w:r>
      <w:r w:rsidR="005F72CE">
        <w:rPr>
          <w:color w:val="1F497D" w:themeColor="text2"/>
          <w:sz w:val="36"/>
          <w:szCs w:val="36"/>
        </w:rPr>
        <w:t xml:space="preserve">– </w:t>
      </w:r>
      <w:r w:rsidR="0065112A">
        <w:rPr>
          <w:color w:val="1F497D" w:themeColor="text2"/>
          <w:sz w:val="36"/>
          <w:szCs w:val="36"/>
        </w:rPr>
        <w:t>May</w:t>
      </w:r>
      <w:r w:rsidR="00025AA0">
        <w:rPr>
          <w:color w:val="1F497D" w:themeColor="text2"/>
          <w:sz w:val="36"/>
          <w:szCs w:val="36"/>
        </w:rPr>
        <w:t xml:space="preserve"> </w:t>
      </w:r>
      <w:r w:rsidR="00B67E77">
        <w:rPr>
          <w:color w:val="1F497D" w:themeColor="text2"/>
          <w:sz w:val="36"/>
          <w:szCs w:val="36"/>
        </w:rPr>
        <w:t>201</w:t>
      </w:r>
      <w:r>
        <w:rPr>
          <w:color w:val="1F497D" w:themeColor="text2"/>
          <w:sz w:val="36"/>
          <w:szCs w:val="36"/>
        </w:rPr>
        <w:t>7</w:t>
      </w:r>
    </w:p>
    <w:p w14:paraId="5A711328" w14:textId="1242F556" w:rsidR="00073003" w:rsidRPr="00B00D52" w:rsidRDefault="00073003" w:rsidP="00073003">
      <w:pPr>
        <w:rPr>
          <w:color w:val="1F497D" w:themeColor="text2"/>
          <w:sz w:val="28"/>
          <w:szCs w:val="28"/>
        </w:rPr>
      </w:pPr>
      <w:bookmarkStart w:id="1" w:name="overview"/>
      <w:bookmarkEnd w:id="0"/>
      <w:bookmarkEnd w:id="1"/>
      <w:r>
        <w:rPr>
          <w:color w:val="1F497D" w:themeColor="text2"/>
          <w:sz w:val="28"/>
          <w:szCs w:val="28"/>
        </w:rPr>
        <w:t>Overview</w:t>
      </w:r>
    </w:p>
    <w:p w14:paraId="5468F6C8" w14:textId="69B70ADE" w:rsidR="001C11AD" w:rsidRPr="00193D0D" w:rsidRDefault="00B049EB" w:rsidP="00B77503">
      <w:pPr>
        <w:rPr>
          <w:rStyle w:val="normaltextrun"/>
        </w:rPr>
      </w:pPr>
      <w:r>
        <w:t>The tropical Pacific is currently in an ENSO (El Niño – Southern Oscillation) neutral state</w:t>
      </w:r>
      <w:r w:rsidR="00363608">
        <w:t xml:space="preserve"> (neither El Niño nor La Niña)</w:t>
      </w:r>
      <w:r>
        <w:t xml:space="preserve">. Sea surface temperatures (SSTs) in the central Equatorial Pacific Ocean </w:t>
      </w:r>
      <w:r w:rsidR="00363608">
        <w:t>are</w:t>
      </w:r>
      <w:r>
        <w:t xml:space="preserve"> </w:t>
      </w:r>
      <w:r w:rsidR="00193D0D">
        <w:t>near</w:t>
      </w:r>
      <w:r w:rsidR="00D73C61">
        <w:t xml:space="preserve"> average. </w:t>
      </w:r>
      <w:r w:rsidR="00193D0D">
        <w:t>However, during February, warming occurred across parts of the central and eastern equatorial Pacific, with the easternmost part of the equatorial Pacific observing its warmest sea-surface temperature anomalies since December 2015. In the subsurface ocean, warmer than average temperatures (+2.0</w:t>
      </w:r>
      <w:r w:rsidR="00193D0D" w:rsidRPr="02A6DD28">
        <w:rPr>
          <w:vertAlign w:val="superscript"/>
        </w:rPr>
        <w:t>o</w:t>
      </w:r>
      <w:r w:rsidR="00193D0D">
        <w:t xml:space="preserve">C anomalies) are present in the western equatorial Pacific but remain near or slightly below average across the central and eastern equatorial Pacific. </w:t>
      </w:r>
      <w:r w:rsidR="00807609" w:rsidRPr="00807609">
        <w:rPr>
          <w:lang w:val="en-US"/>
        </w:rPr>
        <w:t>The Southern Oscillation</w:t>
      </w:r>
      <w:r w:rsidR="00AD02E8">
        <w:rPr>
          <w:lang w:val="en-US"/>
        </w:rPr>
        <w:t xml:space="preserve"> Index</w:t>
      </w:r>
      <w:r w:rsidR="00DE09E2">
        <w:rPr>
          <w:lang w:val="en-US"/>
        </w:rPr>
        <w:t xml:space="preserve"> (SOI)</w:t>
      </w:r>
      <w:r w:rsidR="00807609" w:rsidRPr="00807609">
        <w:rPr>
          <w:lang w:val="en-US"/>
        </w:rPr>
        <w:t xml:space="preserve"> </w:t>
      </w:r>
      <w:r w:rsidR="00193D0D">
        <w:rPr>
          <w:lang w:val="en-US"/>
        </w:rPr>
        <w:t>was weakly negative during February</w:t>
      </w:r>
      <w:r w:rsidR="00807609" w:rsidRPr="00807609">
        <w:rPr>
          <w:lang w:val="en-US"/>
        </w:rPr>
        <w:t xml:space="preserve"> 2017. </w:t>
      </w:r>
      <w:r w:rsidR="00193D0D">
        <w:t>Rainfall has been well below normal across the western equatorial Pacific, but above normal in the eastern equatorial Pacific toward South America, a climatic trait more typical of El Niño conditions.</w:t>
      </w:r>
    </w:p>
    <w:p w14:paraId="23F124BF" w14:textId="65417B9F" w:rsidR="00807609" w:rsidRPr="00807609" w:rsidRDefault="00807609" w:rsidP="00807609">
      <w:r w:rsidRPr="00807609">
        <w:t>International guidance favours ENSO-neutral cond</w:t>
      </w:r>
      <w:r w:rsidR="00321AF2">
        <w:t>itions with high probability (85</w:t>
      </w:r>
      <w:r w:rsidRPr="00807609">
        <w:t>% chance) over the next three month period (</w:t>
      </w:r>
      <w:r w:rsidR="0065112A">
        <w:t>March</w:t>
      </w:r>
      <w:r w:rsidRPr="00807609">
        <w:t xml:space="preserve"> </w:t>
      </w:r>
      <w:r w:rsidR="0065112A">
        <w:rPr>
          <w:lang w:val="en-US"/>
        </w:rPr>
        <w:t>– May</w:t>
      </w:r>
      <w:r w:rsidRPr="00807609">
        <w:rPr>
          <w:lang w:val="en-US"/>
        </w:rPr>
        <w:t xml:space="preserve"> </w:t>
      </w:r>
      <w:r w:rsidRPr="00807609">
        <w:t xml:space="preserve">2017). Later during the year, </w:t>
      </w:r>
      <w:r w:rsidR="009D6B53">
        <w:t xml:space="preserve">models indicate </w:t>
      </w:r>
      <w:r w:rsidR="00321AF2">
        <w:t>significant</w:t>
      </w:r>
      <w:r w:rsidR="009D6B53">
        <w:t xml:space="preserve"> chances </w:t>
      </w:r>
      <w:r w:rsidRPr="00807609">
        <w:t xml:space="preserve">for a return to El Niño conditions </w:t>
      </w:r>
      <w:r w:rsidR="009D6B53">
        <w:t>(</w:t>
      </w:r>
      <w:r w:rsidR="00321AF2">
        <w:t>over 50</w:t>
      </w:r>
      <w:r w:rsidRPr="00807609">
        <w:t>% in August – October 2017</w:t>
      </w:r>
      <w:r w:rsidR="009D6B53">
        <w:t>)</w:t>
      </w:r>
      <w:r w:rsidR="00321AF2">
        <w:t>.</w:t>
      </w:r>
      <w:r>
        <w:t xml:space="preserve"> </w:t>
      </w:r>
      <w:r w:rsidR="003D5909">
        <w:t>As of 28 February, the Australian B</w:t>
      </w:r>
      <w:r w:rsidR="003A7637">
        <w:t>ureau of Meteorology (B</w:t>
      </w:r>
      <w:r w:rsidR="003D5909">
        <w:t>oM</w:t>
      </w:r>
      <w:r w:rsidR="003A7637">
        <w:t>)</w:t>
      </w:r>
      <w:r w:rsidR="003D5909">
        <w:t xml:space="preserve"> ENSO tracker has been escalated to the “El Niño Watch” category.</w:t>
      </w:r>
      <w:r w:rsidR="0021053A">
        <w:t xml:space="preserve">  </w:t>
      </w:r>
      <w:r w:rsidR="003A7637">
        <w:t xml:space="preserve">This means, according to the BoM, that the </w:t>
      </w:r>
      <w:r w:rsidR="0021053A">
        <w:t>likelihood of El Nino forming in 2017 is approximately 50%.</w:t>
      </w:r>
    </w:p>
    <w:p w14:paraId="43D5B8F8" w14:textId="5F825CCE" w:rsidR="004D6DD8" w:rsidRPr="00E53697" w:rsidRDefault="00D8143D" w:rsidP="0012742D">
      <w:pPr>
        <w:rPr>
          <w:rFonts w:eastAsiaTheme="minorEastAsia" w:cstheme="minorEastAsia"/>
          <w:color w:val="000000" w:themeColor="text1"/>
        </w:rPr>
      </w:pPr>
      <w:r>
        <w:rPr>
          <w:rFonts w:eastAsiaTheme="minorEastAsia" w:cstheme="minorEastAsia"/>
          <w:color w:val="000000" w:themeColor="text1"/>
        </w:rPr>
        <w:t>H</w:t>
      </w:r>
      <w:r w:rsidR="003A7637">
        <w:rPr>
          <w:rFonts w:eastAsiaTheme="minorEastAsia" w:cstheme="minorEastAsia"/>
          <w:color w:val="000000" w:themeColor="text1"/>
        </w:rPr>
        <w:t xml:space="preserve">owever, over the next three months, with </w:t>
      </w:r>
      <w:r w:rsidR="009E016D" w:rsidRPr="000C4726">
        <w:rPr>
          <w:rFonts w:eastAsiaTheme="minorEastAsia" w:cstheme="minorEastAsia"/>
          <w:color w:val="000000" w:themeColor="text1"/>
        </w:rPr>
        <w:t xml:space="preserve">the </w:t>
      </w:r>
      <w:r w:rsidR="00557801" w:rsidRPr="000C4726">
        <w:rPr>
          <w:rFonts w:eastAsiaTheme="minorEastAsia" w:cstheme="minorEastAsia"/>
          <w:color w:val="000000" w:themeColor="text1"/>
        </w:rPr>
        <w:t>likely persistence of</w:t>
      </w:r>
      <w:r w:rsidR="00321AF2">
        <w:rPr>
          <w:rFonts w:eastAsiaTheme="minorEastAsia" w:cstheme="minorEastAsia"/>
          <w:color w:val="000000" w:themeColor="text1"/>
        </w:rPr>
        <w:t xml:space="preserve"> ENSO-neutral </w:t>
      </w:r>
      <w:r w:rsidR="003A7637">
        <w:rPr>
          <w:rFonts w:eastAsiaTheme="minorEastAsia" w:cstheme="minorEastAsia"/>
          <w:color w:val="000000" w:themeColor="text1"/>
        </w:rPr>
        <w:t>conditions and</w:t>
      </w:r>
      <w:r w:rsidR="00321AF2">
        <w:rPr>
          <w:rFonts w:eastAsiaTheme="minorEastAsia" w:cstheme="minorEastAsia"/>
          <w:color w:val="000000" w:themeColor="text1"/>
        </w:rPr>
        <w:t xml:space="preserve"> intermittently active periods </w:t>
      </w:r>
      <w:r w:rsidR="00E53697">
        <w:rPr>
          <w:rFonts w:eastAsiaTheme="minorEastAsia" w:cstheme="minorEastAsia"/>
          <w:color w:val="000000" w:themeColor="text1"/>
        </w:rPr>
        <w:t>in the Madden-Julian Oscillation (</w:t>
      </w:r>
      <w:r w:rsidR="00CC10A0">
        <w:rPr>
          <w:rFonts w:eastAsiaTheme="minorEastAsia" w:cstheme="minorEastAsia"/>
          <w:color w:val="000000" w:themeColor="text1"/>
        </w:rPr>
        <w:t xml:space="preserve">pattern of </w:t>
      </w:r>
      <w:r w:rsidR="00231E34">
        <w:rPr>
          <w:rFonts w:eastAsiaTheme="minorEastAsia" w:cstheme="minorEastAsia"/>
          <w:color w:val="000000" w:themeColor="text1"/>
        </w:rPr>
        <w:t xml:space="preserve">increased or decreased </w:t>
      </w:r>
      <w:r w:rsidR="00231E34">
        <w:rPr>
          <w:rFonts w:eastAsiaTheme="minorEastAsia" w:cstheme="minorEastAsia"/>
          <w:color w:val="000000" w:themeColor="text1"/>
        </w:rPr>
        <w:lastRenderedPageBreak/>
        <w:t>rainfall and cloudiness along the equator that has a typical lifespan of 60 to 120 days</w:t>
      </w:r>
      <w:r w:rsidR="008E7A95">
        <w:rPr>
          <w:rFonts w:eastAsiaTheme="minorEastAsia" w:cstheme="minorEastAsia"/>
          <w:color w:val="000000" w:themeColor="text1"/>
        </w:rPr>
        <w:t xml:space="preserve">) changeability in New Zealand’s weather patterns is likely to occur. </w:t>
      </w:r>
      <w:bookmarkStart w:id="2" w:name="_GoBack"/>
      <w:bookmarkEnd w:id="2"/>
      <w:r w:rsidR="00231E34">
        <w:rPr>
          <w:rFonts w:eastAsiaTheme="minorEastAsia" w:cstheme="minorEastAsia"/>
          <w:color w:val="000000" w:themeColor="text1"/>
        </w:rPr>
        <w:t>T</w:t>
      </w:r>
      <w:r w:rsidR="00E53697">
        <w:rPr>
          <w:rFonts w:eastAsiaTheme="minorEastAsia" w:cstheme="minorEastAsia"/>
          <w:color w:val="000000" w:themeColor="text1"/>
        </w:rPr>
        <w:t>he atmospheric circulation around New Zealand is expected to favour more westerly wind flows than normal.</w:t>
      </w:r>
      <w:r w:rsidR="00AB6939">
        <w:rPr>
          <w:color w:val="1F497D" w:themeColor="text2"/>
          <w:sz w:val="28"/>
          <w:szCs w:val="28"/>
        </w:rPr>
        <w:t xml:space="preserve">                                                                                                                                                                              </w:t>
      </w:r>
    </w:p>
    <w:p w14:paraId="47ACBFA7" w14:textId="56ACB7F9" w:rsidR="0012742D" w:rsidRPr="0012742D" w:rsidRDefault="6877726F" w:rsidP="0012742D">
      <w:pPr>
        <w:rPr>
          <w:color w:val="1F497D" w:themeColor="text2"/>
          <w:sz w:val="28"/>
          <w:szCs w:val="28"/>
        </w:rPr>
      </w:pPr>
      <w:r w:rsidRPr="6877726F">
        <w:rPr>
          <w:color w:val="1F497D" w:themeColor="text2"/>
          <w:sz w:val="28"/>
          <w:szCs w:val="28"/>
        </w:rPr>
        <w:t>Outlook Summary</w:t>
      </w:r>
    </w:p>
    <w:p w14:paraId="44EFE439" w14:textId="4344EBB8" w:rsidR="006E61B6" w:rsidRDefault="0065112A" w:rsidP="34B57D1B">
      <w:r>
        <w:t>March – May</w:t>
      </w:r>
      <w:r w:rsidR="34B57D1B">
        <w:t xml:space="preserve"> 2017</w:t>
      </w:r>
      <w:r w:rsidR="006E61B6">
        <w:t xml:space="preserve"> temperatures are about equally likely to be average (40-45% chance) or above average (35-40% c</w:t>
      </w:r>
      <w:r w:rsidR="007936F6">
        <w:t>hance) in the north and east of</w:t>
      </w:r>
      <w:r w:rsidR="006E61B6">
        <w:t xml:space="preserve"> </w:t>
      </w:r>
      <w:r w:rsidR="001A7B43">
        <w:t>both the</w:t>
      </w:r>
      <w:r w:rsidR="00D8143D">
        <w:t xml:space="preserve"> </w:t>
      </w:r>
      <w:r w:rsidR="006E61B6">
        <w:t xml:space="preserve">North and South Island. In the west of </w:t>
      </w:r>
      <w:r w:rsidR="001A7B43">
        <w:t>both</w:t>
      </w:r>
      <w:r w:rsidR="006E61B6">
        <w:t xml:space="preserve"> Island</w:t>
      </w:r>
      <w:r w:rsidR="001A7B43">
        <w:t>s</w:t>
      </w:r>
      <w:r w:rsidR="006E61B6">
        <w:t>, March – May 2017 temperatures are most likely to be near average (45-50% chance).</w:t>
      </w:r>
      <w:r w:rsidR="00DC4853" w:rsidRPr="00DC4853">
        <w:rPr>
          <w:lang w:val="en"/>
        </w:rPr>
        <w:t xml:space="preserve"> </w:t>
      </w:r>
      <w:r w:rsidR="00DC4853">
        <w:rPr>
          <w:lang w:val="en"/>
        </w:rPr>
        <w:t>As autumn progresses, frosts may occur from time to time in cooler locations.</w:t>
      </w:r>
    </w:p>
    <w:p w14:paraId="7C40F204" w14:textId="713EBD9D" w:rsidR="006E61B6" w:rsidRDefault="0065112A" w:rsidP="00E464EE">
      <w:r>
        <w:t xml:space="preserve">March – May </w:t>
      </w:r>
      <w:r w:rsidR="001C11AD" w:rsidRPr="02A6DD28">
        <w:t xml:space="preserve">2017 rainfall totals are </w:t>
      </w:r>
      <w:r w:rsidR="006E61B6">
        <w:t>about equally likely to be</w:t>
      </w:r>
      <w:r w:rsidR="00D8143D">
        <w:t xml:space="preserve"> near </w:t>
      </w:r>
      <w:r w:rsidR="006E61B6">
        <w:t>normal (35-40% chance) or below normal (35-40% chance) in all regions of the country except the west of the South Island where near normal rainfall is most likely (45% chance).</w:t>
      </w:r>
    </w:p>
    <w:p w14:paraId="788B117C" w14:textId="4613C9F6" w:rsidR="006F32A1" w:rsidRPr="006F32A1" w:rsidRDefault="0065112A" w:rsidP="001C11AD">
      <w:pPr>
        <w:spacing w:after="0"/>
      </w:pPr>
      <w:r w:rsidRPr="006F32A1">
        <w:t xml:space="preserve">March – May </w:t>
      </w:r>
      <w:r w:rsidR="001C11AD" w:rsidRPr="006F32A1">
        <w:t xml:space="preserve">2017 soil moisture levels and river flows are </w:t>
      </w:r>
      <w:r w:rsidR="006F32A1" w:rsidRPr="006F32A1">
        <w:t>about equally likely to be normal (35%</w:t>
      </w:r>
      <w:r w:rsidR="00D8143D">
        <w:t xml:space="preserve"> </w:t>
      </w:r>
      <w:r w:rsidR="006F32A1" w:rsidRPr="006F32A1">
        <w:t>chance) or below normal (35-40% chance) in the North Island. In the South Island, below normal soil moisture levels and river flows are most likely (50% chance) for the east and about equally likely (35% chance) to be normal or below normal in the north and west.</w:t>
      </w:r>
    </w:p>
    <w:p w14:paraId="24A4BC3A" w14:textId="77777777" w:rsidR="00014E73" w:rsidRPr="001813C6" w:rsidRDefault="00014E73" w:rsidP="00014E73">
      <w:pPr>
        <w:spacing w:after="0"/>
        <w:rPr>
          <w:sz w:val="8"/>
          <w:szCs w:val="24"/>
        </w:rPr>
      </w:pPr>
    </w:p>
    <w:p w14:paraId="2F47D42C" w14:textId="0A5C0485" w:rsidR="00BB7911" w:rsidRPr="00BB7911" w:rsidRDefault="6877726F">
      <w:pPr>
        <w:rPr>
          <w:color w:val="1F497D" w:themeColor="text2"/>
          <w:sz w:val="28"/>
          <w:szCs w:val="28"/>
        </w:rPr>
      </w:pPr>
      <w:r w:rsidRPr="6877726F">
        <w:rPr>
          <w:color w:val="1F497D" w:themeColor="text2"/>
          <w:sz w:val="28"/>
          <w:szCs w:val="28"/>
        </w:rPr>
        <w:t xml:space="preserve">Regional predictions for the </w:t>
      </w:r>
      <w:r w:rsidR="0065112A">
        <w:rPr>
          <w:color w:val="1F497D" w:themeColor="text2"/>
          <w:sz w:val="28"/>
          <w:szCs w:val="28"/>
        </w:rPr>
        <w:t>March</w:t>
      </w:r>
      <w:r w:rsidR="005F72CE">
        <w:rPr>
          <w:color w:val="1F497D" w:themeColor="text2"/>
          <w:sz w:val="28"/>
          <w:szCs w:val="28"/>
        </w:rPr>
        <w:t xml:space="preserve"> – </w:t>
      </w:r>
      <w:r w:rsidR="0065112A">
        <w:rPr>
          <w:color w:val="1F497D" w:themeColor="text2"/>
          <w:sz w:val="28"/>
          <w:szCs w:val="28"/>
        </w:rPr>
        <w:t>May</w:t>
      </w:r>
      <w:r w:rsidRPr="6877726F">
        <w:rPr>
          <w:color w:val="1F497D" w:themeColor="text2"/>
          <w:sz w:val="28"/>
          <w:szCs w:val="28"/>
        </w:rPr>
        <w:t xml:space="preserve"> 2017 season</w:t>
      </w:r>
    </w:p>
    <w:p w14:paraId="71A376A5" w14:textId="69A75B16" w:rsidR="00BB7911" w:rsidRPr="00BB7911" w:rsidRDefault="00BB7911">
      <w:pPr>
        <w:rPr>
          <w:b/>
        </w:rPr>
      </w:pPr>
      <w:bookmarkStart w:id="3" w:name="nthldauckwaikbop"/>
      <w:bookmarkEnd w:id="3"/>
      <w:r w:rsidRPr="7EC835B1">
        <w:rPr>
          <w:b/>
          <w:bCs/>
        </w:rPr>
        <w:t>Northland, Auckland, Waikato, Bay of Plenty</w:t>
      </w:r>
    </w:p>
    <w:p w14:paraId="08825D44" w14:textId="22F052C5" w:rsidR="00D72A45" w:rsidRPr="00BF0B54" w:rsidRDefault="6877726F" w:rsidP="00D72A45">
      <w:r>
        <w:t xml:space="preserve">The table below shows the probabilities (or percent chances) for each of </w:t>
      </w:r>
      <w:r w:rsidRPr="6877726F">
        <w:rPr>
          <w:u w:val="single"/>
        </w:rPr>
        <w:t>three categories</w:t>
      </w:r>
      <w:r>
        <w:t xml:space="preserve">: above average, near average, and below average. In the absence of any forecast guidance there would be an equal likelihood (33% chance) of the outcome being in any one of the three categories. </w:t>
      </w:r>
      <w:r w:rsidRPr="00D8143D">
        <w:rPr>
          <w:rFonts w:eastAsiaTheme="minorEastAsia" w:cstheme="minorEastAsia"/>
        </w:rPr>
        <w:t>Forecast information from local and global guidance models is used to indicate the deviation from equal chance expected for the coming</w:t>
      </w:r>
      <w:r w:rsidRPr="00D8143D">
        <w:rPr>
          <w:rFonts w:eastAsia="Tahoma,Times New Roman" w:cs="Tahoma,Times New Roman"/>
        </w:rPr>
        <w:t xml:space="preserve"> </w:t>
      </w:r>
      <w:r w:rsidRPr="005F72CE">
        <w:t xml:space="preserve">three month period, with the following outcomes the </w:t>
      </w:r>
      <w:r w:rsidRPr="00ED7531">
        <w:rPr>
          <w:iCs/>
        </w:rPr>
        <w:t>most likely</w:t>
      </w:r>
      <w:r w:rsidRPr="005F72CE">
        <w:t xml:space="preserve"> (but not certain) for this region:</w:t>
      </w:r>
      <w:r>
        <w:t xml:space="preserve"> </w:t>
      </w:r>
    </w:p>
    <w:p w14:paraId="184E3218" w14:textId="19DF56C2" w:rsidR="00F0677C" w:rsidRPr="0093157F" w:rsidRDefault="00977A44" w:rsidP="7EC835B1">
      <w:pPr>
        <w:pStyle w:val="ListParagraph"/>
        <w:numPr>
          <w:ilvl w:val="0"/>
          <w:numId w:val="2"/>
        </w:numPr>
      </w:pPr>
      <w:r>
        <w:t>Temperatures are</w:t>
      </w:r>
      <w:r w:rsidR="6877726F">
        <w:t xml:space="preserve"> </w:t>
      </w:r>
      <w:r w:rsidR="00374E1F">
        <w:t>equally</w:t>
      </w:r>
      <w:r w:rsidR="6877726F">
        <w:t xml:space="preserve"> likely to be near average (</w:t>
      </w:r>
      <w:r w:rsidR="00374E1F">
        <w:t>4</w:t>
      </w:r>
      <w:r>
        <w:t>0% chance)</w:t>
      </w:r>
      <w:r w:rsidR="00374E1F">
        <w:t xml:space="preserve"> or above average (40% chance)</w:t>
      </w:r>
      <w:r w:rsidR="6877726F">
        <w:t>.</w:t>
      </w:r>
    </w:p>
    <w:p w14:paraId="1BF05679" w14:textId="0B51DCD5" w:rsidR="00F0677C" w:rsidRDefault="00977A44" w:rsidP="7EC835B1">
      <w:pPr>
        <w:pStyle w:val="ListParagraph"/>
        <w:numPr>
          <w:ilvl w:val="0"/>
          <w:numId w:val="2"/>
        </w:numPr>
      </w:pPr>
      <w:r>
        <w:t xml:space="preserve">Rainfall totals are </w:t>
      </w:r>
      <w:r w:rsidR="00374E1F">
        <w:t xml:space="preserve">about equally likely to be in the near normal (35% chance) or </w:t>
      </w:r>
      <w:r w:rsidR="00E92200">
        <w:t xml:space="preserve">below </w:t>
      </w:r>
      <w:r w:rsidR="00374E1F">
        <w:t>normal range (40% chance).</w:t>
      </w:r>
    </w:p>
    <w:p w14:paraId="40098A07" w14:textId="3FD3761C" w:rsidR="00931437" w:rsidRPr="006F32A1" w:rsidRDefault="6877726F" w:rsidP="00931437">
      <w:pPr>
        <w:pStyle w:val="ListParagraph"/>
        <w:numPr>
          <w:ilvl w:val="0"/>
          <w:numId w:val="2"/>
        </w:numPr>
      </w:pPr>
      <w:r w:rsidRPr="006F32A1">
        <w:t>Soil moisture</w:t>
      </w:r>
      <w:r w:rsidR="006F32A1" w:rsidRPr="006F32A1">
        <w:t xml:space="preserve"> levels and river flows are about equally</w:t>
      </w:r>
      <w:r w:rsidRPr="006F32A1">
        <w:t xml:space="preserve"> likely to be</w:t>
      </w:r>
      <w:r w:rsidR="006F32A1" w:rsidRPr="006F32A1">
        <w:t xml:space="preserve"> normal (35% chance) or</w:t>
      </w:r>
      <w:r w:rsidRPr="006F32A1">
        <w:t xml:space="preserve"> </w:t>
      </w:r>
      <w:r w:rsidR="006F32A1" w:rsidRPr="006F32A1">
        <w:t>below normal (40</w:t>
      </w:r>
      <w:r w:rsidRPr="006F32A1">
        <w:t xml:space="preserve">% chance). </w:t>
      </w:r>
    </w:p>
    <w:p w14:paraId="019C636B" w14:textId="3A32A67C" w:rsidR="00BB7911" w:rsidRDefault="6877726F" w:rsidP="00B04C5A">
      <w:r>
        <w:t>The full probability breakdown is:</w:t>
      </w:r>
    </w:p>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1802"/>
        <w:gridCol w:w="1825"/>
        <w:gridCol w:w="1800"/>
        <w:gridCol w:w="1808"/>
        <w:gridCol w:w="1791"/>
      </w:tblGrid>
      <w:tr w:rsidR="00C823B1" w14:paraId="544B7514" w14:textId="77777777" w:rsidTr="6877726F">
        <w:tc>
          <w:tcPr>
            <w:tcW w:w="1802" w:type="dxa"/>
            <w:shd w:val="clear" w:color="auto" w:fill="1F497D" w:themeFill="text2"/>
          </w:tcPr>
          <w:p w14:paraId="679EB2D2" w14:textId="77777777" w:rsidR="00C823B1" w:rsidRDefault="00C823B1" w:rsidP="00C823B1">
            <w:pPr>
              <w:spacing w:before="40" w:after="40"/>
            </w:pPr>
          </w:p>
        </w:tc>
        <w:tc>
          <w:tcPr>
            <w:tcW w:w="1825" w:type="dxa"/>
            <w:shd w:val="clear" w:color="auto" w:fill="1F497D" w:themeFill="text2"/>
          </w:tcPr>
          <w:p w14:paraId="4E3F0FE9" w14:textId="77777777" w:rsidR="00C823B1" w:rsidRPr="00C823B1" w:rsidRDefault="6877726F" w:rsidP="00C823B1">
            <w:pPr>
              <w:spacing w:before="40" w:after="40"/>
              <w:jc w:val="center"/>
              <w:rPr>
                <w:color w:val="FFFFFF" w:themeColor="background1"/>
              </w:rPr>
            </w:pPr>
            <w:r w:rsidRPr="6877726F">
              <w:rPr>
                <w:color w:val="FFFFFF" w:themeColor="background1"/>
              </w:rPr>
              <w:t>Temperature</w:t>
            </w:r>
          </w:p>
        </w:tc>
        <w:tc>
          <w:tcPr>
            <w:tcW w:w="1800" w:type="dxa"/>
            <w:shd w:val="clear" w:color="auto" w:fill="1F497D" w:themeFill="text2"/>
          </w:tcPr>
          <w:p w14:paraId="645238FB" w14:textId="77777777" w:rsidR="00C823B1" w:rsidRPr="00C823B1" w:rsidRDefault="6877726F" w:rsidP="00C823B1">
            <w:pPr>
              <w:spacing w:before="40" w:after="40"/>
              <w:jc w:val="center"/>
              <w:rPr>
                <w:color w:val="FFFFFF" w:themeColor="background1"/>
              </w:rPr>
            </w:pPr>
            <w:r w:rsidRPr="6877726F">
              <w:rPr>
                <w:color w:val="FFFFFF" w:themeColor="background1"/>
              </w:rPr>
              <w:t>Rainfall</w:t>
            </w:r>
          </w:p>
        </w:tc>
        <w:tc>
          <w:tcPr>
            <w:tcW w:w="1808" w:type="dxa"/>
            <w:shd w:val="clear" w:color="auto" w:fill="1F497D" w:themeFill="text2"/>
          </w:tcPr>
          <w:p w14:paraId="4160DF22" w14:textId="77777777" w:rsidR="00C823B1" w:rsidRPr="00C823B1" w:rsidRDefault="6877726F" w:rsidP="00C823B1">
            <w:pPr>
              <w:spacing w:before="40" w:after="40"/>
              <w:jc w:val="center"/>
              <w:rPr>
                <w:color w:val="FFFFFF" w:themeColor="background1"/>
              </w:rPr>
            </w:pPr>
            <w:r w:rsidRPr="6877726F">
              <w:rPr>
                <w:color w:val="FFFFFF" w:themeColor="background1"/>
              </w:rPr>
              <w:t>Soil moisture</w:t>
            </w:r>
          </w:p>
        </w:tc>
        <w:tc>
          <w:tcPr>
            <w:tcW w:w="1791" w:type="dxa"/>
            <w:shd w:val="clear" w:color="auto" w:fill="1F497D" w:themeFill="text2"/>
          </w:tcPr>
          <w:p w14:paraId="3C5CEF0C" w14:textId="77777777" w:rsidR="00C823B1" w:rsidRPr="00C823B1" w:rsidRDefault="6877726F" w:rsidP="00C823B1">
            <w:pPr>
              <w:spacing w:before="40" w:after="40"/>
              <w:jc w:val="center"/>
              <w:rPr>
                <w:color w:val="FFFFFF" w:themeColor="background1"/>
              </w:rPr>
            </w:pPr>
            <w:r w:rsidRPr="6877726F">
              <w:rPr>
                <w:color w:val="FFFFFF" w:themeColor="background1"/>
              </w:rPr>
              <w:t>River flows</w:t>
            </w:r>
          </w:p>
        </w:tc>
      </w:tr>
      <w:tr w:rsidR="00C045D3" w14:paraId="5894102D" w14:textId="77777777" w:rsidTr="6877726F">
        <w:tc>
          <w:tcPr>
            <w:tcW w:w="1802" w:type="dxa"/>
            <w:shd w:val="clear" w:color="auto" w:fill="95B3D7" w:themeFill="accent1" w:themeFillTint="99"/>
          </w:tcPr>
          <w:p w14:paraId="6DD7524F" w14:textId="77777777" w:rsidR="00C045D3" w:rsidRPr="00C823B1" w:rsidRDefault="00C045D3" w:rsidP="00A50EBD">
            <w:pPr>
              <w:spacing w:before="40" w:after="40"/>
              <w:rPr>
                <w:color w:val="FFFFFF" w:themeColor="background1"/>
              </w:rPr>
            </w:pPr>
            <w:r w:rsidRPr="6877726F">
              <w:rPr>
                <w:color w:val="FFFFFF" w:themeColor="background1"/>
              </w:rPr>
              <w:t>Above average</w:t>
            </w:r>
          </w:p>
        </w:tc>
        <w:tc>
          <w:tcPr>
            <w:tcW w:w="1825" w:type="dxa"/>
            <w:shd w:val="clear" w:color="auto" w:fill="B8CCE4" w:themeFill="accent1" w:themeFillTint="66"/>
          </w:tcPr>
          <w:p w14:paraId="787D9CED" w14:textId="26C9FDB4" w:rsidR="00C045D3" w:rsidRPr="008A7988" w:rsidRDefault="00374E1F" w:rsidP="0085458E">
            <w:pPr>
              <w:tabs>
                <w:tab w:val="left" w:pos="680"/>
                <w:tab w:val="center" w:pos="804"/>
              </w:tabs>
              <w:spacing w:before="40" w:after="40"/>
              <w:rPr>
                <w:color w:val="1F497D" w:themeColor="text2"/>
              </w:rPr>
            </w:pPr>
            <w:r>
              <w:rPr>
                <w:color w:val="1F497D" w:themeColor="text2"/>
              </w:rPr>
              <w:tab/>
              <w:t>40</w:t>
            </w:r>
          </w:p>
        </w:tc>
        <w:tc>
          <w:tcPr>
            <w:tcW w:w="1800" w:type="dxa"/>
            <w:shd w:val="clear" w:color="auto" w:fill="B8CCE4" w:themeFill="accent1" w:themeFillTint="66"/>
          </w:tcPr>
          <w:p w14:paraId="05FA3699" w14:textId="49E2FAF6" w:rsidR="00C045D3" w:rsidRPr="008A7988" w:rsidRDefault="00374E1F" w:rsidP="00A50EBD">
            <w:pPr>
              <w:spacing w:before="40" w:after="40"/>
              <w:jc w:val="center"/>
              <w:rPr>
                <w:color w:val="1F497D" w:themeColor="text2"/>
              </w:rPr>
            </w:pPr>
            <w:r>
              <w:rPr>
                <w:color w:val="1F497D" w:themeColor="text2"/>
              </w:rPr>
              <w:t>25</w:t>
            </w:r>
          </w:p>
        </w:tc>
        <w:tc>
          <w:tcPr>
            <w:tcW w:w="1808" w:type="dxa"/>
            <w:shd w:val="clear" w:color="auto" w:fill="B8CCE4" w:themeFill="accent1" w:themeFillTint="66"/>
          </w:tcPr>
          <w:p w14:paraId="6B0D40DB" w14:textId="3ECA3424" w:rsidR="00C045D3" w:rsidRPr="003B0CAD" w:rsidRDefault="006F32A1" w:rsidP="00A50EBD">
            <w:pPr>
              <w:spacing w:before="40" w:after="40"/>
              <w:jc w:val="center"/>
              <w:rPr>
                <w:color w:val="1F497D" w:themeColor="text2"/>
              </w:rPr>
            </w:pPr>
            <w:r>
              <w:rPr>
                <w:color w:val="1F497D" w:themeColor="text2"/>
              </w:rPr>
              <w:t>25</w:t>
            </w:r>
          </w:p>
        </w:tc>
        <w:tc>
          <w:tcPr>
            <w:tcW w:w="1791" w:type="dxa"/>
            <w:shd w:val="clear" w:color="auto" w:fill="B8CCE4" w:themeFill="accent1" w:themeFillTint="66"/>
          </w:tcPr>
          <w:p w14:paraId="767DF104" w14:textId="469ACE7E" w:rsidR="00C045D3" w:rsidRPr="003B0CAD" w:rsidRDefault="006F32A1" w:rsidP="00A50EBD">
            <w:pPr>
              <w:spacing w:before="40" w:after="40"/>
              <w:jc w:val="center"/>
              <w:rPr>
                <w:color w:val="1F497D" w:themeColor="text2"/>
              </w:rPr>
            </w:pPr>
            <w:r>
              <w:rPr>
                <w:color w:val="1F497D" w:themeColor="text2"/>
              </w:rPr>
              <w:t>25</w:t>
            </w:r>
          </w:p>
        </w:tc>
      </w:tr>
      <w:tr w:rsidR="00C045D3" w14:paraId="33106339" w14:textId="77777777" w:rsidTr="6877726F">
        <w:tc>
          <w:tcPr>
            <w:tcW w:w="1802" w:type="dxa"/>
            <w:shd w:val="clear" w:color="auto" w:fill="95B3D7" w:themeFill="accent1" w:themeFillTint="99"/>
          </w:tcPr>
          <w:p w14:paraId="433D7393" w14:textId="77777777" w:rsidR="00C045D3" w:rsidRPr="00C823B1" w:rsidRDefault="00C045D3" w:rsidP="00A50EBD">
            <w:pPr>
              <w:spacing w:before="40" w:after="40"/>
              <w:rPr>
                <w:color w:val="FFFFFF" w:themeColor="background1"/>
              </w:rPr>
            </w:pPr>
            <w:r w:rsidRPr="6877726F">
              <w:rPr>
                <w:color w:val="FFFFFF" w:themeColor="background1"/>
              </w:rPr>
              <w:t>Near average</w:t>
            </w:r>
          </w:p>
        </w:tc>
        <w:tc>
          <w:tcPr>
            <w:tcW w:w="1825" w:type="dxa"/>
            <w:shd w:val="clear" w:color="auto" w:fill="B8CCE4" w:themeFill="accent1" w:themeFillTint="66"/>
          </w:tcPr>
          <w:p w14:paraId="2787B774" w14:textId="3637D806" w:rsidR="00C045D3" w:rsidRPr="008A7988" w:rsidRDefault="00374E1F" w:rsidP="00F0677C">
            <w:pPr>
              <w:spacing w:before="40" w:after="40"/>
              <w:jc w:val="center"/>
              <w:rPr>
                <w:color w:val="1F497D" w:themeColor="text2"/>
              </w:rPr>
            </w:pPr>
            <w:r>
              <w:rPr>
                <w:color w:val="1F497D" w:themeColor="text2"/>
              </w:rPr>
              <w:t>40</w:t>
            </w:r>
          </w:p>
        </w:tc>
        <w:tc>
          <w:tcPr>
            <w:tcW w:w="1800" w:type="dxa"/>
            <w:shd w:val="clear" w:color="auto" w:fill="B8CCE4" w:themeFill="accent1" w:themeFillTint="66"/>
          </w:tcPr>
          <w:p w14:paraId="1C95A9F2" w14:textId="145940B8" w:rsidR="00C045D3" w:rsidRPr="008A7988" w:rsidRDefault="00C045D3" w:rsidP="00A50EBD">
            <w:pPr>
              <w:spacing w:before="40" w:after="40"/>
              <w:jc w:val="center"/>
              <w:rPr>
                <w:color w:val="1F497D" w:themeColor="text2"/>
              </w:rPr>
            </w:pPr>
            <w:r>
              <w:rPr>
                <w:color w:val="1F497D" w:themeColor="text2"/>
              </w:rPr>
              <w:t>35</w:t>
            </w:r>
          </w:p>
        </w:tc>
        <w:tc>
          <w:tcPr>
            <w:tcW w:w="1808" w:type="dxa"/>
            <w:shd w:val="clear" w:color="auto" w:fill="B8CCE4" w:themeFill="accent1" w:themeFillTint="66"/>
          </w:tcPr>
          <w:p w14:paraId="34A5635C" w14:textId="046842DC" w:rsidR="00C045D3" w:rsidRPr="003B0CAD" w:rsidRDefault="006F32A1" w:rsidP="00DF28E8">
            <w:pPr>
              <w:spacing w:before="40" w:after="40"/>
              <w:jc w:val="center"/>
              <w:rPr>
                <w:color w:val="1F497D" w:themeColor="text2"/>
              </w:rPr>
            </w:pPr>
            <w:r>
              <w:rPr>
                <w:color w:val="1F497D" w:themeColor="text2"/>
              </w:rPr>
              <w:t>35</w:t>
            </w:r>
          </w:p>
        </w:tc>
        <w:tc>
          <w:tcPr>
            <w:tcW w:w="1791" w:type="dxa"/>
            <w:shd w:val="clear" w:color="auto" w:fill="B8CCE4" w:themeFill="accent1" w:themeFillTint="66"/>
          </w:tcPr>
          <w:p w14:paraId="47E18DF9" w14:textId="147143D8" w:rsidR="00C045D3" w:rsidRPr="003B0CAD" w:rsidRDefault="006F32A1" w:rsidP="00A50EBD">
            <w:pPr>
              <w:spacing w:before="40" w:after="40"/>
              <w:jc w:val="center"/>
              <w:rPr>
                <w:color w:val="1F497D" w:themeColor="text2"/>
              </w:rPr>
            </w:pPr>
            <w:r>
              <w:rPr>
                <w:color w:val="1F497D" w:themeColor="text2"/>
              </w:rPr>
              <w:t>35</w:t>
            </w:r>
          </w:p>
        </w:tc>
      </w:tr>
      <w:tr w:rsidR="00C045D3" w14:paraId="2481BA84" w14:textId="77777777" w:rsidTr="6877726F">
        <w:tc>
          <w:tcPr>
            <w:tcW w:w="1802" w:type="dxa"/>
            <w:shd w:val="clear" w:color="auto" w:fill="95B3D7" w:themeFill="accent1" w:themeFillTint="99"/>
          </w:tcPr>
          <w:p w14:paraId="16BB4C6A" w14:textId="77777777" w:rsidR="00C045D3" w:rsidRPr="00C823B1" w:rsidRDefault="00C045D3" w:rsidP="00A50EBD">
            <w:pPr>
              <w:spacing w:before="40" w:after="40"/>
              <w:rPr>
                <w:color w:val="FFFFFF" w:themeColor="background1"/>
              </w:rPr>
            </w:pPr>
            <w:r w:rsidRPr="6877726F">
              <w:rPr>
                <w:color w:val="FFFFFF" w:themeColor="background1"/>
              </w:rPr>
              <w:t>Below average</w:t>
            </w:r>
          </w:p>
        </w:tc>
        <w:tc>
          <w:tcPr>
            <w:tcW w:w="1825" w:type="dxa"/>
            <w:shd w:val="clear" w:color="auto" w:fill="B8CCE4" w:themeFill="accent1" w:themeFillTint="66"/>
          </w:tcPr>
          <w:p w14:paraId="2A6F35A8" w14:textId="6DD16A01" w:rsidR="00C045D3" w:rsidRPr="008A7988" w:rsidRDefault="00374E1F" w:rsidP="00A50EBD">
            <w:pPr>
              <w:spacing w:before="40" w:after="40"/>
              <w:jc w:val="center"/>
              <w:rPr>
                <w:color w:val="1F497D" w:themeColor="text2"/>
              </w:rPr>
            </w:pPr>
            <w:r>
              <w:rPr>
                <w:color w:val="1F497D" w:themeColor="text2"/>
              </w:rPr>
              <w:t>20</w:t>
            </w:r>
          </w:p>
        </w:tc>
        <w:tc>
          <w:tcPr>
            <w:tcW w:w="1800" w:type="dxa"/>
            <w:shd w:val="clear" w:color="auto" w:fill="B8CCE4" w:themeFill="accent1" w:themeFillTint="66"/>
          </w:tcPr>
          <w:p w14:paraId="076A3BE3" w14:textId="7A21DBE5" w:rsidR="00C045D3" w:rsidRPr="008A7988" w:rsidRDefault="00374E1F" w:rsidP="001062B0">
            <w:pPr>
              <w:spacing w:before="40" w:after="40"/>
              <w:jc w:val="center"/>
              <w:rPr>
                <w:color w:val="1F497D" w:themeColor="text2"/>
              </w:rPr>
            </w:pPr>
            <w:r>
              <w:rPr>
                <w:color w:val="1F497D" w:themeColor="text2"/>
              </w:rPr>
              <w:t>40</w:t>
            </w:r>
          </w:p>
        </w:tc>
        <w:tc>
          <w:tcPr>
            <w:tcW w:w="1808" w:type="dxa"/>
            <w:shd w:val="clear" w:color="auto" w:fill="B8CCE4" w:themeFill="accent1" w:themeFillTint="66"/>
          </w:tcPr>
          <w:p w14:paraId="11881C61" w14:textId="710C704F" w:rsidR="00C045D3" w:rsidRPr="003B0CAD" w:rsidRDefault="006F32A1" w:rsidP="00A50EBD">
            <w:pPr>
              <w:spacing w:before="40" w:after="40"/>
              <w:jc w:val="center"/>
              <w:rPr>
                <w:color w:val="1F497D" w:themeColor="text2"/>
              </w:rPr>
            </w:pPr>
            <w:r>
              <w:rPr>
                <w:color w:val="1F497D" w:themeColor="text2"/>
              </w:rPr>
              <w:t>40</w:t>
            </w:r>
          </w:p>
        </w:tc>
        <w:tc>
          <w:tcPr>
            <w:tcW w:w="1791" w:type="dxa"/>
            <w:shd w:val="clear" w:color="auto" w:fill="B8CCE4" w:themeFill="accent1" w:themeFillTint="66"/>
          </w:tcPr>
          <w:p w14:paraId="2DB56F76" w14:textId="5394BC6C" w:rsidR="00C045D3" w:rsidRPr="003B0CAD" w:rsidRDefault="006F32A1" w:rsidP="00A50EBD">
            <w:pPr>
              <w:spacing w:before="40" w:after="40"/>
              <w:jc w:val="center"/>
              <w:rPr>
                <w:color w:val="1F497D" w:themeColor="text2"/>
              </w:rPr>
            </w:pPr>
            <w:r>
              <w:rPr>
                <w:color w:val="1F497D" w:themeColor="text2"/>
              </w:rPr>
              <w:t>40</w:t>
            </w:r>
          </w:p>
        </w:tc>
      </w:tr>
    </w:tbl>
    <w:p w14:paraId="41FED2DF" w14:textId="77777777" w:rsidR="009B28BB" w:rsidRDefault="009B28BB">
      <w:pPr>
        <w:rPr>
          <w:b/>
        </w:rPr>
      </w:pPr>
      <w:bookmarkStart w:id="4" w:name="centnitarwangmanwel"/>
      <w:bookmarkEnd w:id="4"/>
    </w:p>
    <w:p w14:paraId="1FDD19B8" w14:textId="1DDE9170" w:rsidR="00BB7911" w:rsidRPr="007500C4" w:rsidRDefault="6877726F">
      <w:pPr>
        <w:rPr>
          <w:b/>
        </w:rPr>
      </w:pPr>
      <w:r w:rsidRPr="6877726F">
        <w:rPr>
          <w:b/>
          <w:bCs/>
        </w:rPr>
        <w:t>Central North Island, Taranaki, Whanganui, Manawatu, Wellington</w:t>
      </w:r>
    </w:p>
    <w:p w14:paraId="47BA2ACC" w14:textId="77777777" w:rsidR="007500C4" w:rsidRDefault="6877726F" w:rsidP="00C56CBC">
      <w:pPr>
        <w:spacing w:after="120"/>
      </w:pPr>
      <w:r>
        <w:lastRenderedPageBreak/>
        <w:t xml:space="preserve">Probabilities are assigned in three categories: above average, near average, and below average. </w:t>
      </w:r>
    </w:p>
    <w:p w14:paraId="3F178EA1" w14:textId="1DB00A1A" w:rsidR="00655F8F" w:rsidRDefault="6877726F" w:rsidP="7EC835B1">
      <w:pPr>
        <w:pStyle w:val="ListParagraph"/>
        <w:numPr>
          <w:ilvl w:val="0"/>
          <w:numId w:val="2"/>
        </w:numPr>
      </w:pPr>
      <w:r>
        <w:t>Temperatures are mo</w:t>
      </w:r>
      <w:r w:rsidR="00345AB0">
        <w:t>st likely to be near</w:t>
      </w:r>
      <w:r w:rsidR="00900072">
        <w:t xml:space="preserve"> average (45</w:t>
      </w:r>
      <w:r>
        <w:t>% chance).</w:t>
      </w:r>
    </w:p>
    <w:p w14:paraId="23390338" w14:textId="4A9C17F2" w:rsidR="00900072" w:rsidRDefault="00900072" w:rsidP="00900072">
      <w:pPr>
        <w:pStyle w:val="ListParagraph"/>
        <w:numPr>
          <w:ilvl w:val="0"/>
          <w:numId w:val="2"/>
        </w:numPr>
      </w:pPr>
      <w:r>
        <w:t xml:space="preserve">Rainfall totals are about equally likely to be in the near normal (35% chance) or </w:t>
      </w:r>
      <w:r w:rsidR="001A037C">
        <w:t xml:space="preserve">below </w:t>
      </w:r>
      <w:r>
        <w:t>normal range (40% chance).</w:t>
      </w:r>
    </w:p>
    <w:p w14:paraId="62894970" w14:textId="4A74A369" w:rsidR="001132A7" w:rsidRPr="006F32A1" w:rsidRDefault="001132A7" w:rsidP="001132A7">
      <w:pPr>
        <w:pStyle w:val="ListParagraph"/>
        <w:numPr>
          <w:ilvl w:val="0"/>
          <w:numId w:val="2"/>
        </w:numPr>
      </w:pPr>
      <w:r w:rsidRPr="006F32A1">
        <w:t xml:space="preserve">Soil moisture </w:t>
      </w:r>
      <w:r>
        <w:t>levels and river flows are</w:t>
      </w:r>
      <w:r w:rsidRPr="006F32A1">
        <w:t xml:space="preserve"> equally likely to be normal (35% chance) or below no</w:t>
      </w:r>
      <w:r>
        <w:t>rmal (35</w:t>
      </w:r>
      <w:r w:rsidRPr="006F32A1">
        <w:t xml:space="preserve">% chance). </w:t>
      </w:r>
    </w:p>
    <w:p w14:paraId="5C6E897E" w14:textId="29F32A37" w:rsidR="007500C4" w:rsidRDefault="6877726F" w:rsidP="00F9638D">
      <w:r>
        <w:t>The full probability breakdown is:</w:t>
      </w:r>
    </w:p>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1802"/>
        <w:gridCol w:w="1825"/>
        <w:gridCol w:w="1800"/>
        <w:gridCol w:w="1808"/>
        <w:gridCol w:w="1791"/>
      </w:tblGrid>
      <w:tr w:rsidR="00986BB7" w14:paraId="10141480" w14:textId="77777777" w:rsidTr="6877726F">
        <w:tc>
          <w:tcPr>
            <w:tcW w:w="1802" w:type="dxa"/>
            <w:shd w:val="clear" w:color="auto" w:fill="1F497D" w:themeFill="text2"/>
          </w:tcPr>
          <w:p w14:paraId="7E89D000" w14:textId="77777777" w:rsidR="00986BB7" w:rsidRDefault="00986BB7" w:rsidP="002907BF">
            <w:pPr>
              <w:spacing w:before="40" w:after="40"/>
            </w:pPr>
          </w:p>
        </w:tc>
        <w:tc>
          <w:tcPr>
            <w:tcW w:w="1825" w:type="dxa"/>
            <w:shd w:val="clear" w:color="auto" w:fill="1F497D" w:themeFill="text2"/>
          </w:tcPr>
          <w:p w14:paraId="07FD8E68" w14:textId="77777777" w:rsidR="00986BB7" w:rsidRPr="00C823B1" w:rsidRDefault="6877726F" w:rsidP="002907BF">
            <w:pPr>
              <w:spacing w:before="40" w:after="40"/>
              <w:jc w:val="center"/>
              <w:rPr>
                <w:color w:val="FFFFFF" w:themeColor="background1"/>
              </w:rPr>
            </w:pPr>
            <w:r w:rsidRPr="6877726F">
              <w:rPr>
                <w:color w:val="FFFFFF" w:themeColor="background1"/>
              </w:rPr>
              <w:t>Temperature</w:t>
            </w:r>
          </w:p>
        </w:tc>
        <w:tc>
          <w:tcPr>
            <w:tcW w:w="1800" w:type="dxa"/>
            <w:shd w:val="clear" w:color="auto" w:fill="1F497D" w:themeFill="text2"/>
          </w:tcPr>
          <w:p w14:paraId="254CEFBE" w14:textId="77777777" w:rsidR="00986BB7" w:rsidRPr="00C823B1" w:rsidRDefault="6877726F" w:rsidP="002907BF">
            <w:pPr>
              <w:spacing w:before="40" w:after="40"/>
              <w:jc w:val="center"/>
              <w:rPr>
                <w:color w:val="FFFFFF" w:themeColor="background1"/>
              </w:rPr>
            </w:pPr>
            <w:r w:rsidRPr="6877726F">
              <w:rPr>
                <w:color w:val="FFFFFF" w:themeColor="background1"/>
              </w:rPr>
              <w:t>Rainfall</w:t>
            </w:r>
          </w:p>
        </w:tc>
        <w:tc>
          <w:tcPr>
            <w:tcW w:w="1808" w:type="dxa"/>
            <w:shd w:val="clear" w:color="auto" w:fill="1F497D" w:themeFill="text2"/>
          </w:tcPr>
          <w:p w14:paraId="13961C33" w14:textId="77777777" w:rsidR="00986BB7" w:rsidRPr="00C823B1" w:rsidRDefault="6877726F" w:rsidP="002907BF">
            <w:pPr>
              <w:spacing w:before="40" w:after="40"/>
              <w:jc w:val="center"/>
              <w:rPr>
                <w:color w:val="FFFFFF" w:themeColor="background1"/>
              </w:rPr>
            </w:pPr>
            <w:r w:rsidRPr="6877726F">
              <w:rPr>
                <w:color w:val="FFFFFF" w:themeColor="background1"/>
              </w:rPr>
              <w:t>Soil moisture</w:t>
            </w:r>
          </w:p>
        </w:tc>
        <w:tc>
          <w:tcPr>
            <w:tcW w:w="1791" w:type="dxa"/>
            <w:shd w:val="clear" w:color="auto" w:fill="1F497D" w:themeFill="text2"/>
          </w:tcPr>
          <w:p w14:paraId="00C491A5" w14:textId="77777777" w:rsidR="00986BB7" w:rsidRPr="00C823B1" w:rsidRDefault="6877726F" w:rsidP="002907BF">
            <w:pPr>
              <w:spacing w:before="40" w:after="40"/>
              <w:jc w:val="center"/>
              <w:rPr>
                <w:color w:val="FFFFFF" w:themeColor="background1"/>
              </w:rPr>
            </w:pPr>
            <w:r w:rsidRPr="6877726F">
              <w:rPr>
                <w:color w:val="FFFFFF" w:themeColor="background1"/>
              </w:rPr>
              <w:t>River flows</w:t>
            </w:r>
          </w:p>
        </w:tc>
      </w:tr>
      <w:tr w:rsidR="00390E5D" w14:paraId="50878BCF" w14:textId="77777777" w:rsidTr="6877726F">
        <w:tc>
          <w:tcPr>
            <w:tcW w:w="1802" w:type="dxa"/>
            <w:shd w:val="clear" w:color="auto" w:fill="95B3D7" w:themeFill="accent1" w:themeFillTint="99"/>
          </w:tcPr>
          <w:p w14:paraId="6D6336C2" w14:textId="77777777" w:rsidR="00390E5D" w:rsidRPr="00C823B1" w:rsidRDefault="00390E5D" w:rsidP="00F83712">
            <w:pPr>
              <w:spacing w:before="40" w:after="40"/>
              <w:rPr>
                <w:color w:val="FFFFFF" w:themeColor="background1"/>
              </w:rPr>
            </w:pPr>
            <w:r w:rsidRPr="6877726F">
              <w:rPr>
                <w:color w:val="FFFFFF" w:themeColor="background1"/>
              </w:rPr>
              <w:t>Above average</w:t>
            </w:r>
          </w:p>
        </w:tc>
        <w:tc>
          <w:tcPr>
            <w:tcW w:w="1825" w:type="dxa"/>
            <w:shd w:val="clear" w:color="auto" w:fill="B8CCE4" w:themeFill="accent1" w:themeFillTint="66"/>
          </w:tcPr>
          <w:p w14:paraId="1238A807" w14:textId="120E5F60" w:rsidR="00390E5D" w:rsidRPr="008A7988" w:rsidRDefault="00900072" w:rsidP="00F9541D">
            <w:pPr>
              <w:spacing w:before="40" w:after="40"/>
              <w:jc w:val="center"/>
              <w:rPr>
                <w:color w:val="1F497D" w:themeColor="text2"/>
              </w:rPr>
            </w:pPr>
            <w:r>
              <w:rPr>
                <w:color w:val="1F497D" w:themeColor="text2"/>
              </w:rPr>
              <w:t>30</w:t>
            </w:r>
          </w:p>
        </w:tc>
        <w:tc>
          <w:tcPr>
            <w:tcW w:w="1800" w:type="dxa"/>
            <w:shd w:val="clear" w:color="auto" w:fill="B8CCE4" w:themeFill="accent1" w:themeFillTint="66"/>
          </w:tcPr>
          <w:p w14:paraId="2292D3DC" w14:textId="4FD60B41" w:rsidR="00390E5D" w:rsidRPr="008A7988" w:rsidRDefault="00900072" w:rsidP="00F0677C">
            <w:pPr>
              <w:spacing w:before="40" w:after="40"/>
              <w:jc w:val="center"/>
              <w:rPr>
                <w:color w:val="1F497D" w:themeColor="text2"/>
              </w:rPr>
            </w:pPr>
            <w:r>
              <w:rPr>
                <w:color w:val="1F497D" w:themeColor="text2"/>
              </w:rPr>
              <w:t>25</w:t>
            </w:r>
          </w:p>
        </w:tc>
        <w:tc>
          <w:tcPr>
            <w:tcW w:w="1808" w:type="dxa"/>
            <w:shd w:val="clear" w:color="auto" w:fill="B8CCE4" w:themeFill="accent1" w:themeFillTint="66"/>
          </w:tcPr>
          <w:p w14:paraId="75D6650D" w14:textId="64B70D86" w:rsidR="00390E5D" w:rsidRPr="003B0CAD" w:rsidRDefault="001132A7" w:rsidP="008E24C4">
            <w:pPr>
              <w:tabs>
                <w:tab w:val="left" w:pos="620"/>
                <w:tab w:val="center" w:pos="796"/>
              </w:tabs>
              <w:spacing w:before="40" w:after="40"/>
              <w:jc w:val="center"/>
              <w:rPr>
                <w:color w:val="1F497D" w:themeColor="text2"/>
              </w:rPr>
            </w:pPr>
            <w:r>
              <w:rPr>
                <w:color w:val="1F497D" w:themeColor="text2"/>
              </w:rPr>
              <w:t>30</w:t>
            </w:r>
          </w:p>
        </w:tc>
        <w:tc>
          <w:tcPr>
            <w:tcW w:w="1791" w:type="dxa"/>
            <w:shd w:val="clear" w:color="auto" w:fill="B8CCE4" w:themeFill="accent1" w:themeFillTint="66"/>
          </w:tcPr>
          <w:p w14:paraId="3CEFA486" w14:textId="2FEC8CE3" w:rsidR="00390E5D" w:rsidRPr="003B0CAD" w:rsidRDefault="001132A7" w:rsidP="008E24C4">
            <w:pPr>
              <w:tabs>
                <w:tab w:val="left" w:pos="590"/>
                <w:tab w:val="center" w:pos="787"/>
              </w:tabs>
              <w:spacing w:before="40" w:after="40"/>
              <w:jc w:val="center"/>
              <w:rPr>
                <w:color w:val="1F497D" w:themeColor="text2"/>
              </w:rPr>
            </w:pPr>
            <w:r>
              <w:rPr>
                <w:color w:val="1F497D" w:themeColor="text2"/>
              </w:rPr>
              <w:t>30</w:t>
            </w:r>
          </w:p>
        </w:tc>
      </w:tr>
      <w:tr w:rsidR="00390E5D" w14:paraId="7DD3A47A" w14:textId="77777777" w:rsidTr="6877726F">
        <w:tc>
          <w:tcPr>
            <w:tcW w:w="1802" w:type="dxa"/>
            <w:shd w:val="clear" w:color="auto" w:fill="95B3D7" w:themeFill="accent1" w:themeFillTint="99"/>
          </w:tcPr>
          <w:p w14:paraId="7B0B69F3" w14:textId="77777777" w:rsidR="00390E5D" w:rsidRPr="00C823B1" w:rsidRDefault="00390E5D" w:rsidP="00F83712">
            <w:pPr>
              <w:spacing w:before="40" w:after="40"/>
              <w:rPr>
                <w:color w:val="FFFFFF" w:themeColor="background1"/>
              </w:rPr>
            </w:pPr>
            <w:r w:rsidRPr="6877726F">
              <w:rPr>
                <w:color w:val="FFFFFF" w:themeColor="background1"/>
              </w:rPr>
              <w:t>Near average</w:t>
            </w:r>
          </w:p>
        </w:tc>
        <w:tc>
          <w:tcPr>
            <w:tcW w:w="1825" w:type="dxa"/>
            <w:shd w:val="clear" w:color="auto" w:fill="B8CCE4" w:themeFill="accent1" w:themeFillTint="66"/>
          </w:tcPr>
          <w:p w14:paraId="7FEC82BD" w14:textId="232828CD" w:rsidR="00390E5D" w:rsidRPr="008A7988" w:rsidRDefault="00900072" w:rsidP="00F9541D">
            <w:pPr>
              <w:spacing w:before="40" w:after="40"/>
              <w:jc w:val="center"/>
              <w:rPr>
                <w:color w:val="1F497D" w:themeColor="text2"/>
              </w:rPr>
            </w:pPr>
            <w:r>
              <w:rPr>
                <w:color w:val="1F497D" w:themeColor="text2"/>
              </w:rPr>
              <w:t>45</w:t>
            </w:r>
          </w:p>
        </w:tc>
        <w:tc>
          <w:tcPr>
            <w:tcW w:w="1800" w:type="dxa"/>
            <w:shd w:val="clear" w:color="auto" w:fill="B8CCE4" w:themeFill="accent1" w:themeFillTint="66"/>
          </w:tcPr>
          <w:p w14:paraId="2F60896B" w14:textId="37AE2905" w:rsidR="00390E5D" w:rsidRPr="008A7988" w:rsidRDefault="00900072" w:rsidP="00F83712">
            <w:pPr>
              <w:spacing w:before="40" w:after="40"/>
              <w:jc w:val="center"/>
              <w:rPr>
                <w:color w:val="1F497D" w:themeColor="text2"/>
              </w:rPr>
            </w:pPr>
            <w:r>
              <w:rPr>
                <w:color w:val="1F497D" w:themeColor="text2"/>
              </w:rPr>
              <w:t>35</w:t>
            </w:r>
          </w:p>
        </w:tc>
        <w:tc>
          <w:tcPr>
            <w:tcW w:w="1808" w:type="dxa"/>
            <w:shd w:val="clear" w:color="auto" w:fill="B8CCE4" w:themeFill="accent1" w:themeFillTint="66"/>
          </w:tcPr>
          <w:p w14:paraId="258491FC" w14:textId="46B7543A" w:rsidR="00390E5D" w:rsidRPr="003B0CAD" w:rsidRDefault="001132A7" w:rsidP="008E24C4">
            <w:pPr>
              <w:tabs>
                <w:tab w:val="center" w:pos="796"/>
              </w:tabs>
              <w:spacing w:before="40" w:after="40"/>
              <w:jc w:val="center"/>
              <w:rPr>
                <w:color w:val="1F497D" w:themeColor="text2"/>
              </w:rPr>
            </w:pPr>
            <w:r>
              <w:rPr>
                <w:color w:val="1F497D" w:themeColor="text2"/>
              </w:rPr>
              <w:t>35</w:t>
            </w:r>
          </w:p>
        </w:tc>
        <w:tc>
          <w:tcPr>
            <w:tcW w:w="1791" w:type="dxa"/>
            <w:shd w:val="clear" w:color="auto" w:fill="B8CCE4" w:themeFill="accent1" w:themeFillTint="66"/>
          </w:tcPr>
          <w:p w14:paraId="69E1284B" w14:textId="2526CDAC" w:rsidR="00390E5D" w:rsidRPr="003B0CAD" w:rsidRDefault="001132A7" w:rsidP="008E24C4">
            <w:pPr>
              <w:tabs>
                <w:tab w:val="left" w:pos="590"/>
                <w:tab w:val="center" w:pos="787"/>
              </w:tabs>
              <w:spacing w:before="40" w:after="40"/>
              <w:jc w:val="center"/>
              <w:rPr>
                <w:color w:val="1F497D" w:themeColor="text2"/>
              </w:rPr>
            </w:pPr>
            <w:r>
              <w:rPr>
                <w:color w:val="1F497D" w:themeColor="text2"/>
              </w:rPr>
              <w:t>35</w:t>
            </w:r>
          </w:p>
        </w:tc>
      </w:tr>
      <w:tr w:rsidR="00390E5D" w14:paraId="41FE675D" w14:textId="77777777" w:rsidTr="6877726F">
        <w:tc>
          <w:tcPr>
            <w:tcW w:w="1802" w:type="dxa"/>
            <w:shd w:val="clear" w:color="auto" w:fill="95B3D7" w:themeFill="accent1" w:themeFillTint="99"/>
          </w:tcPr>
          <w:p w14:paraId="3B59D75A" w14:textId="77777777" w:rsidR="00390E5D" w:rsidRPr="00C823B1" w:rsidRDefault="00390E5D" w:rsidP="00F83712">
            <w:pPr>
              <w:spacing w:before="40" w:after="40"/>
              <w:rPr>
                <w:color w:val="FFFFFF" w:themeColor="background1"/>
              </w:rPr>
            </w:pPr>
            <w:r w:rsidRPr="6877726F">
              <w:rPr>
                <w:color w:val="FFFFFF" w:themeColor="background1"/>
              </w:rPr>
              <w:t>Below average</w:t>
            </w:r>
          </w:p>
        </w:tc>
        <w:tc>
          <w:tcPr>
            <w:tcW w:w="1825" w:type="dxa"/>
            <w:shd w:val="clear" w:color="auto" w:fill="B8CCE4" w:themeFill="accent1" w:themeFillTint="66"/>
          </w:tcPr>
          <w:p w14:paraId="00A77B6E" w14:textId="5B3C9869" w:rsidR="00390E5D" w:rsidRPr="008A7988" w:rsidRDefault="00390E5D" w:rsidP="00F9541D">
            <w:pPr>
              <w:spacing w:before="40" w:after="40"/>
              <w:jc w:val="center"/>
              <w:rPr>
                <w:color w:val="1F497D" w:themeColor="text2"/>
              </w:rPr>
            </w:pPr>
            <w:r>
              <w:rPr>
                <w:color w:val="1F497D" w:themeColor="text2"/>
              </w:rPr>
              <w:t>25</w:t>
            </w:r>
          </w:p>
        </w:tc>
        <w:tc>
          <w:tcPr>
            <w:tcW w:w="1800" w:type="dxa"/>
            <w:shd w:val="clear" w:color="auto" w:fill="B8CCE4" w:themeFill="accent1" w:themeFillTint="66"/>
          </w:tcPr>
          <w:p w14:paraId="3436D55F" w14:textId="3ED52538" w:rsidR="00390E5D" w:rsidRPr="008A7988" w:rsidRDefault="00390E5D" w:rsidP="00F83712">
            <w:pPr>
              <w:spacing w:before="40" w:after="40"/>
              <w:jc w:val="center"/>
              <w:rPr>
                <w:color w:val="1F497D" w:themeColor="text2"/>
              </w:rPr>
            </w:pPr>
            <w:r>
              <w:rPr>
                <w:color w:val="1F497D" w:themeColor="text2"/>
              </w:rPr>
              <w:t>40</w:t>
            </w:r>
          </w:p>
        </w:tc>
        <w:tc>
          <w:tcPr>
            <w:tcW w:w="1808" w:type="dxa"/>
            <w:shd w:val="clear" w:color="auto" w:fill="B8CCE4" w:themeFill="accent1" w:themeFillTint="66"/>
          </w:tcPr>
          <w:p w14:paraId="36A47003" w14:textId="505755C8" w:rsidR="00390E5D" w:rsidRPr="003B0CAD" w:rsidRDefault="00390E5D" w:rsidP="008E24C4">
            <w:pPr>
              <w:spacing w:before="40" w:after="40"/>
              <w:jc w:val="center"/>
              <w:rPr>
                <w:color w:val="1F497D" w:themeColor="text2"/>
              </w:rPr>
            </w:pPr>
            <w:r>
              <w:rPr>
                <w:color w:val="1F497D" w:themeColor="text2"/>
              </w:rPr>
              <w:t>35</w:t>
            </w:r>
          </w:p>
        </w:tc>
        <w:tc>
          <w:tcPr>
            <w:tcW w:w="1791" w:type="dxa"/>
            <w:shd w:val="clear" w:color="auto" w:fill="B8CCE4" w:themeFill="accent1" w:themeFillTint="66"/>
          </w:tcPr>
          <w:p w14:paraId="5D69E18B" w14:textId="143FCCF8" w:rsidR="00390E5D" w:rsidRPr="003B0CAD" w:rsidRDefault="00390E5D" w:rsidP="008E24C4">
            <w:pPr>
              <w:spacing w:before="40" w:after="40"/>
              <w:jc w:val="center"/>
              <w:rPr>
                <w:color w:val="1F497D" w:themeColor="text2"/>
              </w:rPr>
            </w:pPr>
            <w:r>
              <w:rPr>
                <w:color w:val="1F497D" w:themeColor="text2"/>
              </w:rPr>
              <w:t>35</w:t>
            </w:r>
          </w:p>
        </w:tc>
      </w:tr>
    </w:tbl>
    <w:p w14:paraId="1F9D7524" w14:textId="77777777" w:rsidR="00851A2A" w:rsidRDefault="00851A2A">
      <w:pPr>
        <w:rPr>
          <w:b/>
        </w:rPr>
      </w:pPr>
    </w:p>
    <w:p w14:paraId="3515E989" w14:textId="77777777" w:rsidR="00986BB7" w:rsidRPr="00282FE0" w:rsidRDefault="00282FE0">
      <w:pPr>
        <w:rPr>
          <w:b/>
        </w:rPr>
      </w:pPr>
      <w:bookmarkStart w:id="5" w:name="gishbwair"/>
      <w:bookmarkEnd w:id="5"/>
      <w:r w:rsidRPr="7EC835B1">
        <w:rPr>
          <w:b/>
          <w:bCs/>
        </w:rPr>
        <w:t>Gisborne, Hawke’s Bay, Wairarapa</w:t>
      </w:r>
    </w:p>
    <w:p w14:paraId="770D9C50" w14:textId="3A98833B" w:rsidR="007500C4" w:rsidRDefault="6877726F" w:rsidP="00C56CBC">
      <w:pPr>
        <w:spacing w:after="120"/>
      </w:pPr>
      <w:r>
        <w:t xml:space="preserve">Probabilities are assigned in three categories: above average, near average, and below average. </w:t>
      </w:r>
    </w:p>
    <w:p w14:paraId="3587225C" w14:textId="14583409" w:rsidR="00340478" w:rsidRPr="00340478" w:rsidRDefault="00900072" w:rsidP="7EC835B1">
      <w:pPr>
        <w:pStyle w:val="ListParagraph"/>
        <w:numPr>
          <w:ilvl w:val="0"/>
          <w:numId w:val="2"/>
        </w:numPr>
      </w:pPr>
      <w:r>
        <w:t>Temperatures are</w:t>
      </w:r>
      <w:r w:rsidR="6877726F">
        <w:t xml:space="preserve"> equal</w:t>
      </w:r>
      <w:r>
        <w:t>ly likely to be near average (40</w:t>
      </w:r>
      <w:r w:rsidR="002B3A42">
        <w:t>% chance) or above average (40</w:t>
      </w:r>
      <w:r w:rsidR="6877726F">
        <w:t>% chance).</w:t>
      </w:r>
    </w:p>
    <w:p w14:paraId="6B963FB1" w14:textId="718DB2FD" w:rsidR="00900072" w:rsidRDefault="00900072" w:rsidP="00900072">
      <w:pPr>
        <w:pStyle w:val="ListParagraph"/>
        <w:numPr>
          <w:ilvl w:val="0"/>
          <w:numId w:val="2"/>
        </w:numPr>
      </w:pPr>
      <w:r>
        <w:t xml:space="preserve">Rainfall totals are about equally likely to be in the near normal (35% chance) or </w:t>
      </w:r>
      <w:r w:rsidR="001A037C">
        <w:t xml:space="preserve">below </w:t>
      </w:r>
      <w:r>
        <w:t>normal range (40% chance).</w:t>
      </w:r>
    </w:p>
    <w:p w14:paraId="750DD536" w14:textId="77777777" w:rsidR="001132A7" w:rsidRPr="006F32A1" w:rsidRDefault="001132A7" w:rsidP="001132A7">
      <w:pPr>
        <w:pStyle w:val="ListParagraph"/>
        <w:numPr>
          <w:ilvl w:val="0"/>
          <w:numId w:val="2"/>
        </w:numPr>
      </w:pPr>
      <w:r w:rsidRPr="006F32A1">
        <w:t xml:space="preserve">Soil moisture levels and river flows are about equally likely to be normal (35% chance) or below normal (40% chance). </w:t>
      </w:r>
    </w:p>
    <w:p w14:paraId="4314348D" w14:textId="10AEAB0B" w:rsidR="007500C4" w:rsidRDefault="6877726F" w:rsidP="00C56CBC">
      <w:pPr>
        <w:spacing w:after="120"/>
      </w:pPr>
      <w:r>
        <w:t>The full probability breakdown is:</w:t>
      </w:r>
    </w:p>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1802"/>
        <w:gridCol w:w="1825"/>
        <w:gridCol w:w="1800"/>
        <w:gridCol w:w="1808"/>
        <w:gridCol w:w="1791"/>
      </w:tblGrid>
      <w:tr w:rsidR="00282FE0" w14:paraId="306F42F7" w14:textId="77777777" w:rsidTr="6877726F">
        <w:tc>
          <w:tcPr>
            <w:tcW w:w="1802" w:type="dxa"/>
            <w:shd w:val="clear" w:color="auto" w:fill="1F497D" w:themeFill="text2"/>
          </w:tcPr>
          <w:p w14:paraId="25439B76" w14:textId="77777777" w:rsidR="00282FE0" w:rsidRDefault="00282FE0" w:rsidP="002907BF">
            <w:pPr>
              <w:spacing w:before="40" w:after="40"/>
            </w:pPr>
          </w:p>
        </w:tc>
        <w:tc>
          <w:tcPr>
            <w:tcW w:w="1825" w:type="dxa"/>
            <w:shd w:val="clear" w:color="auto" w:fill="1F497D" w:themeFill="text2"/>
          </w:tcPr>
          <w:p w14:paraId="2DAFB88A" w14:textId="77777777" w:rsidR="00282FE0" w:rsidRPr="00C823B1" w:rsidRDefault="6877726F" w:rsidP="002907BF">
            <w:pPr>
              <w:spacing w:before="40" w:after="40"/>
              <w:jc w:val="center"/>
              <w:rPr>
                <w:color w:val="FFFFFF" w:themeColor="background1"/>
              </w:rPr>
            </w:pPr>
            <w:r w:rsidRPr="6877726F">
              <w:rPr>
                <w:color w:val="FFFFFF" w:themeColor="background1"/>
              </w:rPr>
              <w:t>Temperature</w:t>
            </w:r>
          </w:p>
        </w:tc>
        <w:tc>
          <w:tcPr>
            <w:tcW w:w="1800" w:type="dxa"/>
            <w:shd w:val="clear" w:color="auto" w:fill="1F497D" w:themeFill="text2"/>
          </w:tcPr>
          <w:p w14:paraId="4947423A" w14:textId="77777777" w:rsidR="00282FE0" w:rsidRPr="00C823B1" w:rsidRDefault="6877726F" w:rsidP="002907BF">
            <w:pPr>
              <w:spacing w:before="40" w:after="40"/>
              <w:jc w:val="center"/>
              <w:rPr>
                <w:color w:val="FFFFFF" w:themeColor="background1"/>
              </w:rPr>
            </w:pPr>
            <w:r w:rsidRPr="6877726F">
              <w:rPr>
                <w:color w:val="FFFFFF" w:themeColor="background1"/>
              </w:rPr>
              <w:t>Rainfall</w:t>
            </w:r>
          </w:p>
        </w:tc>
        <w:tc>
          <w:tcPr>
            <w:tcW w:w="1808" w:type="dxa"/>
            <w:shd w:val="clear" w:color="auto" w:fill="1F497D" w:themeFill="text2"/>
          </w:tcPr>
          <w:p w14:paraId="4DC47879" w14:textId="77777777" w:rsidR="00282FE0" w:rsidRPr="00C823B1" w:rsidRDefault="6877726F" w:rsidP="002907BF">
            <w:pPr>
              <w:spacing w:before="40" w:after="40"/>
              <w:jc w:val="center"/>
              <w:rPr>
                <w:color w:val="FFFFFF" w:themeColor="background1"/>
              </w:rPr>
            </w:pPr>
            <w:r w:rsidRPr="6877726F">
              <w:rPr>
                <w:color w:val="FFFFFF" w:themeColor="background1"/>
              </w:rPr>
              <w:t>Soil moisture</w:t>
            </w:r>
          </w:p>
        </w:tc>
        <w:tc>
          <w:tcPr>
            <w:tcW w:w="1791" w:type="dxa"/>
            <w:shd w:val="clear" w:color="auto" w:fill="1F497D" w:themeFill="text2"/>
          </w:tcPr>
          <w:p w14:paraId="054E85CA" w14:textId="77777777" w:rsidR="00282FE0" w:rsidRPr="00C823B1" w:rsidRDefault="6877726F" w:rsidP="002907BF">
            <w:pPr>
              <w:spacing w:before="40" w:after="40"/>
              <w:jc w:val="center"/>
              <w:rPr>
                <w:color w:val="FFFFFF" w:themeColor="background1"/>
              </w:rPr>
            </w:pPr>
            <w:r w:rsidRPr="6877726F">
              <w:rPr>
                <w:color w:val="FFFFFF" w:themeColor="background1"/>
              </w:rPr>
              <w:t>River flows</w:t>
            </w:r>
          </w:p>
        </w:tc>
      </w:tr>
      <w:tr w:rsidR="00234723" w14:paraId="468AF085" w14:textId="77777777" w:rsidTr="6877726F">
        <w:tc>
          <w:tcPr>
            <w:tcW w:w="1802" w:type="dxa"/>
            <w:shd w:val="clear" w:color="auto" w:fill="95B3D7" w:themeFill="accent1" w:themeFillTint="99"/>
          </w:tcPr>
          <w:p w14:paraId="3768DA7E" w14:textId="77777777" w:rsidR="00234723" w:rsidRPr="00C823B1" w:rsidRDefault="6877726F" w:rsidP="005F2959">
            <w:pPr>
              <w:spacing w:before="40" w:after="40"/>
              <w:rPr>
                <w:color w:val="FFFFFF" w:themeColor="background1"/>
              </w:rPr>
            </w:pPr>
            <w:r w:rsidRPr="6877726F">
              <w:rPr>
                <w:color w:val="FFFFFF" w:themeColor="background1"/>
              </w:rPr>
              <w:t>Above average</w:t>
            </w:r>
          </w:p>
        </w:tc>
        <w:tc>
          <w:tcPr>
            <w:tcW w:w="1825" w:type="dxa"/>
            <w:shd w:val="clear" w:color="auto" w:fill="B8CCE4" w:themeFill="accent1" w:themeFillTint="66"/>
          </w:tcPr>
          <w:p w14:paraId="4C92E8AB" w14:textId="43C47629" w:rsidR="00234723" w:rsidRPr="008A7988" w:rsidRDefault="00016E3A" w:rsidP="005F2959">
            <w:pPr>
              <w:spacing w:before="40" w:after="40"/>
              <w:jc w:val="center"/>
              <w:rPr>
                <w:color w:val="1F497D" w:themeColor="text2"/>
              </w:rPr>
            </w:pPr>
            <w:r>
              <w:rPr>
                <w:color w:val="1F497D" w:themeColor="text2"/>
              </w:rPr>
              <w:t>4</w:t>
            </w:r>
            <w:r w:rsidR="005716F7">
              <w:rPr>
                <w:color w:val="1F497D" w:themeColor="text2"/>
              </w:rPr>
              <w:t>0</w:t>
            </w:r>
          </w:p>
        </w:tc>
        <w:tc>
          <w:tcPr>
            <w:tcW w:w="1800" w:type="dxa"/>
            <w:shd w:val="clear" w:color="auto" w:fill="B8CCE4" w:themeFill="accent1" w:themeFillTint="66"/>
          </w:tcPr>
          <w:p w14:paraId="3AF4BA3E" w14:textId="59984BE1" w:rsidR="00234723" w:rsidRPr="008A7988" w:rsidRDefault="00900072" w:rsidP="005F2959">
            <w:pPr>
              <w:spacing w:before="40" w:after="40"/>
              <w:jc w:val="center"/>
              <w:rPr>
                <w:color w:val="1F497D" w:themeColor="text2"/>
              </w:rPr>
            </w:pPr>
            <w:r>
              <w:rPr>
                <w:color w:val="1F497D" w:themeColor="text2"/>
              </w:rPr>
              <w:t>25</w:t>
            </w:r>
          </w:p>
        </w:tc>
        <w:tc>
          <w:tcPr>
            <w:tcW w:w="1808" w:type="dxa"/>
            <w:shd w:val="clear" w:color="auto" w:fill="B8CCE4" w:themeFill="accent1" w:themeFillTint="66"/>
          </w:tcPr>
          <w:p w14:paraId="5999B95C" w14:textId="1DB2F2B9" w:rsidR="00234723" w:rsidRPr="003B0CAD" w:rsidRDefault="001132A7" w:rsidP="001C5D30">
            <w:pPr>
              <w:tabs>
                <w:tab w:val="left" w:pos="670"/>
                <w:tab w:val="center" w:pos="796"/>
              </w:tabs>
              <w:spacing w:before="40" w:after="40"/>
              <w:jc w:val="center"/>
              <w:rPr>
                <w:color w:val="1F497D" w:themeColor="text2"/>
              </w:rPr>
            </w:pPr>
            <w:r>
              <w:rPr>
                <w:color w:val="1F497D" w:themeColor="text2"/>
              </w:rPr>
              <w:t>25</w:t>
            </w:r>
          </w:p>
        </w:tc>
        <w:tc>
          <w:tcPr>
            <w:tcW w:w="1791" w:type="dxa"/>
            <w:shd w:val="clear" w:color="auto" w:fill="B8CCE4" w:themeFill="accent1" w:themeFillTint="66"/>
          </w:tcPr>
          <w:p w14:paraId="7968DA48" w14:textId="427580E2" w:rsidR="00234723" w:rsidRPr="003B0CAD" w:rsidRDefault="001132A7" w:rsidP="001C5D30">
            <w:pPr>
              <w:tabs>
                <w:tab w:val="left" w:pos="670"/>
                <w:tab w:val="center" w:pos="787"/>
              </w:tabs>
              <w:spacing w:before="40" w:after="40"/>
              <w:jc w:val="center"/>
              <w:rPr>
                <w:color w:val="1F497D" w:themeColor="text2"/>
              </w:rPr>
            </w:pPr>
            <w:r>
              <w:rPr>
                <w:color w:val="1F497D" w:themeColor="text2"/>
              </w:rPr>
              <w:t>25</w:t>
            </w:r>
          </w:p>
        </w:tc>
      </w:tr>
      <w:tr w:rsidR="00234723" w14:paraId="39D42332" w14:textId="77777777" w:rsidTr="6877726F">
        <w:tc>
          <w:tcPr>
            <w:tcW w:w="1802" w:type="dxa"/>
            <w:shd w:val="clear" w:color="auto" w:fill="95B3D7" w:themeFill="accent1" w:themeFillTint="99"/>
          </w:tcPr>
          <w:p w14:paraId="5B39FB9A" w14:textId="77777777" w:rsidR="00234723" w:rsidRPr="00C823B1" w:rsidRDefault="6877726F" w:rsidP="005F2959">
            <w:pPr>
              <w:spacing w:before="40" w:after="40"/>
              <w:rPr>
                <w:color w:val="FFFFFF" w:themeColor="background1"/>
              </w:rPr>
            </w:pPr>
            <w:r w:rsidRPr="6877726F">
              <w:rPr>
                <w:color w:val="FFFFFF" w:themeColor="background1"/>
              </w:rPr>
              <w:t>Near average</w:t>
            </w:r>
          </w:p>
        </w:tc>
        <w:tc>
          <w:tcPr>
            <w:tcW w:w="1825" w:type="dxa"/>
            <w:shd w:val="clear" w:color="auto" w:fill="B8CCE4" w:themeFill="accent1" w:themeFillTint="66"/>
          </w:tcPr>
          <w:p w14:paraId="5A762241" w14:textId="38ACFBB8" w:rsidR="00234723" w:rsidRPr="008A7988" w:rsidRDefault="00016E3A" w:rsidP="005F2959">
            <w:pPr>
              <w:spacing w:before="40" w:after="40"/>
              <w:jc w:val="center"/>
              <w:rPr>
                <w:color w:val="1F497D" w:themeColor="text2"/>
              </w:rPr>
            </w:pPr>
            <w:r>
              <w:rPr>
                <w:color w:val="1F497D" w:themeColor="text2"/>
              </w:rPr>
              <w:t>4</w:t>
            </w:r>
            <w:r w:rsidR="00900072">
              <w:rPr>
                <w:color w:val="1F497D" w:themeColor="text2"/>
              </w:rPr>
              <w:t>0</w:t>
            </w:r>
          </w:p>
        </w:tc>
        <w:tc>
          <w:tcPr>
            <w:tcW w:w="1800" w:type="dxa"/>
            <w:shd w:val="clear" w:color="auto" w:fill="B8CCE4" w:themeFill="accent1" w:themeFillTint="66"/>
          </w:tcPr>
          <w:p w14:paraId="010CF341" w14:textId="7F47E917" w:rsidR="00234723" w:rsidRPr="008A7988" w:rsidRDefault="00226F6D" w:rsidP="005F2959">
            <w:pPr>
              <w:spacing w:before="40" w:after="40"/>
              <w:jc w:val="center"/>
              <w:rPr>
                <w:color w:val="1F497D" w:themeColor="text2"/>
              </w:rPr>
            </w:pPr>
            <w:r>
              <w:rPr>
                <w:color w:val="1F497D" w:themeColor="text2"/>
              </w:rPr>
              <w:t>35</w:t>
            </w:r>
          </w:p>
        </w:tc>
        <w:tc>
          <w:tcPr>
            <w:tcW w:w="1808" w:type="dxa"/>
            <w:shd w:val="clear" w:color="auto" w:fill="B8CCE4" w:themeFill="accent1" w:themeFillTint="66"/>
          </w:tcPr>
          <w:p w14:paraId="68DCBDB5" w14:textId="784CC39C" w:rsidR="00234723" w:rsidRPr="003B0CAD" w:rsidRDefault="001132A7" w:rsidP="001C5D30">
            <w:pPr>
              <w:spacing w:before="40" w:after="40"/>
              <w:jc w:val="center"/>
              <w:rPr>
                <w:color w:val="1F497D" w:themeColor="text2"/>
              </w:rPr>
            </w:pPr>
            <w:r>
              <w:rPr>
                <w:color w:val="1F497D" w:themeColor="text2"/>
              </w:rPr>
              <w:t>35</w:t>
            </w:r>
          </w:p>
        </w:tc>
        <w:tc>
          <w:tcPr>
            <w:tcW w:w="1791" w:type="dxa"/>
            <w:shd w:val="clear" w:color="auto" w:fill="B8CCE4" w:themeFill="accent1" w:themeFillTint="66"/>
          </w:tcPr>
          <w:p w14:paraId="7766B253" w14:textId="59DDF5A9" w:rsidR="00234723" w:rsidRPr="003B0CAD" w:rsidRDefault="001132A7" w:rsidP="001C5D30">
            <w:pPr>
              <w:tabs>
                <w:tab w:val="left" w:pos="660"/>
                <w:tab w:val="center" w:pos="787"/>
              </w:tabs>
              <w:spacing w:before="40" w:after="40"/>
              <w:jc w:val="center"/>
              <w:rPr>
                <w:color w:val="1F497D" w:themeColor="text2"/>
              </w:rPr>
            </w:pPr>
            <w:r>
              <w:rPr>
                <w:color w:val="1F497D" w:themeColor="text2"/>
              </w:rPr>
              <w:t>35</w:t>
            </w:r>
          </w:p>
        </w:tc>
      </w:tr>
      <w:tr w:rsidR="00234723" w14:paraId="60316043" w14:textId="77777777" w:rsidTr="6877726F">
        <w:tc>
          <w:tcPr>
            <w:tcW w:w="1802" w:type="dxa"/>
            <w:shd w:val="clear" w:color="auto" w:fill="95B3D7" w:themeFill="accent1" w:themeFillTint="99"/>
          </w:tcPr>
          <w:p w14:paraId="1A57178C" w14:textId="77777777" w:rsidR="00234723" w:rsidRPr="00C823B1" w:rsidRDefault="6877726F" w:rsidP="005F2959">
            <w:pPr>
              <w:spacing w:before="40" w:after="40"/>
              <w:rPr>
                <w:color w:val="FFFFFF" w:themeColor="background1"/>
              </w:rPr>
            </w:pPr>
            <w:r w:rsidRPr="6877726F">
              <w:rPr>
                <w:color w:val="FFFFFF" w:themeColor="background1"/>
              </w:rPr>
              <w:t>Below average</w:t>
            </w:r>
          </w:p>
        </w:tc>
        <w:tc>
          <w:tcPr>
            <w:tcW w:w="1825" w:type="dxa"/>
            <w:shd w:val="clear" w:color="auto" w:fill="B8CCE4" w:themeFill="accent1" w:themeFillTint="66"/>
          </w:tcPr>
          <w:p w14:paraId="1A2F1C4B" w14:textId="73C1D173" w:rsidR="00234723" w:rsidRPr="008A7988" w:rsidRDefault="00900072" w:rsidP="005F2959">
            <w:pPr>
              <w:spacing w:before="40" w:after="40"/>
              <w:jc w:val="center"/>
              <w:rPr>
                <w:color w:val="1F497D" w:themeColor="text2"/>
              </w:rPr>
            </w:pPr>
            <w:r>
              <w:rPr>
                <w:color w:val="1F497D" w:themeColor="text2"/>
              </w:rPr>
              <w:t>20</w:t>
            </w:r>
          </w:p>
        </w:tc>
        <w:tc>
          <w:tcPr>
            <w:tcW w:w="1800" w:type="dxa"/>
            <w:shd w:val="clear" w:color="auto" w:fill="B8CCE4" w:themeFill="accent1" w:themeFillTint="66"/>
          </w:tcPr>
          <w:p w14:paraId="1C5D3932" w14:textId="40BA30EF" w:rsidR="00234723" w:rsidRPr="008A7988" w:rsidRDefault="00900072" w:rsidP="005F2959">
            <w:pPr>
              <w:spacing w:before="40" w:after="40"/>
              <w:jc w:val="center"/>
              <w:rPr>
                <w:color w:val="1F497D" w:themeColor="text2"/>
              </w:rPr>
            </w:pPr>
            <w:r>
              <w:rPr>
                <w:color w:val="1F497D" w:themeColor="text2"/>
              </w:rPr>
              <w:t>40</w:t>
            </w:r>
          </w:p>
        </w:tc>
        <w:tc>
          <w:tcPr>
            <w:tcW w:w="1808" w:type="dxa"/>
            <w:shd w:val="clear" w:color="auto" w:fill="B8CCE4" w:themeFill="accent1" w:themeFillTint="66"/>
          </w:tcPr>
          <w:p w14:paraId="3F6805BC" w14:textId="7954AFF7" w:rsidR="00234723" w:rsidRPr="003B0CAD" w:rsidRDefault="001132A7" w:rsidP="001C5D30">
            <w:pPr>
              <w:spacing w:before="40" w:after="40"/>
              <w:jc w:val="center"/>
              <w:rPr>
                <w:color w:val="1F497D" w:themeColor="text2"/>
              </w:rPr>
            </w:pPr>
            <w:r>
              <w:rPr>
                <w:color w:val="1F497D" w:themeColor="text2"/>
              </w:rPr>
              <w:t>40</w:t>
            </w:r>
          </w:p>
        </w:tc>
        <w:tc>
          <w:tcPr>
            <w:tcW w:w="1791" w:type="dxa"/>
            <w:shd w:val="clear" w:color="auto" w:fill="B8CCE4" w:themeFill="accent1" w:themeFillTint="66"/>
          </w:tcPr>
          <w:p w14:paraId="14B0DD95" w14:textId="705245C0" w:rsidR="00234723" w:rsidRPr="003B0CAD" w:rsidRDefault="00016E3A" w:rsidP="001C5D30">
            <w:pPr>
              <w:tabs>
                <w:tab w:val="left" w:pos="530"/>
                <w:tab w:val="center" w:pos="787"/>
              </w:tabs>
              <w:spacing w:before="40" w:after="40"/>
              <w:jc w:val="center"/>
              <w:rPr>
                <w:color w:val="1F497D" w:themeColor="text2"/>
              </w:rPr>
            </w:pPr>
            <w:r>
              <w:rPr>
                <w:color w:val="1F497D" w:themeColor="text2"/>
              </w:rPr>
              <w:t>4</w:t>
            </w:r>
            <w:r w:rsidR="00B24BFB">
              <w:rPr>
                <w:color w:val="1F497D" w:themeColor="text2"/>
              </w:rPr>
              <w:t>0</w:t>
            </w:r>
          </w:p>
        </w:tc>
      </w:tr>
    </w:tbl>
    <w:p w14:paraId="278003CA" w14:textId="77777777" w:rsidR="00C56CBC" w:rsidRDefault="00C56CBC">
      <w:pPr>
        <w:rPr>
          <w:b/>
        </w:rPr>
      </w:pPr>
    </w:p>
    <w:p w14:paraId="6146E0F3" w14:textId="748D978B" w:rsidR="002907BF" w:rsidRPr="002907BF" w:rsidRDefault="00F30BDD">
      <w:pPr>
        <w:rPr>
          <w:b/>
        </w:rPr>
      </w:pPr>
      <w:bookmarkStart w:id="6" w:name="nelsmarlbull"/>
      <w:bookmarkEnd w:id="6"/>
      <w:r w:rsidRPr="7EC835B1">
        <w:rPr>
          <w:b/>
          <w:bCs/>
        </w:rPr>
        <w:t>Tasman, N</w:t>
      </w:r>
      <w:r w:rsidR="002907BF" w:rsidRPr="7EC835B1">
        <w:rPr>
          <w:b/>
          <w:bCs/>
        </w:rPr>
        <w:t>elson, Marlborough, Buller</w:t>
      </w:r>
    </w:p>
    <w:p w14:paraId="64B0660D" w14:textId="77777777" w:rsidR="007500C4" w:rsidRDefault="6877726F" w:rsidP="008E30BD">
      <w:pPr>
        <w:spacing w:after="120"/>
      </w:pPr>
      <w:r>
        <w:t xml:space="preserve">Probabilities are assigned in three categories: above average, near average, and below average. </w:t>
      </w:r>
    </w:p>
    <w:p w14:paraId="364099E6" w14:textId="4A347A03" w:rsidR="00912940" w:rsidRPr="0093157F" w:rsidRDefault="6877726F" w:rsidP="7EC835B1">
      <w:pPr>
        <w:pStyle w:val="ListParagraph"/>
        <w:numPr>
          <w:ilvl w:val="0"/>
          <w:numId w:val="2"/>
        </w:numPr>
      </w:pPr>
      <w:r>
        <w:t xml:space="preserve">Temperatures are </w:t>
      </w:r>
      <w:r w:rsidR="00793F06">
        <w:t xml:space="preserve">about equally likely to be </w:t>
      </w:r>
      <w:r w:rsidR="00ED7C19">
        <w:t>near average (40% chance)</w:t>
      </w:r>
      <w:r w:rsidR="0047164C">
        <w:t xml:space="preserve"> or </w:t>
      </w:r>
      <w:r w:rsidR="00900072">
        <w:t>above</w:t>
      </w:r>
      <w:r w:rsidR="0047164C">
        <w:t xml:space="preserve"> average (35% chance)</w:t>
      </w:r>
      <w:r w:rsidR="00ED7C19">
        <w:t>.</w:t>
      </w:r>
    </w:p>
    <w:p w14:paraId="6E03541B" w14:textId="2B8F7B59" w:rsidR="00900072" w:rsidRDefault="00900072" w:rsidP="00900072">
      <w:pPr>
        <w:pStyle w:val="ListParagraph"/>
        <w:numPr>
          <w:ilvl w:val="0"/>
          <w:numId w:val="2"/>
        </w:numPr>
      </w:pPr>
      <w:r>
        <w:t xml:space="preserve">Rainfall totals are about equally likely to be in the near normal (40% chance) or </w:t>
      </w:r>
      <w:r w:rsidR="001A037C">
        <w:t xml:space="preserve">below </w:t>
      </w:r>
      <w:r>
        <w:t>normal range (35% chance).</w:t>
      </w:r>
    </w:p>
    <w:p w14:paraId="1C8F0DF5" w14:textId="77777777" w:rsidR="00C96765" w:rsidRPr="006F32A1" w:rsidRDefault="00C96765" w:rsidP="00C96765">
      <w:pPr>
        <w:pStyle w:val="ListParagraph"/>
        <w:numPr>
          <w:ilvl w:val="0"/>
          <w:numId w:val="2"/>
        </w:numPr>
      </w:pPr>
      <w:r w:rsidRPr="006F32A1">
        <w:t xml:space="preserve">Soil moisture </w:t>
      </w:r>
      <w:r>
        <w:t>levels and river flows are</w:t>
      </w:r>
      <w:r w:rsidRPr="006F32A1">
        <w:t xml:space="preserve"> equally likely to be normal (35% chance) or below no</w:t>
      </w:r>
      <w:r>
        <w:t>rmal (35</w:t>
      </w:r>
      <w:r w:rsidRPr="006F32A1">
        <w:t xml:space="preserve">% chance). </w:t>
      </w:r>
    </w:p>
    <w:p w14:paraId="50F46936" w14:textId="17E476AD" w:rsidR="007500C4" w:rsidRDefault="6877726F" w:rsidP="00C56CBC">
      <w:pPr>
        <w:spacing w:after="120"/>
      </w:pPr>
      <w:r>
        <w:t>The full probability breakdown is:</w:t>
      </w:r>
    </w:p>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1802"/>
        <w:gridCol w:w="1825"/>
        <w:gridCol w:w="1800"/>
        <w:gridCol w:w="1808"/>
        <w:gridCol w:w="1791"/>
      </w:tblGrid>
      <w:tr w:rsidR="005533BD" w14:paraId="6AD5AA5E" w14:textId="77777777" w:rsidTr="6877726F">
        <w:tc>
          <w:tcPr>
            <w:tcW w:w="1802" w:type="dxa"/>
            <w:shd w:val="clear" w:color="auto" w:fill="1F497D" w:themeFill="text2"/>
          </w:tcPr>
          <w:p w14:paraId="52354E6F" w14:textId="77777777" w:rsidR="005533BD" w:rsidRDefault="005533BD" w:rsidP="00824BDC">
            <w:pPr>
              <w:spacing w:before="40" w:after="40"/>
            </w:pPr>
          </w:p>
        </w:tc>
        <w:tc>
          <w:tcPr>
            <w:tcW w:w="1825" w:type="dxa"/>
            <w:shd w:val="clear" w:color="auto" w:fill="1F497D" w:themeFill="text2"/>
          </w:tcPr>
          <w:p w14:paraId="620EE7D1" w14:textId="77777777" w:rsidR="005533BD" w:rsidRPr="00C823B1" w:rsidRDefault="6877726F" w:rsidP="00824BDC">
            <w:pPr>
              <w:spacing w:before="40" w:after="40"/>
              <w:jc w:val="center"/>
              <w:rPr>
                <w:color w:val="FFFFFF" w:themeColor="background1"/>
              </w:rPr>
            </w:pPr>
            <w:r w:rsidRPr="6877726F">
              <w:rPr>
                <w:color w:val="FFFFFF" w:themeColor="background1"/>
              </w:rPr>
              <w:t>Temperature</w:t>
            </w:r>
          </w:p>
        </w:tc>
        <w:tc>
          <w:tcPr>
            <w:tcW w:w="1800" w:type="dxa"/>
            <w:shd w:val="clear" w:color="auto" w:fill="1F497D" w:themeFill="text2"/>
          </w:tcPr>
          <w:p w14:paraId="70E0218D" w14:textId="77777777" w:rsidR="005533BD" w:rsidRPr="00C823B1" w:rsidRDefault="6877726F" w:rsidP="00824BDC">
            <w:pPr>
              <w:spacing w:before="40" w:after="40"/>
              <w:jc w:val="center"/>
              <w:rPr>
                <w:color w:val="FFFFFF" w:themeColor="background1"/>
              </w:rPr>
            </w:pPr>
            <w:r w:rsidRPr="6877726F">
              <w:rPr>
                <w:color w:val="FFFFFF" w:themeColor="background1"/>
              </w:rPr>
              <w:t>Rainfall</w:t>
            </w:r>
          </w:p>
        </w:tc>
        <w:tc>
          <w:tcPr>
            <w:tcW w:w="1808" w:type="dxa"/>
            <w:shd w:val="clear" w:color="auto" w:fill="1F497D" w:themeFill="text2"/>
          </w:tcPr>
          <w:p w14:paraId="61741C40" w14:textId="77777777" w:rsidR="005533BD" w:rsidRPr="00C823B1" w:rsidRDefault="6877726F" w:rsidP="00824BDC">
            <w:pPr>
              <w:spacing w:before="40" w:after="40"/>
              <w:jc w:val="center"/>
              <w:rPr>
                <w:color w:val="FFFFFF" w:themeColor="background1"/>
              </w:rPr>
            </w:pPr>
            <w:r w:rsidRPr="6877726F">
              <w:rPr>
                <w:color w:val="FFFFFF" w:themeColor="background1"/>
              </w:rPr>
              <w:t>Soil moisture</w:t>
            </w:r>
          </w:p>
        </w:tc>
        <w:tc>
          <w:tcPr>
            <w:tcW w:w="1791" w:type="dxa"/>
            <w:shd w:val="clear" w:color="auto" w:fill="1F497D" w:themeFill="text2"/>
          </w:tcPr>
          <w:p w14:paraId="3E6CB12C" w14:textId="77777777" w:rsidR="005533BD" w:rsidRPr="00C823B1" w:rsidRDefault="6877726F" w:rsidP="00824BDC">
            <w:pPr>
              <w:spacing w:before="40" w:after="40"/>
              <w:jc w:val="center"/>
              <w:rPr>
                <w:color w:val="FFFFFF" w:themeColor="background1"/>
              </w:rPr>
            </w:pPr>
            <w:r w:rsidRPr="6877726F">
              <w:rPr>
                <w:color w:val="FFFFFF" w:themeColor="background1"/>
              </w:rPr>
              <w:t>River flows</w:t>
            </w:r>
          </w:p>
        </w:tc>
      </w:tr>
      <w:tr w:rsidR="00793F06" w:rsidRPr="003B0CAD" w14:paraId="52DD080D" w14:textId="77777777" w:rsidTr="6877726F">
        <w:tc>
          <w:tcPr>
            <w:tcW w:w="1802" w:type="dxa"/>
            <w:shd w:val="clear" w:color="auto" w:fill="95B3D7" w:themeFill="accent1" w:themeFillTint="99"/>
          </w:tcPr>
          <w:p w14:paraId="21F5B9A2" w14:textId="77777777" w:rsidR="00793F06" w:rsidRPr="00C823B1" w:rsidRDefault="00793F06" w:rsidP="00F83712">
            <w:pPr>
              <w:spacing w:before="40" w:after="40"/>
              <w:rPr>
                <w:color w:val="FFFFFF" w:themeColor="background1"/>
              </w:rPr>
            </w:pPr>
            <w:r w:rsidRPr="6877726F">
              <w:rPr>
                <w:color w:val="FFFFFF" w:themeColor="background1"/>
              </w:rPr>
              <w:lastRenderedPageBreak/>
              <w:t>Above average</w:t>
            </w:r>
          </w:p>
        </w:tc>
        <w:tc>
          <w:tcPr>
            <w:tcW w:w="1825" w:type="dxa"/>
            <w:shd w:val="clear" w:color="auto" w:fill="B8CCE4" w:themeFill="accent1" w:themeFillTint="66"/>
          </w:tcPr>
          <w:p w14:paraId="6ADF3B77" w14:textId="46014723" w:rsidR="00793F06" w:rsidRPr="008A7988" w:rsidRDefault="00900072" w:rsidP="00912940">
            <w:pPr>
              <w:spacing w:before="40" w:after="40"/>
              <w:jc w:val="center"/>
              <w:rPr>
                <w:color w:val="1F497D" w:themeColor="text2"/>
              </w:rPr>
            </w:pPr>
            <w:r>
              <w:rPr>
                <w:color w:val="1F497D" w:themeColor="text2"/>
              </w:rPr>
              <w:t>35</w:t>
            </w:r>
          </w:p>
        </w:tc>
        <w:tc>
          <w:tcPr>
            <w:tcW w:w="1800" w:type="dxa"/>
            <w:shd w:val="clear" w:color="auto" w:fill="B8CCE4" w:themeFill="accent1" w:themeFillTint="66"/>
          </w:tcPr>
          <w:p w14:paraId="10F9263D" w14:textId="46BCFA8E" w:rsidR="00793F06" w:rsidRPr="008A7988" w:rsidRDefault="00900072" w:rsidP="00F83712">
            <w:pPr>
              <w:spacing w:before="40" w:after="40"/>
              <w:jc w:val="center"/>
              <w:rPr>
                <w:color w:val="1F497D" w:themeColor="text2"/>
              </w:rPr>
            </w:pPr>
            <w:r>
              <w:rPr>
                <w:color w:val="1F497D" w:themeColor="text2"/>
              </w:rPr>
              <w:t>25</w:t>
            </w:r>
          </w:p>
        </w:tc>
        <w:tc>
          <w:tcPr>
            <w:tcW w:w="1808" w:type="dxa"/>
            <w:shd w:val="clear" w:color="auto" w:fill="B8CCE4" w:themeFill="accent1" w:themeFillTint="66"/>
          </w:tcPr>
          <w:p w14:paraId="413CBC1D" w14:textId="0CF86006" w:rsidR="00793F06" w:rsidRPr="003B0CAD" w:rsidRDefault="00C96765" w:rsidP="00F83712">
            <w:pPr>
              <w:spacing w:before="40" w:after="40"/>
              <w:jc w:val="center"/>
              <w:rPr>
                <w:color w:val="1F497D" w:themeColor="text2"/>
              </w:rPr>
            </w:pPr>
            <w:r>
              <w:rPr>
                <w:color w:val="1F497D" w:themeColor="text2"/>
              </w:rPr>
              <w:t>30</w:t>
            </w:r>
          </w:p>
        </w:tc>
        <w:tc>
          <w:tcPr>
            <w:tcW w:w="1791" w:type="dxa"/>
            <w:shd w:val="clear" w:color="auto" w:fill="B8CCE4" w:themeFill="accent1" w:themeFillTint="66"/>
          </w:tcPr>
          <w:p w14:paraId="52098917" w14:textId="6A99D3DD" w:rsidR="00793F06" w:rsidRPr="003B0CAD" w:rsidRDefault="00793F06" w:rsidP="00591DD6">
            <w:pPr>
              <w:tabs>
                <w:tab w:val="left" w:pos="590"/>
                <w:tab w:val="left" w:pos="640"/>
                <w:tab w:val="center" w:pos="787"/>
                <w:tab w:val="center" w:pos="816"/>
              </w:tabs>
              <w:spacing w:before="40" w:after="40"/>
              <w:jc w:val="center"/>
              <w:rPr>
                <w:color w:val="1F497D" w:themeColor="text2"/>
              </w:rPr>
            </w:pPr>
            <w:r>
              <w:rPr>
                <w:color w:val="1F497D" w:themeColor="text2"/>
              </w:rPr>
              <w:t>30</w:t>
            </w:r>
          </w:p>
        </w:tc>
      </w:tr>
      <w:tr w:rsidR="00793F06" w:rsidRPr="003B0CAD" w14:paraId="0078C34A" w14:textId="77777777" w:rsidTr="6877726F">
        <w:tc>
          <w:tcPr>
            <w:tcW w:w="1802" w:type="dxa"/>
            <w:shd w:val="clear" w:color="auto" w:fill="95B3D7" w:themeFill="accent1" w:themeFillTint="99"/>
          </w:tcPr>
          <w:p w14:paraId="048ACC9E" w14:textId="77777777" w:rsidR="00793F06" w:rsidRPr="00C823B1" w:rsidRDefault="00793F06" w:rsidP="00F83712">
            <w:pPr>
              <w:spacing w:before="40" w:after="40"/>
              <w:rPr>
                <w:color w:val="FFFFFF" w:themeColor="background1"/>
              </w:rPr>
            </w:pPr>
            <w:r w:rsidRPr="6877726F">
              <w:rPr>
                <w:color w:val="FFFFFF" w:themeColor="background1"/>
              </w:rPr>
              <w:t>Near average</w:t>
            </w:r>
          </w:p>
        </w:tc>
        <w:tc>
          <w:tcPr>
            <w:tcW w:w="1825" w:type="dxa"/>
            <w:shd w:val="clear" w:color="auto" w:fill="B8CCE4" w:themeFill="accent1" w:themeFillTint="66"/>
          </w:tcPr>
          <w:p w14:paraId="5BD88078" w14:textId="75FD97EF" w:rsidR="00793F06" w:rsidRPr="008A7988" w:rsidRDefault="00793F06" w:rsidP="00F83712">
            <w:pPr>
              <w:spacing w:before="40" w:after="40"/>
              <w:jc w:val="center"/>
              <w:rPr>
                <w:color w:val="1F497D" w:themeColor="text2"/>
              </w:rPr>
            </w:pPr>
            <w:r>
              <w:rPr>
                <w:color w:val="1F497D" w:themeColor="text2"/>
              </w:rPr>
              <w:t>40</w:t>
            </w:r>
          </w:p>
        </w:tc>
        <w:tc>
          <w:tcPr>
            <w:tcW w:w="1800" w:type="dxa"/>
            <w:shd w:val="clear" w:color="auto" w:fill="B8CCE4" w:themeFill="accent1" w:themeFillTint="66"/>
          </w:tcPr>
          <w:p w14:paraId="1BC568D7" w14:textId="1DE25CAF" w:rsidR="00793F06" w:rsidRPr="008A7988" w:rsidRDefault="00900072" w:rsidP="00F83712">
            <w:pPr>
              <w:spacing w:before="40" w:after="40"/>
              <w:jc w:val="center"/>
              <w:rPr>
                <w:color w:val="1F497D" w:themeColor="text2"/>
              </w:rPr>
            </w:pPr>
            <w:r>
              <w:rPr>
                <w:color w:val="1F497D" w:themeColor="text2"/>
              </w:rPr>
              <w:t>40</w:t>
            </w:r>
          </w:p>
        </w:tc>
        <w:tc>
          <w:tcPr>
            <w:tcW w:w="1808" w:type="dxa"/>
            <w:shd w:val="clear" w:color="auto" w:fill="B8CCE4" w:themeFill="accent1" w:themeFillTint="66"/>
          </w:tcPr>
          <w:p w14:paraId="7F53D37F" w14:textId="22C1076B" w:rsidR="00793F06" w:rsidRPr="003B0CAD" w:rsidRDefault="00C96765" w:rsidP="004F4A8E">
            <w:pPr>
              <w:spacing w:before="40" w:after="40"/>
              <w:jc w:val="center"/>
              <w:rPr>
                <w:color w:val="1F497D" w:themeColor="text2"/>
              </w:rPr>
            </w:pPr>
            <w:r>
              <w:rPr>
                <w:color w:val="1F497D" w:themeColor="text2"/>
              </w:rPr>
              <w:t>35</w:t>
            </w:r>
          </w:p>
        </w:tc>
        <w:tc>
          <w:tcPr>
            <w:tcW w:w="1791" w:type="dxa"/>
            <w:shd w:val="clear" w:color="auto" w:fill="B8CCE4" w:themeFill="accent1" w:themeFillTint="66"/>
          </w:tcPr>
          <w:p w14:paraId="4DE5B5B5" w14:textId="4E2EC9A6" w:rsidR="00793F06" w:rsidRPr="003B0CAD" w:rsidRDefault="00C96765" w:rsidP="00AA3703">
            <w:pPr>
              <w:tabs>
                <w:tab w:val="left" w:pos="570"/>
                <w:tab w:val="center" w:pos="787"/>
              </w:tabs>
              <w:spacing w:before="40" w:after="40"/>
              <w:jc w:val="center"/>
              <w:rPr>
                <w:color w:val="1F497D" w:themeColor="text2"/>
              </w:rPr>
            </w:pPr>
            <w:r>
              <w:rPr>
                <w:color w:val="1F497D" w:themeColor="text2"/>
              </w:rPr>
              <w:t>35</w:t>
            </w:r>
          </w:p>
        </w:tc>
      </w:tr>
      <w:tr w:rsidR="00793F06" w:rsidRPr="003B0CAD" w14:paraId="16FD1F3B" w14:textId="77777777" w:rsidTr="6877726F">
        <w:tc>
          <w:tcPr>
            <w:tcW w:w="1802" w:type="dxa"/>
            <w:shd w:val="clear" w:color="auto" w:fill="95B3D7" w:themeFill="accent1" w:themeFillTint="99"/>
          </w:tcPr>
          <w:p w14:paraId="33E89BE4" w14:textId="6CC9F845" w:rsidR="00793F06" w:rsidRPr="00C823B1" w:rsidRDefault="00793F06" w:rsidP="00F83712">
            <w:pPr>
              <w:spacing w:before="40" w:after="40"/>
              <w:rPr>
                <w:color w:val="FFFFFF" w:themeColor="background1"/>
              </w:rPr>
            </w:pPr>
            <w:r w:rsidRPr="6877726F">
              <w:rPr>
                <w:color w:val="FFFFFF" w:themeColor="background1"/>
              </w:rPr>
              <w:t>Below average</w:t>
            </w:r>
          </w:p>
        </w:tc>
        <w:tc>
          <w:tcPr>
            <w:tcW w:w="1825" w:type="dxa"/>
            <w:shd w:val="clear" w:color="auto" w:fill="B8CCE4" w:themeFill="accent1" w:themeFillTint="66"/>
          </w:tcPr>
          <w:p w14:paraId="7DB14188" w14:textId="026B67DB" w:rsidR="00793F06" w:rsidRPr="008A7988" w:rsidRDefault="00900072" w:rsidP="008A1132">
            <w:pPr>
              <w:spacing w:before="40" w:after="40"/>
              <w:jc w:val="center"/>
              <w:rPr>
                <w:color w:val="1F497D" w:themeColor="text2"/>
              </w:rPr>
            </w:pPr>
            <w:r>
              <w:rPr>
                <w:color w:val="1F497D" w:themeColor="text2"/>
              </w:rPr>
              <w:t>25</w:t>
            </w:r>
          </w:p>
        </w:tc>
        <w:tc>
          <w:tcPr>
            <w:tcW w:w="1800" w:type="dxa"/>
            <w:shd w:val="clear" w:color="auto" w:fill="B8CCE4" w:themeFill="accent1" w:themeFillTint="66"/>
          </w:tcPr>
          <w:p w14:paraId="142C0398" w14:textId="7A34C04D" w:rsidR="00793F06" w:rsidRPr="008A7988" w:rsidRDefault="00900072" w:rsidP="00F83712">
            <w:pPr>
              <w:spacing w:before="40" w:after="40"/>
              <w:jc w:val="center"/>
              <w:rPr>
                <w:color w:val="1F497D" w:themeColor="text2"/>
              </w:rPr>
            </w:pPr>
            <w:r>
              <w:rPr>
                <w:color w:val="1F497D" w:themeColor="text2"/>
              </w:rPr>
              <w:t>35</w:t>
            </w:r>
          </w:p>
        </w:tc>
        <w:tc>
          <w:tcPr>
            <w:tcW w:w="1808" w:type="dxa"/>
            <w:shd w:val="clear" w:color="auto" w:fill="B8CCE4" w:themeFill="accent1" w:themeFillTint="66"/>
          </w:tcPr>
          <w:p w14:paraId="77929FC7" w14:textId="41AC9F25" w:rsidR="00793F06" w:rsidRPr="003B0CAD" w:rsidRDefault="00C96765" w:rsidP="00AA3703">
            <w:pPr>
              <w:spacing w:before="40" w:after="40"/>
              <w:jc w:val="center"/>
              <w:rPr>
                <w:color w:val="1F497D" w:themeColor="text2"/>
              </w:rPr>
            </w:pPr>
            <w:r>
              <w:rPr>
                <w:color w:val="1F497D" w:themeColor="text2"/>
              </w:rPr>
              <w:t>35</w:t>
            </w:r>
          </w:p>
        </w:tc>
        <w:tc>
          <w:tcPr>
            <w:tcW w:w="1791" w:type="dxa"/>
            <w:shd w:val="clear" w:color="auto" w:fill="B8CCE4" w:themeFill="accent1" w:themeFillTint="66"/>
          </w:tcPr>
          <w:p w14:paraId="4F089306" w14:textId="747E2BE1" w:rsidR="00793F06" w:rsidRPr="003B0CAD" w:rsidRDefault="00C96765" w:rsidP="00591DD6">
            <w:pPr>
              <w:tabs>
                <w:tab w:val="left" w:pos="650"/>
                <w:tab w:val="center" w:pos="787"/>
              </w:tabs>
              <w:spacing w:before="40" w:after="40"/>
              <w:jc w:val="center"/>
              <w:rPr>
                <w:color w:val="1F497D" w:themeColor="text2"/>
              </w:rPr>
            </w:pPr>
            <w:r>
              <w:rPr>
                <w:color w:val="1F497D" w:themeColor="text2"/>
              </w:rPr>
              <w:t>35</w:t>
            </w:r>
          </w:p>
        </w:tc>
      </w:tr>
    </w:tbl>
    <w:p w14:paraId="34CA5963" w14:textId="77777777" w:rsidR="00A050A3" w:rsidRDefault="00A050A3">
      <w:pPr>
        <w:rPr>
          <w:b/>
        </w:rPr>
      </w:pPr>
      <w:bookmarkStart w:id="7" w:name="wcalpsfooteotag"/>
      <w:bookmarkEnd w:id="7"/>
    </w:p>
    <w:p w14:paraId="3186DC2C" w14:textId="72DC9C89" w:rsidR="005533BD" w:rsidRPr="005B0F93" w:rsidRDefault="6877726F">
      <w:pPr>
        <w:rPr>
          <w:b/>
        </w:rPr>
      </w:pPr>
      <w:r w:rsidRPr="6877726F">
        <w:rPr>
          <w:b/>
          <w:bCs/>
        </w:rPr>
        <w:t>West Coast, Alps and foothills, inland Otago, Southland</w:t>
      </w:r>
    </w:p>
    <w:p w14:paraId="67E2618B" w14:textId="77777777" w:rsidR="007500C4" w:rsidRDefault="6877726F" w:rsidP="00F11A0E">
      <w:r>
        <w:t xml:space="preserve">Probabilities are assigned in three categories: above average, near average, and below average. </w:t>
      </w:r>
    </w:p>
    <w:p w14:paraId="58AE9B0D" w14:textId="51DB0344" w:rsidR="00CB7816" w:rsidRDefault="00CB7816" w:rsidP="00CB7816">
      <w:pPr>
        <w:pStyle w:val="ListParagraph"/>
        <w:numPr>
          <w:ilvl w:val="0"/>
          <w:numId w:val="2"/>
        </w:numPr>
      </w:pPr>
      <w:r>
        <w:t>Temperatures are most likely to be near average (50% chance).</w:t>
      </w:r>
    </w:p>
    <w:p w14:paraId="12B83132" w14:textId="77777777" w:rsidR="00CB7816" w:rsidRPr="0093157F" w:rsidRDefault="00CB7816" w:rsidP="00CB7816">
      <w:pPr>
        <w:pStyle w:val="ListParagraph"/>
        <w:numPr>
          <w:ilvl w:val="0"/>
          <w:numId w:val="2"/>
        </w:numPr>
      </w:pPr>
      <w:r>
        <w:t xml:space="preserve">Rainfall totals are most likely to be in the near normal range </w:t>
      </w:r>
      <w:r w:rsidRPr="00ED7531">
        <w:rPr>
          <w:rFonts w:ascii="Calibri" w:eastAsia="Calibri" w:hAnsi="Calibri" w:cs="Calibri"/>
        </w:rPr>
        <w:t>(45% chance)</w:t>
      </w:r>
      <w:r>
        <w:t>.</w:t>
      </w:r>
    </w:p>
    <w:p w14:paraId="7C13AC29" w14:textId="77777777" w:rsidR="00CD04F8" w:rsidRPr="006F32A1" w:rsidRDefault="00CD04F8" w:rsidP="00CD04F8">
      <w:pPr>
        <w:pStyle w:val="ListParagraph"/>
        <w:numPr>
          <w:ilvl w:val="0"/>
          <w:numId w:val="2"/>
        </w:numPr>
      </w:pPr>
      <w:r w:rsidRPr="006F32A1">
        <w:t xml:space="preserve">Soil moisture </w:t>
      </w:r>
      <w:r>
        <w:t>levels and river flows are</w:t>
      </w:r>
      <w:r w:rsidRPr="006F32A1">
        <w:t xml:space="preserve"> equally likely to be normal (35% chance) or below no</w:t>
      </w:r>
      <w:r>
        <w:t>rmal (35</w:t>
      </w:r>
      <w:r w:rsidRPr="006F32A1">
        <w:t xml:space="preserve">% chance). </w:t>
      </w:r>
    </w:p>
    <w:p w14:paraId="24C00E98" w14:textId="42A8BDAC" w:rsidR="007500C4" w:rsidRDefault="6877726F" w:rsidP="0055209E">
      <w:pPr>
        <w:ind w:left="360"/>
      </w:pPr>
      <w:r>
        <w:t>The full probability breakdown is:</w:t>
      </w:r>
    </w:p>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1802"/>
        <w:gridCol w:w="1825"/>
        <w:gridCol w:w="1800"/>
        <w:gridCol w:w="1808"/>
        <w:gridCol w:w="1791"/>
      </w:tblGrid>
      <w:tr w:rsidR="005B0F93" w14:paraId="6AEA3273" w14:textId="77777777" w:rsidTr="6877726F">
        <w:tc>
          <w:tcPr>
            <w:tcW w:w="1802" w:type="dxa"/>
            <w:shd w:val="clear" w:color="auto" w:fill="1F497D" w:themeFill="text2"/>
          </w:tcPr>
          <w:p w14:paraId="6F3B925C" w14:textId="77777777" w:rsidR="005B0F93" w:rsidRDefault="005B0F93" w:rsidP="00824BDC">
            <w:pPr>
              <w:spacing w:before="40" w:after="40"/>
            </w:pPr>
          </w:p>
        </w:tc>
        <w:tc>
          <w:tcPr>
            <w:tcW w:w="1825" w:type="dxa"/>
            <w:shd w:val="clear" w:color="auto" w:fill="1F497D" w:themeFill="text2"/>
          </w:tcPr>
          <w:p w14:paraId="5B6AD7AB" w14:textId="77777777" w:rsidR="005B0F93" w:rsidRPr="00C823B1" w:rsidRDefault="6877726F" w:rsidP="00824BDC">
            <w:pPr>
              <w:spacing w:before="40" w:after="40"/>
              <w:jc w:val="center"/>
              <w:rPr>
                <w:color w:val="FFFFFF" w:themeColor="background1"/>
              </w:rPr>
            </w:pPr>
            <w:r w:rsidRPr="6877726F">
              <w:rPr>
                <w:color w:val="FFFFFF" w:themeColor="background1"/>
              </w:rPr>
              <w:t>Temperature</w:t>
            </w:r>
          </w:p>
        </w:tc>
        <w:tc>
          <w:tcPr>
            <w:tcW w:w="1800" w:type="dxa"/>
            <w:shd w:val="clear" w:color="auto" w:fill="1F497D" w:themeFill="text2"/>
          </w:tcPr>
          <w:p w14:paraId="2CE0ABE4" w14:textId="77777777" w:rsidR="005B0F93" w:rsidRPr="00C823B1" w:rsidRDefault="6877726F" w:rsidP="00824BDC">
            <w:pPr>
              <w:spacing w:before="40" w:after="40"/>
              <w:jc w:val="center"/>
              <w:rPr>
                <w:color w:val="FFFFFF" w:themeColor="background1"/>
              </w:rPr>
            </w:pPr>
            <w:r w:rsidRPr="6877726F">
              <w:rPr>
                <w:color w:val="FFFFFF" w:themeColor="background1"/>
              </w:rPr>
              <w:t>Rainfall</w:t>
            </w:r>
          </w:p>
        </w:tc>
        <w:tc>
          <w:tcPr>
            <w:tcW w:w="1808" w:type="dxa"/>
            <w:shd w:val="clear" w:color="auto" w:fill="1F497D" w:themeFill="text2"/>
          </w:tcPr>
          <w:p w14:paraId="422F0B77" w14:textId="77777777" w:rsidR="005B0F93" w:rsidRPr="00C823B1" w:rsidRDefault="6877726F" w:rsidP="00824BDC">
            <w:pPr>
              <w:spacing w:before="40" w:after="40"/>
              <w:jc w:val="center"/>
              <w:rPr>
                <w:color w:val="FFFFFF" w:themeColor="background1"/>
              </w:rPr>
            </w:pPr>
            <w:r w:rsidRPr="6877726F">
              <w:rPr>
                <w:color w:val="FFFFFF" w:themeColor="background1"/>
              </w:rPr>
              <w:t>Soil moisture</w:t>
            </w:r>
          </w:p>
        </w:tc>
        <w:tc>
          <w:tcPr>
            <w:tcW w:w="1791" w:type="dxa"/>
            <w:shd w:val="clear" w:color="auto" w:fill="1F497D" w:themeFill="text2"/>
          </w:tcPr>
          <w:p w14:paraId="21D7B291" w14:textId="77777777" w:rsidR="005B0F93" w:rsidRPr="00C823B1" w:rsidRDefault="6877726F" w:rsidP="00824BDC">
            <w:pPr>
              <w:spacing w:before="40" w:after="40"/>
              <w:jc w:val="center"/>
              <w:rPr>
                <w:color w:val="FFFFFF" w:themeColor="background1"/>
              </w:rPr>
            </w:pPr>
            <w:r w:rsidRPr="6877726F">
              <w:rPr>
                <w:color w:val="FFFFFF" w:themeColor="background1"/>
              </w:rPr>
              <w:t>River flows</w:t>
            </w:r>
          </w:p>
        </w:tc>
      </w:tr>
      <w:tr w:rsidR="00A026EA" w14:paraId="38A661A3" w14:textId="77777777" w:rsidTr="6877726F">
        <w:tc>
          <w:tcPr>
            <w:tcW w:w="1802" w:type="dxa"/>
            <w:shd w:val="clear" w:color="auto" w:fill="95B3D7" w:themeFill="accent1" w:themeFillTint="99"/>
          </w:tcPr>
          <w:p w14:paraId="359E5473" w14:textId="77777777" w:rsidR="00A026EA" w:rsidRPr="00C823B1" w:rsidRDefault="00A026EA" w:rsidP="00F83712">
            <w:pPr>
              <w:spacing w:before="40" w:after="40"/>
              <w:rPr>
                <w:color w:val="FFFFFF" w:themeColor="background1"/>
              </w:rPr>
            </w:pPr>
            <w:r w:rsidRPr="6877726F">
              <w:rPr>
                <w:color w:val="FFFFFF" w:themeColor="background1"/>
              </w:rPr>
              <w:t>Above average</w:t>
            </w:r>
          </w:p>
        </w:tc>
        <w:tc>
          <w:tcPr>
            <w:tcW w:w="1825" w:type="dxa"/>
            <w:shd w:val="clear" w:color="auto" w:fill="B8CCE4" w:themeFill="accent1" w:themeFillTint="66"/>
          </w:tcPr>
          <w:p w14:paraId="161A7E32" w14:textId="2EE00780" w:rsidR="00A026EA" w:rsidRPr="008A7988" w:rsidRDefault="00CB7816" w:rsidP="00F83712">
            <w:pPr>
              <w:spacing w:before="40" w:after="40"/>
              <w:jc w:val="center"/>
              <w:rPr>
                <w:color w:val="1F497D" w:themeColor="text2"/>
              </w:rPr>
            </w:pPr>
            <w:r>
              <w:rPr>
                <w:color w:val="1F497D" w:themeColor="text2"/>
              </w:rPr>
              <w:t>20</w:t>
            </w:r>
          </w:p>
        </w:tc>
        <w:tc>
          <w:tcPr>
            <w:tcW w:w="1800" w:type="dxa"/>
            <w:shd w:val="clear" w:color="auto" w:fill="B8CCE4" w:themeFill="accent1" w:themeFillTint="66"/>
          </w:tcPr>
          <w:p w14:paraId="11680368" w14:textId="3C3251B4" w:rsidR="00A026EA" w:rsidRPr="008A7988" w:rsidRDefault="00CB7816" w:rsidP="00F83712">
            <w:pPr>
              <w:spacing w:before="40" w:after="40"/>
              <w:jc w:val="center"/>
              <w:rPr>
                <w:color w:val="1F497D" w:themeColor="text2"/>
              </w:rPr>
            </w:pPr>
            <w:r>
              <w:rPr>
                <w:color w:val="1F497D" w:themeColor="text2"/>
              </w:rPr>
              <w:t>25</w:t>
            </w:r>
          </w:p>
        </w:tc>
        <w:tc>
          <w:tcPr>
            <w:tcW w:w="1808" w:type="dxa"/>
            <w:shd w:val="clear" w:color="auto" w:fill="B8CCE4" w:themeFill="accent1" w:themeFillTint="66"/>
          </w:tcPr>
          <w:p w14:paraId="5E576BF2" w14:textId="6B4D4B7A" w:rsidR="00A026EA" w:rsidRPr="003B0CAD" w:rsidRDefault="00A026EA" w:rsidP="00A973DE">
            <w:pPr>
              <w:tabs>
                <w:tab w:val="left" w:pos="590"/>
                <w:tab w:val="center" w:pos="796"/>
              </w:tabs>
              <w:spacing w:before="40" w:after="40"/>
              <w:jc w:val="center"/>
              <w:rPr>
                <w:color w:val="1F497D" w:themeColor="text2"/>
              </w:rPr>
            </w:pPr>
            <w:r>
              <w:rPr>
                <w:color w:val="1F497D" w:themeColor="text2"/>
              </w:rPr>
              <w:t>30</w:t>
            </w:r>
          </w:p>
        </w:tc>
        <w:tc>
          <w:tcPr>
            <w:tcW w:w="1791" w:type="dxa"/>
            <w:shd w:val="clear" w:color="auto" w:fill="B8CCE4" w:themeFill="accent1" w:themeFillTint="66"/>
          </w:tcPr>
          <w:p w14:paraId="5AD50179" w14:textId="54061750" w:rsidR="00A026EA" w:rsidRPr="003B0CAD" w:rsidRDefault="00A026EA" w:rsidP="00207805">
            <w:pPr>
              <w:tabs>
                <w:tab w:val="left" w:pos="650"/>
                <w:tab w:val="center" w:pos="787"/>
              </w:tabs>
              <w:spacing w:before="40" w:after="40"/>
              <w:jc w:val="center"/>
              <w:rPr>
                <w:color w:val="1F497D" w:themeColor="text2"/>
              </w:rPr>
            </w:pPr>
            <w:r>
              <w:rPr>
                <w:color w:val="1F497D" w:themeColor="text2"/>
              </w:rPr>
              <w:t>30</w:t>
            </w:r>
          </w:p>
        </w:tc>
      </w:tr>
      <w:tr w:rsidR="00A026EA" w14:paraId="49C40665" w14:textId="77777777" w:rsidTr="6877726F">
        <w:tc>
          <w:tcPr>
            <w:tcW w:w="1802" w:type="dxa"/>
            <w:shd w:val="clear" w:color="auto" w:fill="95B3D7" w:themeFill="accent1" w:themeFillTint="99"/>
          </w:tcPr>
          <w:p w14:paraId="61FC8C85" w14:textId="77777777" w:rsidR="00A026EA" w:rsidRPr="00C823B1" w:rsidRDefault="00A026EA" w:rsidP="00F83712">
            <w:pPr>
              <w:spacing w:before="40" w:after="40"/>
              <w:rPr>
                <w:color w:val="FFFFFF" w:themeColor="background1"/>
              </w:rPr>
            </w:pPr>
            <w:r w:rsidRPr="6877726F">
              <w:rPr>
                <w:color w:val="FFFFFF" w:themeColor="background1"/>
              </w:rPr>
              <w:t>Near average</w:t>
            </w:r>
          </w:p>
        </w:tc>
        <w:tc>
          <w:tcPr>
            <w:tcW w:w="1825" w:type="dxa"/>
            <w:shd w:val="clear" w:color="auto" w:fill="B8CCE4" w:themeFill="accent1" w:themeFillTint="66"/>
          </w:tcPr>
          <w:p w14:paraId="30A7B025" w14:textId="22426AB0" w:rsidR="00A026EA" w:rsidRPr="008A7988" w:rsidRDefault="00CB7816" w:rsidP="00F83712">
            <w:pPr>
              <w:tabs>
                <w:tab w:val="left" w:pos="660"/>
                <w:tab w:val="center" w:pos="816"/>
              </w:tabs>
              <w:spacing w:before="40" w:after="40"/>
              <w:jc w:val="center"/>
              <w:rPr>
                <w:color w:val="1F497D" w:themeColor="text2"/>
              </w:rPr>
            </w:pPr>
            <w:r>
              <w:rPr>
                <w:color w:val="1F497D" w:themeColor="text2"/>
              </w:rPr>
              <w:t>50</w:t>
            </w:r>
          </w:p>
        </w:tc>
        <w:tc>
          <w:tcPr>
            <w:tcW w:w="1800" w:type="dxa"/>
            <w:shd w:val="clear" w:color="auto" w:fill="B8CCE4" w:themeFill="accent1" w:themeFillTint="66"/>
          </w:tcPr>
          <w:p w14:paraId="2C1D4F83" w14:textId="386D7D48" w:rsidR="00A026EA" w:rsidRPr="008A7988" w:rsidRDefault="00CB7816" w:rsidP="00E70206">
            <w:pPr>
              <w:spacing w:before="40" w:after="40"/>
              <w:jc w:val="center"/>
              <w:rPr>
                <w:color w:val="1F497D" w:themeColor="text2"/>
              </w:rPr>
            </w:pPr>
            <w:r>
              <w:rPr>
                <w:color w:val="1F497D" w:themeColor="text2"/>
              </w:rPr>
              <w:t>45</w:t>
            </w:r>
          </w:p>
        </w:tc>
        <w:tc>
          <w:tcPr>
            <w:tcW w:w="1808" w:type="dxa"/>
            <w:shd w:val="clear" w:color="auto" w:fill="B8CCE4" w:themeFill="accent1" w:themeFillTint="66"/>
          </w:tcPr>
          <w:p w14:paraId="7B8026C8" w14:textId="0D083862" w:rsidR="00A026EA" w:rsidRPr="003B0CAD" w:rsidRDefault="00CD04F8" w:rsidP="008A1132">
            <w:pPr>
              <w:tabs>
                <w:tab w:val="left" w:pos="590"/>
                <w:tab w:val="center" w:pos="796"/>
              </w:tabs>
              <w:spacing w:before="40" w:after="40"/>
              <w:jc w:val="center"/>
              <w:rPr>
                <w:color w:val="1F497D" w:themeColor="text2"/>
              </w:rPr>
            </w:pPr>
            <w:r>
              <w:rPr>
                <w:color w:val="1F497D" w:themeColor="text2"/>
              </w:rPr>
              <w:t>35</w:t>
            </w:r>
          </w:p>
        </w:tc>
        <w:tc>
          <w:tcPr>
            <w:tcW w:w="1791" w:type="dxa"/>
            <w:shd w:val="clear" w:color="auto" w:fill="B8CCE4" w:themeFill="accent1" w:themeFillTint="66"/>
          </w:tcPr>
          <w:p w14:paraId="7E5CD0D2" w14:textId="2C27E4FF" w:rsidR="00A026EA" w:rsidRPr="003B0CAD" w:rsidRDefault="00CD04F8" w:rsidP="00A973DE">
            <w:pPr>
              <w:tabs>
                <w:tab w:val="left" w:pos="600"/>
                <w:tab w:val="center" w:pos="787"/>
              </w:tabs>
              <w:spacing w:before="40" w:after="40"/>
              <w:jc w:val="center"/>
              <w:rPr>
                <w:color w:val="1F497D" w:themeColor="text2"/>
              </w:rPr>
            </w:pPr>
            <w:r>
              <w:rPr>
                <w:color w:val="1F497D" w:themeColor="text2"/>
              </w:rPr>
              <w:t>35</w:t>
            </w:r>
          </w:p>
        </w:tc>
      </w:tr>
      <w:tr w:rsidR="00A026EA" w14:paraId="7F44E623" w14:textId="77777777" w:rsidTr="6877726F">
        <w:tc>
          <w:tcPr>
            <w:tcW w:w="1802" w:type="dxa"/>
            <w:shd w:val="clear" w:color="auto" w:fill="95B3D7" w:themeFill="accent1" w:themeFillTint="99"/>
          </w:tcPr>
          <w:p w14:paraId="00361F25" w14:textId="77777777" w:rsidR="00A026EA" w:rsidRPr="00C823B1" w:rsidRDefault="00A026EA" w:rsidP="00F83712">
            <w:pPr>
              <w:spacing w:before="40" w:after="40"/>
              <w:rPr>
                <w:color w:val="FFFFFF" w:themeColor="background1"/>
              </w:rPr>
            </w:pPr>
            <w:r w:rsidRPr="6877726F">
              <w:rPr>
                <w:color w:val="FFFFFF" w:themeColor="background1"/>
              </w:rPr>
              <w:t>Below average</w:t>
            </w:r>
          </w:p>
        </w:tc>
        <w:tc>
          <w:tcPr>
            <w:tcW w:w="1825" w:type="dxa"/>
            <w:shd w:val="clear" w:color="auto" w:fill="B8CCE4" w:themeFill="accent1" w:themeFillTint="66"/>
          </w:tcPr>
          <w:p w14:paraId="375588BD" w14:textId="495CB71F" w:rsidR="00A026EA" w:rsidRPr="008A7988" w:rsidRDefault="00CB7816" w:rsidP="00F83712">
            <w:pPr>
              <w:spacing w:before="40" w:after="40"/>
              <w:jc w:val="center"/>
              <w:rPr>
                <w:color w:val="1F497D" w:themeColor="text2"/>
              </w:rPr>
            </w:pPr>
            <w:r>
              <w:rPr>
                <w:color w:val="1F497D" w:themeColor="text2"/>
              </w:rPr>
              <w:t>30</w:t>
            </w:r>
          </w:p>
        </w:tc>
        <w:tc>
          <w:tcPr>
            <w:tcW w:w="1800" w:type="dxa"/>
            <w:shd w:val="clear" w:color="auto" w:fill="B8CCE4" w:themeFill="accent1" w:themeFillTint="66"/>
          </w:tcPr>
          <w:p w14:paraId="676B7A46" w14:textId="59CB74DC" w:rsidR="00A026EA" w:rsidRPr="008A7988" w:rsidRDefault="00CB7816" w:rsidP="00F83712">
            <w:pPr>
              <w:spacing w:before="40" w:after="40"/>
              <w:jc w:val="center"/>
              <w:rPr>
                <w:color w:val="1F497D" w:themeColor="text2"/>
              </w:rPr>
            </w:pPr>
            <w:r>
              <w:rPr>
                <w:color w:val="1F497D" w:themeColor="text2"/>
              </w:rPr>
              <w:t>30</w:t>
            </w:r>
          </w:p>
        </w:tc>
        <w:tc>
          <w:tcPr>
            <w:tcW w:w="1808" w:type="dxa"/>
            <w:shd w:val="clear" w:color="auto" w:fill="B8CCE4" w:themeFill="accent1" w:themeFillTint="66"/>
          </w:tcPr>
          <w:p w14:paraId="213EBFD3" w14:textId="19CE5C73" w:rsidR="00A026EA" w:rsidRPr="003B0CAD" w:rsidRDefault="00CD04F8" w:rsidP="00207805">
            <w:pPr>
              <w:tabs>
                <w:tab w:val="left" w:pos="640"/>
                <w:tab w:val="center" w:pos="796"/>
              </w:tabs>
              <w:spacing w:before="40" w:after="40"/>
              <w:jc w:val="center"/>
              <w:rPr>
                <w:color w:val="1F497D" w:themeColor="text2"/>
              </w:rPr>
            </w:pPr>
            <w:r>
              <w:rPr>
                <w:color w:val="1F497D" w:themeColor="text2"/>
              </w:rPr>
              <w:t>35</w:t>
            </w:r>
          </w:p>
        </w:tc>
        <w:tc>
          <w:tcPr>
            <w:tcW w:w="1791" w:type="dxa"/>
            <w:shd w:val="clear" w:color="auto" w:fill="B8CCE4" w:themeFill="accent1" w:themeFillTint="66"/>
          </w:tcPr>
          <w:p w14:paraId="7F51C6CF" w14:textId="27E3F878" w:rsidR="00A026EA" w:rsidRPr="003B0CAD" w:rsidRDefault="00CD04F8" w:rsidP="00207805">
            <w:pPr>
              <w:tabs>
                <w:tab w:val="left" w:pos="670"/>
                <w:tab w:val="center" w:pos="787"/>
              </w:tabs>
              <w:spacing w:before="40" w:after="40"/>
              <w:jc w:val="center"/>
              <w:rPr>
                <w:color w:val="1F497D" w:themeColor="text2"/>
              </w:rPr>
            </w:pPr>
            <w:r>
              <w:rPr>
                <w:color w:val="1F497D" w:themeColor="text2"/>
              </w:rPr>
              <w:t>35</w:t>
            </w:r>
          </w:p>
        </w:tc>
      </w:tr>
    </w:tbl>
    <w:p w14:paraId="37457D3B" w14:textId="77777777" w:rsidR="00521CA1" w:rsidRDefault="00521CA1">
      <w:pPr>
        <w:rPr>
          <w:b/>
        </w:rPr>
      </w:pPr>
    </w:p>
    <w:p w14:paraId="6D9798C5" w14:textId="77777777" w:rsidR="005B0F93" w:rsidRPr="00543585" w:rsidRDefault="00543585">
      <w:pPr>
        <w:rPr>
          <w:b/>
        </w:rPr>
      </w:pPr>
      <w:bookmarkStart w:id="8" w:name="coastcanteotag"/>
      <w:bookmarkEnd w:id="8"/>
      <w:r w:rsidRPr="7EC835B1">
        <w:rPr>
          <w:b/>
          <w:bCs/>
        </w:rPr>
        <w:t>Coastal Canterbury, east Otago</w:t>
      </w:r>
    </w:p>
    <w:p w14:paraId="33A407ED" w14:textId="77777777" w:rsidR="007500C4" w:rsidRDefault="6877726F" w:rsidP="00F11A0E">
      <w:r>
        <w:t xml:space="preserve">Probabilities are assigned in three categories: above average, near average, and below average. </w:t>
      </w:r>
    </w:p>
    <w:p w14:paraId="0D759AA1" w14:textId="77777777" w:rsidR="00CB7816" w:rsidRPr="00340478" w:rsidRDefault="00CB7816" w:rsidP="00CB7816">
      <w:pPr>
        <w:pStyle w:val="ListParagraph"/>
        <w:numPr>
          <w:ilvl w:val="0"/>
          <w:numId w:val="2"/>
        </w:numPr>
      </w:pPr>
      <w:r>
        <w:t>Temperatures are equally likely to be near average (40% chance) or above average (40% chance).</w:t>
      </w:r>
    </w:p>
    <w:p w14:paraId="496369DF" w14:textId="6393839A" w:rsidR="00CE41ED" w:rsidRDefault="00CE41ED" w:rsidP="00CE41ED">
      <w:pPr>
        <w:pStyle w:val="ListParagraph"/>
        <w:numPr>
          <w:ilvl w:val="0"/>
          <w:numId w:val="2"/>
        </w:numPr>
      </w:pPr>
      <w:r>
        <w:t xml:space="preserve">Rainfall totals are about equally likely to be in the near normal (35% chance) or </w:t>
      </w:r>
      <w:r w:rsidR="000979E0">
        <w:t xml:space="preserve">below </w:t>
      </w:r>
      <w:r>
        <w:t>normal range (40% chance).</w:t>
      </w:r>
    </w:p>
    <w:p w14:paraId="60B93315" w14:textId="2DAE3C93" w:rsidR="001F2676" w:rsidRPr="00CD04F8" w:rsidRDefault="009A2A81" w:rsidP="01B1A3E3">
      <w:pPr>
        <w:pStyle w:val="ListParagraph"/>
        <w:numPr>
          <w:ilvl w:val="0"/>
          <w:numId w:val="2"/>
        </w:numPr>
      </w:pPr>
      <w:r w:rsidRPr="00CD04F8">
        <w:t>S</w:t>
      </w:r>
      <w:r w:rsidR="6877726F" w:rsidRPr="00CD04F8">
        <w:t xml:space="preserve">oil moisture levels and river flows are </w:t>
      </w:r>
      <w:r w:rsidR="006041A9" w:rsidRPr="00CD04F8">
        <w:t>most</w:t>
      </w:r>
      <w:r w:rsidR="6877726F" w:rsidRPr="00CD04F8">
        <w:t xml:space="preserve"> likely to be </w:t>
      </w:r>
      <w:r w:rsidR="00CD04F8" w:rsidRPr="00CD04F8">
        <w:t>below</w:t>
      </w:r>
      <w:r w:rsidR="5DD50885" w:rsidRPr="00CD04F8">
        <w:t xml:space="preserve"> </w:t>
      </w:r>
      <w:r w:rsidR="6877726F" w:rsidRPr="00CD04F8">
        <w:t>normal</w:t>
      </w:r>
      <w:r w:rsidR="00CD04F8" w:rsidRPr="00CD04F8">
        <w:t xml:space="preserve"> (50</w:t>
      </w:r>
      <w:r w:rsidRPr="00CD04F8">
        <w:t>% chance)</w:t>
      </w:r>
      <w:r w:rsidR="6877726F" w:rsidRPr="00CD04F8">
        <w:t>.</w:t>
      </w:r>
    </w:p>
    <w:p w14:paraId="71E6F1B6" w14:textId="31C18AE0" w:rsidR="007500C4" w:rsidRDefault="6877726F" w:rsidP="00237915">
      <w:r>
        <w:t>The full probability breakdown is:</w:t>
      </w:r>
    </w:p>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1802"/>
        <w:gridCol w:w="1825"/>
        <w:gridCol w:w="1800"/>
        <w:gridCol w:w="1808"/>
        <w:gridCol w:w="1791"/>
      </w:tblGrid>
      <w:tr w:rsidR="00ED7646" w14:paraId="72D5C5BD" w14:textId="77777777" w:rsidTr="6877726F">
        <w:tc>
          <w:tcPr>
            <w:tcW w:w="1802" w:type="dxa"/>
            <w:shd w:val="clear" w:color="auto" w:fill="1F497D" w:themeFill="text2"/>
          </w:tcPr>
          <w:p w14:paraId="1CEE21C2" w14:textId="77777777" w:rsidR="00ED7646" w:rsidRDefault="00ED7646" w:rsidP="00824BDC">
            <w:pPr>
              <w:spacing w:before="40" w:after="40"/>
            </w:pPr>
          </w:p>
        </w:tc>
        <w:tc>
          <w:tcPr>
            <w:tcW w:w="1825" w:type="dxa"/>
            <w:shd w:val="clear" w:color="auto" w:fill="1F497D" w:themeFill="text2"/>
          </w:tcPr>
          <w:p w14:paraId="7691D7DB" w14:textId="77777777" w:rsidR="00ED7646" w:rsidRPr="00C823B1" w:rsidRDefault="6877726F" w:rsidP="00824BDC">
            <w:pPr>
              <w:spacing w:before="40" w:after="40"/>
              <w:jc w:val="center"/>
              <w:rPr>
                <w:color w:val="FFFFFF" w:themeColor="background1"/>
              </w:rPr>
            </w:pPr>
            <w:r w:rsidRPr="6877726F">
              <w:rPr>
                <w:color w:val="FFFFFF" w:themeColor="background1"/>
              </w:rPr>
              <w:t>Temperature</w:t>
            </w:r>
          </w:p>
        </w:tc>
        <w:tc>
          <w:tcPr>
            <w:tcW w:w="1800" w:type="dxa"/>
            <w:shd w:val="clear" w:color="auto" w:fill="1F497D" w:themeFill="text2"/>
          </w:tcPr>
          <w:p w14:paraId="5412D83B" w14:textId="77777777" w:rsidR="00ED7646" w:rsidRPr="00C823B1" w:rsidRDefault="6877726F" w:rsidP="00824BDC">
            <w:pPr>
              <w:spacing w:before="40" w:after="40"/>
              <w:jc w:val="center"/>
              <w:rPr>
                <w:color w:val="FFFFFF" w:themeColor="background1"/>
              </w:rPr>
            </w:pPr>
            <w:r w:rsidRPr="6877726F">
              <w:rPr>
                <w:color w:val="FFFFFF" w:themeColor="background1"/>
              </w:rPr>
              <w:t>Rainfall</w:t>
            </w:r>
          </w:p>
        </w:tc>
        <w:tc>
          <w:tcPr>
            <w:tcW w:w="1808" w:type="dxa"/>
            <w:shd w:val="clear" w:color="auto" w:fill="1F497D" w:themeFill="text2"/>
          </w:tcPr>
          <w:p w14:paraId="71FE2A05" w14:textId="77777777" w:rsidR="00ED7646" w:rsidRPr="00C823B1" w:rsidRDefault="6877726F" w:rsidP="00824BDC">
            <w:pPr>
              <w:spacing w:before="40" w:after="40"/>
              <w:jc w:val="center"/>
              <w:rPr>
                <w:color w:val="FFFFFF" w:themeColor="background1"/>
              </w:rPr>
            </w:pPr>
            <w:r w:rsidRPr="6877726F">
              <w:rPr>
                <w:color w:val="FFFFFF" w:themeColor="background1"/>
              </w:rPr>
              <w:t>Soil moisture</w:t>
            </w:r>
          </w:p>
        </w:tc>
        <w:tc>
          <w:tcPr>
            <w:tcW w:w="1791" w:type="dxa"/>
            <w:shd w:val="clear" w:color="auto" w:fill="1F497D" w:themeFill="text2"/>
          </w:tcPr>
          <w:p w14:paraId="3E9EF2CF" w14:textId="77777777" w:rsidR="00ED7646" w:rsidRPr="00C823B1" w:rsidRDefault="6877726F" w:rsidP="00824BDC">
            <w:pPr>
              <w:spacing w:before="40" w:after="40"/>
              <w:jc w:val="center"/>
              <w:rPr>
                <w:color w:val="FFFFFF" w:themeColor="background1"/>
              </w:rPr>
            </w:pPr>
            <w:r w:rsidRPr="6877726F">
              <w:rPr>
                <w:color w:val="FFFFFF" w:themeColor="background1"/>
              </w:rPr>
              <w:t>River flows</w:t>
            </w:r>
          </w:p>
        </w:tc>
      </w:tr>
      <w:tr w:rsidR="00455E50" w14:paraId="65EE7229" w14:textId="77777777" w:rsidTr="6877726F">
        <w:tc>
          <w:tcPr>
            <w:tcW w:w="1802" w:type="dxa"/>
            <w:shd w:val="clear" w:color="auto" w:fill="95B3D7" w:themeFill="accent1" w:themeFillTint="99"/>
          </w:tcPr>
          <w:p w14:paraId="0E0FDC00" w14:textId="77777777" w:rsidR="00455E50" w:rsidRPr="00C823B1" w:rsidRDefault="00455E50" w:rsidP="007F5E23">
            <w:pPr>
              <w:spacing w:before="40" w:after="40"/>
              <w:rPr>
                <w:color w:val="FFFFFF" w:themeColor="background1"/>
              </w:rPr>
            </w:pPr>
            <w:r w:rsidRPr="6877726F">
              <w:rPr>
                <w:color w:val="FFFFFF" w:themeColor="background1"/>
              </w:rPr>
              <w:t>Above average</w:t>
            </w:r>
          </w:p>
        </w:tc>
        <w:tc>
          <w:tcPr>
            <w:tcW w:w="1825" w:type="dxa"/>
            <w:shd w:val="clear" w:color="auto" w:fill="B8CCE4" w:themeFill="accent1" w:themeFillTint="66"/>
          </w:tcPr>
          <w:p w14:paraId="117794B0" w14:textId="345BB9B8" w:rsidR="00455E50" w:rsidRPr="008A7988" w:rsidRDefault="00CE41ED" w:rsidP="005D793B">
            <w:pPr>
              <w:tabs>
                <w:tab w:val="left" w:pos="627"/>
                <w:tab w:val="center" w:pos="804"/>
              </w:tabs>
              <w:spacing w:before="40" w:after="40"/>
              <w:jc w:val="center"/>
              <w:rPr>
                <w:color w:val="1F497D" w:themeColor="text2"/>
              </w:rPr>
            </w:pPr>
            <w:r>
              <w:rPr>
                <w:color w:val="1F497D" w:themeColor="text2"/>
              </w:rPr>
              <w:t>40</w:t>
            </w:r>
          </w:p>
        </w:tc>
        <w:tc>
          <w:tcPr>
            <w:tcW w:w="1800" w:type="dxa"/>
            <w:shd w:val="clear" w:color="auto" w:fill="B8CCE4" w:themeFill="accent1" w:themeFillTint="66"/>
          </w:tcPr>
          <w:p w14:paraId="338FEF9E" w14:textId="34F3B072" w:rsidR="00455E50" w:rsidRPr="008A7988" w:rsidRDefault="00CE41ED" w:rsidP="007F5E23">
            <w:pPr>
              <w:tabs>
                <w:tab w:val="left" w:pos="667"/>
                <w:tab w:val="center" w:pos="792"/>
              </w:tabs>
              <w:spacing w:before="40" w:after="40"/>
              <w:jc w:val="center"/>
              <w:rPr>
                <w:color w:val="1F497D" w:themeColor="text2"/>
              </w:rPr>
            </w:pPr>
            <w:r>
              <w:rPr>
                <w:color w:val="1F497D" w:themeColor="text2"/>
              </w:rPr>
              <w:t>25</w:t>
            </w:r>
          </w:p>
        </w:tc>
        <w:tc>
          <w:tcPr>
            <w:tcW w:w="1808" w:type="dxa"/>
            <w:shd w:val="clear" w:color="auto" w:fill="B8CCE4" w:themeFill="accent1" w:themeFillTint="66"/>
          </w:tcPr>
          <w:p w14:paraId="33E84569" w14:textId="6E1D79F4" w:rsidR="00455E50" w:rsidRPr="00D90C5D" w:rsidRDefault="00BE6F0D" w:rsidP="007F5E23">
            <w:pPr>
              <w:spacing w:before="40" w:after="40"/>
              <w:jc w:val="center"/>
              <w:rPr>
                <w:color w:val="1F497D" w:themeColor="text2"/>
              </w:rPr>
            </w:pPr>
            <w:r>
              <w:rPr>
                <w:color w:val="1F497D" w:themeColor="text2"/>
              </w:rPr>
              <w:t>20</w:t>
            </w:r>
          </w:p>
        </w:tc>
        <w:tc>
          <w:tcPr>
            <w:tcW w:w="1791" w:type="dxa"/>
            <w:shd w:val="clear" w:color="auto" w:fill="B8CCE4" w:themeFill="accent1" w:themeFillTint="66"/>
          </w:tcPr>
          <w:p w14:paraId="70BB8BC8" w14:textId="0099AE81" w:rsidR="00455E50" w:rsidRPr="00D90C5D" w:rsidRDefault="00BE6F0D" w:rsidP="007F5E23">
            <w:pPr>
              <w:spacing w:before="40" w:after="40"/>
              <w:jc w:val="center"/>
              <w:rPr>
                <w:color w:val="1F497D" w:themeColor="text2"/>
              </w:rPr>
            </w:pPr>
            <w:r>
              <w:rPr>
                <w:color w:val="1F497D" w:themeColor="text2"/>
              </w:rPr>
              <w:t>2</w:t>
            </w:r>
            <w:r w:rsidR="00CD04F8">
              <w:rPr>
                <w:color w:val="1F497D" w:themeColor="text2"/>
              </w:rPr>
              <w:t>0</w:t>
            </w:r>
          </w:p>
        </w:tc>
      </w:tr>
      <w:tr w:rsidR="00455E50" w14:paraId="3508B3E6" w14:textId="77777777" w:rsidTr="6877726F">
        <w:tc>
          <w:tcPr>
            <w:tcW w:w="1802" w:type="dxa"/>
            <w:shd w:val="clear" w:color="auto" w:fill="95B3D7" w:themeFill="accent1" w:themeFillTint="99"/>
          </w:tcPr>
          <w:p w14:paraId="079E8E80" w14:textId="77777777" w:rsidR="00455E50" w:rsidRPr="00C823B1" w:rsidRDefault="00455E50" w:rsidP="007F5E23">
            <w:pPr>
              <w:spacing w:before="40" w:after="40"/>
              <w:rPr>
                <w:color w:val="FFFFFF" w:themeColor="background1"/>
              </w:rPr>
            </w:pPr>
            <w:r w:rsidRPr="6877726F">
              <w:rPr>
                <w:color w:val="FFFFFF" w:themeColor="background1"/>
              </w:rPr>
              <w:t>Near average</w:t>
            </w:r>
          </w:p>
        </w:tc>
        <w:tc>
          <w:tcPr>
            <w:tcW w:w="1825" w:type="dxa"/>
            <w:shd w:val="clear" w:color="auto" w:fill="B8CCE4" w:themeFill="accent1" w:themeFillTint="66"/>
          </w:tcPr>
          <w:p w14:paraId="68CD84C9" w14:textId="54BC59A2" w:rsidR="00455E50" w:rsidRPr="008A7988" w:rsidRDefault="00455E50" w:rsidP="005D793B">
            <w:pPr>
              <w:tabs>
                <w:tab w:val="left" w:pos="560"/>
                <w:tab w:val="center" w:pos="816"/>
              </w:tabs>
              <w:spacing w:before="40" w:after="40"/>
              <w:jc w:val="center"/>
              <w:rPr>
                <w:color w:val="1F497D" w:themeColor="text2"/>
              </w:rPr>
            </w:pPr>
            <w:r w:rsidRPr="6877726F">
              <w:rPr>
                <w:color w:val="1F497D" w:themeColor="text2"/>
              </w:rPr>
              <w:t>4</w:t>
            </w:r>
            <w:r w:rsidR="00CE41ED">
              <w:rPr>
                <w:color w:val="1F497D" w:themeColor="text2"/>
              </w:rPr>
              <w:t>0</w:t>
            </w:r>
          </w:p>
        </w:tc>
        <w:tc>
          <w:tcPr>
            <w:tcW w:w="1800" w:type="dxa"/>
            <w:shd w:val="clear" w:color="auto" w:fill="B8CCE4" w:themeFill="accent1" w:themeFillTint="66"/>
          </w:tcPr>
          <w:p w14:paraId="2F6C0D61" w14:textId="30FDC613" w:rsidR="00455E50" w:rsidRPr="008A7988" w:rsidRDefault="00CE41ED" w:rsidP="007F5E23">
            <w:pPr>
              <w:tabs>
                <w:tab w:val="left" w:pos="660"/>
                <w:tab w:val="center" w:pos="792"/>
              </w:tabs>
              <w:spacing w:before="40" w:after="40"/>
              <w:jc w:val="center"/>
              <w:rPr>
                <w:color w:val="1F497D" w:themeColor="text2"/>
              </w:rPr>
            </w:pPr>
            <w:r>
              <w:rPr>
                <w:color w:val="1F497D" w:themeColor="text2"/>
              </w:rPr>
              <w:t>35</w:t>
            </w:r>
          </w:p>
        </w:tc>
        <w:tc>
          <w:tcPr>
            <w:tcW w:w="1808" w:type="dxa"/>
            <w:shd w:val="clear" w:color="auto" w:fill="B8CCE4" w:themeFill="accent1" w:themeFillTint="66"/>
          </w:tcPr>
          <w:p w14:paraId="5F4A0D77" w14:textId="557AA7A0" w:rsidR="00455E50" w:rsidRPr="00D90C5D" w:rsidRDefault="00BE6F0D" w:rsidP="007F5E23">
            <w:pPr>
              <w:spacing w:before="40" w:after="40"/>
              <w:jc w:val="center"/>
              <w:rPr>
                <w:color w:val="1F497D" w:themeColor="text2"/>
              </w:rPr>
            </w:pPr>
            <w:r>
              <w:rPr>
                <w:color w:val="1F497D" w:themeColor="text2"/>
              </w:rPr>
              <w:t>30</w:t>
            </w:r>
          </w:p>
        </w:tc>
        <w:tc>
          <w:tcPr>
            <w:tcW w:w="1791" w:type="dxa"/>
            <w:shd w:val="clear" w:color="auto" w:fill="B8CCE4" w:themeFill="accent1" w:themeFillTint="66"/>
          </w:tcPr>
          <w:p w14:paraId="36F37628" w14:textId="3608F289" w:rsidR="00455E50" w:rsidRPr="00D90C5D" w:rsidRDefault="00BE6F0D" w:rsidP="007F5E23">
            <w:pPr>
              <w:tabs>
                <w:tab w:val="left" w:pos="550"/>
                <w:tab w:val="center" w:pos="787"/>
              </w:tabs>
              <w:spacing w:before="40" w:after="40"/>
              <w:jc w:val="center"/>
              <w:rPr>
                <w:color w:val="1F497D" w:themeColor="text2"/>
              </w:rPr>
            </w:pPr>
            <w:r>
              <w:rPr>
                <w:color w:val="1F497D" w:themeColor="text2"/>
              </w:rPr>
              <w:t>3</w:t>
            </w:r>
            <w:r w:rsidR="00CD04F8">
              <w:rPr>
                <w:color w:val="1F497D" w:themeColor="text2"/>
              </w:rPr>
              <w:t>0</w:t>
            </w:r>
          </w:p>
        </w:tc>
      </w:tr>
      <w:tr w:rsidR="00455E50" w14:paraId="03884281" w14:textId="77777777" w:rsidTr="6877726F">
        <w:tc>
          <w:tcPr>
            <w:tcW w:w="1802" w:type="dxa"/>
            <w:shd w:val="clear" w:color="auto" w:fill="95B3D7" w:themeFill="accent1" w:themeFillTint="99"/>
          </w:tcPr>
          <w:p w14:paraId="29EA5074" w14:textId="77777777" w:rsidR="00455E50" w:rsidRPr="00C823B1" w:rsidRDefault="00455E50" w:rsidP="007F5E23">
            <w:pPr>
              <w:spacing w:before="40" w:after="40"/>
              <w:rPr>
                <w:color w:val="FFFFFF" w:themeColor="background1"/>
              </w:rPr>
            </w:pPr>
            <w:r w:rsidRPr="6877726F">
              <w:rPr>
                <w:color w:val="FFFFFF" w:themeColor="background1"/>
              </w:rPr>
              <w:t>Below average</w:t>
            </w:r>
          </w:p>
        </w:tc>
        <w:tc>
          <w:tcPr>
            <w:tcW w:w="1825" w:type="dxa"/>
            <w:shd w:val="clear" w:color="auto" w:fill="B8CCE4" w:themeFill="accent1" w:themeFillTint="66"/>
          </w:tcPr>
          <w:p w14:paraId="1D1D3A13" w14:textId="761D82EE" w:rsidR="00455E50" w:rsidRPr="008A7988" w:rsidRDefault="00CE41ED" w:rsidP="001F2676">
            <w:pPr>
              <w:spacing w:before="40" w:after="40"/>
              <w:jc w:val="center"/>
              <w:rPr>
                <w:color w:val="1F497D" w:themeColor="text2"/>
              </w:rPr>
            </w:pPr>
            <w:r>
              <w:rPr>
                <w:color w:val="1F497D" w:themeColor="text2"/>
              </w:rPr>
              <w:t>20</w:t>
            </w:r>
          </w:p>
        </w:tc>
        <w:tc>
          <w:tcPr>
            <w:tcW w:w="1800" w:type="dxa"/>
            <w:shd w:val="clear" w:color="auto" w:fill="B8CCE4" w:themeFill="accent1" w:themeFillTint="66"/>
          </w:tcPr>
          <w:p w14:paraId="0549ACC5" w14:textId="4D6770D9" w:rsidR="00455E50" w:rsidRPr="008A7988" w:rsidRDefault="00CE41ED" w:rsidP="007F5E23">
            <w:pPr>
              <w:spacing w:before="40" w:after="40"/>
              <w:jc w:val="center"/>
              <w:rPr>
                <w:color w:val="1F497D" w:themeColor="text2"/>
              </w:rPr>
            </w:pPr>
            <w:r>
              <w:rPr>
                <w:color w:val="1F497D" w:themeColor="text2"/>
              </w:rPr>
              <w:t>40</w:t>
            </w:r>
          </w:p>
        </w:tc>
        <w:tc>
          <w:tcPr>
            <w:tcW w:w="1808" w:type="dxa"/>
            <w:shd w:val="clear" w:color="auto" w:fill="B8CCE4" w:themeFill="accent1" w:themeFillTint="66"/>
          </w:tcPr>
          <w:p w14:paraId="7675A814" w14:textId="77EF1865" w:rsidR="00455E50" w:rsidRPr="00D90C5D" w:rsidRDefault="00CD04F8" w:rsidP="007F5E23">
            <w:pPr>
              <w:spacing w:before="40" w:after="40"/>
              <w:jc w:val="center"/>
              <w:rPr>
                <w:color w:val="1F497D" w:themeColor="text2"/>
              </w:rPr>
            </w:pPr>
            <w:r>
              <w:rPr>
                <w:color w:val="1F497D" w:themeColor="text2"/>
              </w:rPr>
              <w:t>50</w:t>
            </w:r>
          </w:p>
        </w:tc>
        <w:tc>
          <w:tcPr>
            <w:tcW w:w="1791" w:type="dxa"/>
            <w:shd w:val="clear" w:color="auto" w:fill="B8CCE4" w:themeFill="accent1" w:themeFillTint="66"/>
          </w:tcPr>
          <w:p w14:paraId="1ABDEF0B" w14:textId="76A4A545" w:rsidR="00455E50" w:rsidRPr="00D90C5D" w:rsidRDefault="00CD04F8" w:rsidP="007F5E23">
            <w:pPr>
              <w:tabs>
                <w:tab w:val="left" w:pos="590"/>
                <w:tab w:val="center" w:pos="787"/>
              </w:tabs>
              <w:spacing w:before="40" w:after="40"/>
              <w:jc w:val="center"/>
              <w:rPr>
                <w:color w:val="1F497D" w:themeColor="text2"/>
              </w:rPr>
            </w:pPr>
            <w:r>
              <w:rPr>
                <w:color w:val="1F497D" w:themeColor="text2"/>
              </w:rPr>
              <w:t>50</w:t>
            </w:r>
          </w:p>
        </w:tc>
      </w:tr>
    </w:tbl>
    <w:p w14:paraId="423A356C" w14:textId="77777777" w:rsidR="00CE1383" w:rsidRDefault="00CE1383" w:rsidP="00AE4345">
      <w:pPr>
        <w:rPr>
          <w:color w:val="365F91" w:themeColor="accent1" w:themeShade="BF"/>
          <w:sz w:val="28"/>
          <w:szCs w:val="28"/>
        </w:rPr>
      </w:pPr>
    </w:p>
    <w:p w14:paraId="6C2F3162" w14:textId="77777777" w:rsidR="00BF5C84" w:rsidRDefault="00BF5C84">
      <w:pPr>
        <w:rPr>
          <w:color w:val="365F91" w:themeColor="accent1" w:themeShade="BF"/>
          <w:sz w:val="28"/>
          <w:szCs w:val="28"/>
        </w:rPr>
      </w:pPr>
    </w:p>
    <w:p w14:paraId="218C54CA" w14:textId="77777777" w:rsidR="003332C6" w:rsidRDefault="003332C6">
      <w:pPr>
        <w:rPr>
          <w:color w:val="365F91" w:themeColor="accent1" w:themeShade="BF"/>
          <w:sz w:val="28"/>
          <w:szCs w:val="28"/>
        </w:rPr>
      </w:pPr>
    </w:p>
    <w:p w14:paraId="1F9D9DD4" w14:textId="77777777" w:rsidR="003332C6" w:rsidRDefault="003332C6">
      <w:pPr>
        <w:rPr>
          <w:color w:val="365F91" w:themeColor="accent1" w:themeShade="BF"/>
          <w:sz w:val="28"/>
          <w:szCs w:val="28"/>
        </w:rPr>
      </w:pPr>
    </w:p>
    <w:p w14:paraId="43CE9F3C" w14:textId="77777777" w:rsidR="004D6DD8" w:rsidRDefault="004D6DD8">
      <w:pPr>
        <w:rPr>
          <w:color w:val="365F91" w:themeColor="accent1" w:themeShade="BF"/>
          <w:sz w:val="28"/>
          <w:szCs w:val="28"/>
        </w:rPr>
      </w:pPr>
    </w:p>
    <w:p w14:paraId="68BF880D" w14:textId="77777777" w:rsidR="004D6DD8" w:rsidRDefault="004D6DD8">
      <w:pPr>
        <w:rPr>
          <w:color w:val="365F91" w:themeColor="accent1" w:themeShade="BF"/>
          <w:sz w:val="28"/>
          <w:szCs w:val="28"/>
        </w:rPr>
      </w:pPr>
    </w:p>
    <w:p w14:paraId="16D350F6" w14:textId="77777777" w:rsidR="004D6DD8" w:rsidRDefault="004D6DD8">
      <w:pPr>
        <w:rPr>
          <w:color w:val="365F91" w:themeColor="accent1" w:themeShade="BF"/>
          <w:sz w:val="28"/>
          <w:szCs w:val="28"/>
        </w:rPr>
      </w:pPr>
    </w:p>
    <w:p w14:paraId="3F37E5DF" w14:textId="0A422142" w:rsidR="005C2236" w:rsidRPr="005C2236" w:rsidRDefault="6877726F">
      <w:pPr>
        <w:rPr>
          <w:color w:val="365F91" w:themeColor="accent1" w:themeShade="BF"/>
          <w:sz w:val="28"/>
          <w:szCs w:val="28"/>
        </w:rPr>
      </w:pPr>
      <w:r w:rsidRPr="6877726F">
        <w:rPr>
          <w:color w:val="365F91" w:themeColor="accent1" w:themeShade="BF"/>
          <w:sz w:val="28"/>
          <w:szCs w:val="28"/>
        </w:rPr>
        <w:t>Graphical representation of the regional probabilities</w:t>
      </w:r>
    </w:p>
    <w:p w14:paraId="5E9DC2F8" w14:textId="607E1921" w:rsidR="001813C6" w:rsidRPr="00E2026E" w:rsidRDefault="00866E75">
      <w:pPr>
        <w:rPr>
          <w:color w:val="365F91" w:themeColor="accent1" w:themeShade="BF"/>
          <w:sz w:val="28"/>
          <w:szCs w:val="28"/>
        </w:rPr>
      </w:pPr>
      <w:r w:rsidRPr="00866E75">
        <w:rPr>
          <w:noProof/>
          <w:color w:val="1F497D" w:themeColor="text2"/>
          <w:sz w:val="28"/>
          <w:szCs w:val="28"/>
          <w:lang w:eastAsia="en-NZ"/>
        </w:rPr>
        <w:drawing>
          <wp:inline distT="0" distB="0" distL="0" distR="0" wp14:anchorId="6096FE7F" wp14:editId="02FEADAC">
            <wp:extent cx="5731510" cy="68857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31510" cy="6885700"/>
                    </a:xfrm>
                    <a:prstGeom prst="rect">
                      <a:avLst/>
                    </a:prstGeom>
                  </pic:spPr>
                </pic:pic>
              </a:graphicData>
            </a:graphic>
          </wp:inline>
        </w:drawing>
      </w:r>
      <w:r w:rsidR="006D7074" w:rsidRPr="6877726F">
        <w:rPr>
          <w:color w:val="1F497D" w:themeColor="text2"/>
          <w:sz w:val="28"/>
          <w:szCs w:val="28"/>
        </w:rPr>
        <w:br w:type="page"/>
      </w:r>
    </w:p>
    <w:p w14:paraId="6DD9C98E" w14:textId="00191DED" w:rsidR="002F70CB" w:rsidRPr="00614346" w:rsidRDefault="0009434B" w:rsidP="00F06324">
      <w:pPr>
        <w:rPr>
          <w:color w:val="1F497D" w:themeColor="text2"/>
          <w:sz w:val="28"/>
          <w:szCs w:val="28"/>
        </w:rPr>
      </w:pPr>
      <w:r>
        <w:rPr>
          <w:noProof/>
          <w:lang w:eastAsia="en-NZ"/>
        </w:rPr>
        <w:lastRenderedPageBreak/>
        <mc:AlternateContent>
          <mc:Choice Requires="wps">
            <w:drawing>
              <wp:anchor distT="0" distB="0" distL="114300" distR="114300" simplePos="0" relativeHeight="251658240" behindDoc="0" locked="0" layoutInCell="1" allowOverlap="1" wp14:anchorId="3949661B" wp14:editId="4FDEDFCA">
                <wp:simplePos x="0" y="0"/>
                <wp:positionH relativeFrom="column">
                  <wp:posOffset>8890</wp:posOffset>
                </wp:positionH>
                <wp:positionV relativeFrom="paragraph">
                  <wp:posOffset>27940</wp:posOffset>
                </wp:positionV>
                <wp:extent cx="57626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0ADDF4" id="Straight Connector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7pt,2.2pt" to="454.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" strokecolor="#4579b8 [3044]"/>
            </w:pict>
          </mc:Fallback>
        </mc:AlternateContent>
      </w:r>
      <w:bookmarkStart w:id="9" w:name="background"/>
      <w:bookmarkEnd w:id="9"/>
      <w:r w:rsidRPr="0009434B">
        <w:rPr>
          <w:color w:val="1F497D" w:themeColor="text2"/>
          <w:sz w:val="28"/>
          <w:szCs w:val="28"/>
        </w:rPr>
        <w:t>Background</w:t>
      </w:r>
    </w:p>
    <w:p w14:paraId="5EB099E9" w14:textId="72FD28CA" w:rsidR="00DE09E2" w:rsidRDefault="00DE09E2" w:rsidP="00DE09E2">
      <w:r>
        <w:t>The tropical Pacific is currently in an ENSO (El Niño – Southern Oscillation) neutral state. Sea surface temperatures (SSTs) in the central equatorial Pacific Ocean remain near or slightly below average, with a value of -0.</w:t>
      </w:r>
      <w:r w:rsidR="00DC4853">
        <w:t>1</w:t>
      </w:r>
      <w:r w:rsidRPr="02A6DD28">
        <w:rPr>
          <w:vertAlign w:val="superscript"/>
        </w:rPr>
        <w:t>o</w:t>
      </w:r>
      <w:r>
        <w:t xml:space="preserve">C in the NINO3.4 region </w:t>
      </w:r>
      <w:r w:rsidR="001A7B43">
        <w:t xml:space="preserve">(central Pacific) </w:t>
      </w:r>
      <w:r>
        <w:t>for the month of February. However, during February, warming occurred across the central and eastern equatorial Pacific, with the NINO3.4 region observing its first positive weekly anomaly since June 2016. In the NINO1+2 region</w:t>
      </w:r>
      <w:r w:rsidR="00DC4853">
        <w:t xml:space="preserve"> (extreme eastern Pacific near Ecuador)</w:t>
      </w:r>
      <w:r>
        <w:t>, sea surface temperature anomalies over the month of February have consistently exceeded +1.5</w:t>
      </w:r>
      <w:r w:rsidRPr="02A6DD28">
        <w:rPr>
          <w:vertAlign w:val="superscript"/>
        </w:rPr>
        <w:t>o</w:t>
      </w:r>
      <w:r>
        <w:t xml:space="preserve">C for the first time since December 2015. </w:t>
      </w:r>
    </w:p>
    <w:p w14:paraId="261DC238" w14:textId="1C972448" w:rsidR="00DE09E2" w:rsidRDefault="00DE09E2" w:rsidP="00DE09E2">
      <w:r>
        <w:t xml:space="preserve">In the subsurface ocean, </w:t>
      </w:r>
      <w:r w:rsidR="00077238">
        <w:t>above</w:t>
      </w:r>
      <w:r>
        <w:t xml:space="preserve"> average temperatures (+2.0</w:t>
      </w:r>
      <w:r w:rsidRPr="02A6DD28">
        <w:rPr>
          <w:vertAlign w:val="superscript"/>
        </w:rPr>
        <w:t>o</w:t>
      </w:r>
      <w:r>
        <w:t xml:space="preserve">C anomalies) are present in the western equatorial Pacific but remain near or slightly below average across the central and eastern equatorial Pacific. Rainfall and convection have been well below normal across the western equatorial Pacific, but above normal in the eastern equatorial Pacific toward the west coast of South America, a trait more typical of El Niño. </w:t>
      </w:r>
      <w:r w:rsidR="00200B6C" w:rsidRPr="00C746C7">
        <w:t xml:space="preserve">The Southern Oscillation Index (SOI) </w:t>
      </w:r>
      <w:r w:rsidR="00200B6C">
        <w:t>was</w:t>
      </w:r>
      <w:r w:rsidR="00200B6C" w:rsidRPr="00C746C7">
        <w:t xml:space="preserve"> close to zero for February 2017 (-0.2) and zonal </w:t>
      </w:r>
      <w:r w:rsidR="00077238">
        <w:t xml:space="preserve">(westerly) </w:t>
      </w:r>
      <w:r w:rsidR="00200B6C" w:rsidRPr="00C746C7">
        <w:t>wind anomalies have been marginally positive (indicating weaker than normal trade winds and in some spots westerly winds) in the central and eastern equatorial Pacific.</w:t>
      </w:r>
    </w:p>
    <w:p w14:paraId="7D4B58B6" w14:textId="6462A03B" w:rsidR="002D5B94" w:rsidRDefault="00DE09E2" w:rsidP="002D5B94">
      <w:r w:rsidRPr="00807609">
        <w:t>International guidance favours ENSO-neutral cond</w:t>
      </w:r>
      <w:r>
        <w:t>itions with high probability (85</w:t>
      </w:r>
      <w:r w:rsidRPr="00807609">
        <w:t>% chance) over the next three month period (</w:t>
      </w:r>
      <w:r>
        <w:t>March</w:t>
      </w:r>
      <w:r w:rsidRPr="00807609">
        <w:t xml:space="preserve"> </w:t>
      </w:r>
      <w:r>
        <w:rPr>
          <w:lang w:val="en-US"/>
        </w:rPr>
        <w:t>– May</w:t>
      </w:r>
      <w:r w:rsidRPr="00807609">
        <w:rPr>
          <w:lang w:val="en-US"/>
        </w:rPr>
        <w:t xml:space="preserve"> </w:t>
      </w:r>
      <w:r w:rsidRPr="00807609">
        <w:t xml:space="preserve">2017). Later during the year, </w:t>
      </w:r>
      <w:r>
        <w:t xml:space="preserve">models indicate significant chances </w:t>
      </w:r>
      <w:r w:rsidRPr="00807609">
        <w:t xml:space="preserve">for a return to El Niño conditions </w:t>
      </w:r>
      <w:r>
        <w:t>(over 50</w:t>
      </w:r>
      <w:r w:rsidRPr="00807609">
        <w:t>% in August – October 2017</w:t>
      </w:r>
      <w:r>
        <w:t xml:space="preserve">). It is important to note </w:t>
      </w:r>
      <w:r w:rsidR="002D5B94">
        <w:t xml:space="preserve">that ENSO </w:t>
      </w:r>
      <w:r w:rsidR="00B749C8">
        <w:t xml:space="preserve">forecasts </w:t>
      </w:r>
      <w:r w:rsidR="00674B23">
        <w:t xml:space="preserve">going </w:t>
      </w:r>
      <w:r w:rsidR="002D5B94">
        <w:t>beyond th</w:t>
      </w:r>
      <w:r w:rsidR="004111D9">
        <w:t xml:space="preserve">e </w:t>
      </w:r>
      <w:r>
        <w:t>Southern Hemisphere autumn</w:t>
      </w:r>
      <w:r w:rsidR="004111D9">
        <w:t xml:space="preserve"> </w:t>
      </w:r>
      <w:r w:rsidR="000979E0">
        <w:t>(Northern Hemisphere spring)</w:t>
      </w:r>
      <w:r w:rsidR="004111D9">
        <w:t xml:space="preserve"> </w:t>
      </w:r>
      <w:r w:rsidR="00B749C8">
        <w:t>are known to be less reliable than at other times of the year</w:t>
      </w:r>
      <w:r w:rsidR="00C849BD">
        <w:t xml:space="preserve"> (the so-called “spring predictability barrier”)</w:t>
      </w:r>
      <w:r w:rsidR="00B749C8">
        <w:t xml:space="preserve">. </w:t>
      </w:r>
      <w:r w:rsidR="0052697D">
        <w:t>As of February 28</w:t>
      </w:r>
      <w:r w:rsidR="0052697D" w:rsidRPr="00D8143D">
        <w:rPr>
          <w:vertAlign w:val="superscript"/>
        </w:rPr>
        <w:t>th</w:t>
      </w:r>
      <w:r w:rsidR="0052697D">
        <w:t>, the BoM has issued an “El Niño Watch” for 2017, citing a 50% chance for the development of El Niño conditions later this year.</w:t>
      </w:r>
    </w:p>
    <w:p w14:paraId="753358AC" w14:textId="73668D8C" w:rsidR="00200B6C" w:rsidRPr="009D0220" w:rsidRDefault="00200B6C" w:rsidP="00200B6C">
      <w:pPr>
        <w:rPr>
          <w:lang w:val="en"/>
        </w:rPr>
      </w:pPr>
      <w:r>
        <w:rPr>
          <w:lang w:val="en"/>
        </w:rPr>
        <w:t>Water temperatures</w:t>
      </w:r>
      <w:r w:rsidRPr="02A6DD28">
        <w:rPr>
          <w:lang w:val="en"/>
        </w:rPr>
        <w:t xml:space="preserve"> surrounding New Zealand </w:t>
      </w:r>
      <w:r>
        <w:rPr>
          <w:lang w:val="en"/>
        </w:rPr>
        <w:t>are close to average to the west of the country and average or above average to the east</w:t>
      </w:r>
      <w:r w:rsidRPr="02A6DD28">
        <w:rPr>
          <w:lang w:val="en"/>
        </w:rPr>
        <w:t xml:space="preserve">. </w:t>
      </w:r>
      <w:r>
        <w:rPr>
          <w:lang w:val="en"/>
        </w:rPr>
        <w:t xml:space="preserve">Along the immediate New Zealand coastline, sea surface temperatures (SSTs) are generally near or above normal for the time of year, especially in the east. </w:t>
      </w:r>
      <w:r w:rsidRPr="02A6DD28">
        <w:rPr>
          <w:lang w:val="en"/>
        </w:rPr>
        <w:t>The dynamical model</w:t>
      </w:r>
      <w:r>
        <w:rPr>
          <w:lang w:val="en"/>
        </w:rPr>
        <w:t>s’</w:t>
      </w:r>
      <w:r w:rsidRPr="02A6DD28">
        <w:rPr>
          <w:lang w:val="en"/>
        </w:rPr>
        <w:t xml:space="preserve"> forecasts for SSTs indicate that this pattern is likely to persist over the next three month period</w:t>
      </w:r>
      <w:r>
        <w:rPr>
          <w:lang w:val="en"/>
        </w:rPr>
        <w:t xml:space="preserve">. </w:t>
      </w:r>
      <w:r w:rsidRPr="009361C1">
        <w:rPr>
          <w:lang w:val="en"/>
        </w:rPr>
        <w:t xml:space="preserve">Thus, coastal waters around the country are expected to be near average as a whole in </w:t>
      </w:r>
      <w:r w:rsidRPr="009361C1">
        <w:t>March – May 2017</w:t>
      </w:r>
      <w:r w:rsidRPr="009361C1">
        <w:rPr>
          <w:lang w:val="en"/>
        </w:rPr>
        <w:t>.</w:t>
      </w:r>
      <w:r w:rsidR="0052697D">
        <w:rPr>
          <w:lang w:val="en"/>
        </w:rPr>
        <w:t xml:space="preserve"> </w:t>
      </w:r>
    </w:p>
    <w:p w14:paraId="486CA1CC" w14:textId="3F3D41DC" w:rsidR="005C2236" w:rsidRPr="00B45B71" w:rsidRDefault="00200B6C" w:rsidP="00BB5210">
      <w:pPr>
        <w:contextualSpacing/>
      </w:pPr>
      <w:r>
        <w:rPr>
          <w:rFonts w:eastAsiaTheme="minorEastAsia" w:cstheme="minorEastAsia"/>
        </w:rPr>
        <w:t>Though the</w:t>
      </w:r>
      <w:r w:rsidR="6877726F" w:rsidRPr="000C4726">
        <w:rPr>
          <w:rFonts w:eastAsiaTheme="minorEastAsia" w:cstheme="minorEastAsia"/>
        </w:rPr>
        <w:t xml:space="preserve"> 2016-17 tropical cyclone season </w:t>
      </w:r>
      <w:r>
        <w:rPr>
          <w:rFonts w:eastAsiaTheme="minorEastAsia" w:cstheme="minorEastAsia"/>
        </w:rPr>
        <w:t>got off to a slow start, February produced the season’s first tropical cyclones</w:t>
      </w:r>
      <w:r w:rsidR="00467E9C">
        <w:rPr>
          <w:rFonts w:eastAsiaTheme="minorEastAsia" w:cstheme="minorEastAsia"/>
        </w:rPr>
        <w:t xml:space="preserve"> (near latest on record)</w:t>
      </w:r>
      <w:r>
        <w:rPr>
          <w:rFonts w:eastAsiaTheme="minorEastAsia" w:cstheme="minorEastAsia"/>
        </w:rPr>
        <w:t>. The remainder of the season is expected to produce near normal tropical cyclone activity. Climatologically,</w:t>
      </w:r>
      <w:r w:rsidR="00BD7D7C" w:rsidRPr="000C4726">
        <w:rPr>
          <w:rFonts w:eastAsiaTheme="minorEastAsia" w:cstheme="minorEastAsia"/>
        </w:rPr>
        <w:t xml:space="preserve"> </w:t>
      </w:r>
      <w:r>
        <w:t>March – May</w:t>
      </w:r>
      <w:r w:rsidR="00467E9C">
        <w:rPr>
          <w:rFonts w:eastAsiaTheme="minorEastAsia" w:cstheme="minorEastAsia"/>
        </w:rPr>
        <w:t xml:space="preserve"> is</w:t>
      </w:r>
      <w:r w:rsidR="00BD7D7C" w:rsidRPr="000C4726">
        <w:rPr>
          <w:rFonts w:eastAsiaTheme="minorEastAsia" w:cstheme="minorEastAsia"/>
        </w:rPr>
        <w:t xml:space="preserve"> the most active</w:t>
      </w:r>
      <w:r w:rsidR="00200A8E" w:rsidRPr="000C4726">
        <w:rPr>
          <w:rFonts w:eastAsiaTheme="minorEastAsia" w:cstheme="minorEastAsia"/>
        </w:rPr>
        <w:t xml:space="preserve"> part </w:t>
      </w:r>
      <w:r w:rsidR="005A0BC9" w:rsidRPr="000C4726">
        <w:rPr>
          <w:rFonts w:eastAsiaTheme="minorEastAsia" w:cstheme="minorEastAsia"/>
        </w:rPr>
        <w:t xml:space="preserve">of the </w:t>
      </w:r>
      <w:r w:rsidR="00021105" w:rsidRPr="000C4726">
        <w:rPr>
          <w:rFonts w:eastAsiaTheme="minorEastAsia" w:cstheme="minorEastAsia"/>
        </w:rPr>
        <w:t>t</w:t>
      </w:r>
      <w:r w:rsidR="005A0BC9" w:rsidRPr="000C4726">
        <w:rPr>
          <w:rFonts w:eastAsiaTheme="minorEastAsia" w:cstheme="minorEastAsia"/>
        </w:rPr>
        <w:t xml:space="preserve">ropical </w:t>
      </w:r>
      <w:r w:rsidR="00021105" w:rsidRPr="000C4726">
        <w:rPr>
          <w:rFonts w:eastAsiaTheme="minorEastAsia" w:cstheme="minorEastAsia"/>
        </w:rPr>
        <w:t>c</w:t>
      </w:r>
      <w:r w:rsidR="005A0BC9" w:rsidRPr="000C4726">
        <w:rPr>
          <w:rFonts w:eastAsiaTheme="minorEastAsia" w:cstheme="minorEastAsia"/>
        </w:rPr>
        <w:t>yclone season</w:t>
      </w:r>
      <w:r w:rsidR="6877726F" w:rsidRPr="000C4726">
        <w:rPr>
          <w:rFonts w:eastAsiaTheme="minorEastAsia" w:cstheme="minorEastAsia"/>
        </w:rPr>
        <w:t xml:space="preserve">.  Refer to NIWA’s </w:t>
      </w:r>
      <w:r w:rsidR="00467E9C">
        <w:rPr>
          <w:rFonts w:eastAsiaTheme="minorEastAsia" w:cstheme="minorEastAsia"/>
        </w:rPr>
        <w:t>updated Tropical Cyclone O</w:t>
      </w:r>
      <w:r w:rsidR="6877726F" w:rsidRPr="000C4726">
        <w:rPr>
          <w:rFonts w:eastAsiaTheme="minorEastAsia" w:cstheme="minorEastAsia"/>
        </w:rPr>
        <w:t xml:space="preserve">utlook at </w:t>
      </w:r>
      <w:r w:rsidR="005D150A" w:rsidRPr="005D150A">
        <w:t>https://www.niwa.co.nz/news/southwest-pacific-tropical-cyclone-outlook-update-0</w:t>
      </w:r>
      <w:r w:rsidR="6877726F" w:rsidRPr="000C4726">
        <w:rPr>
          <w:rFonts w:eastAsiaTheme="minorEastAsia" w:cstheme="minorEastAsia"/>
        </w:rPr>
        <w:t xml:space="preserve"> for more information.</w:t>
      </w:r>
    </w:p>
    <w:p w14:paraId="700E4184" w14:textId="6DF457AA" w:rsidR="00172D70" w:rsidRPr="00B45B71" w:rsidRDefault="00824BDC" w:rsidP="005645AA">
      <w:pPr>
        <w:spacing w:before="480"/>
        <w:rPr>
          <w:color w:val="1F497D" w:themeColor="text2"/>
        </w:rPr>
      </w:pPr>
      <w:bookmarkStart w:id="10" w:name="contacts"/>
      <w:bookmarkEnd w:id="10"/>
      <w:r w:rsidRPr="000C4726">
        <w:rPr>
          <w:rFonts w:eastAsiaTheme="minorEastAsia" w:cstheme="minorEastAsia"/>
          <w:color w:val="1F497D" w:themeColor="text2"/>
        </w:rPr>
        <w:t>For comment, please contact</w:t>
      </w:r>
    </w:p>
    <w:p w14:paraId="51D7AD71" w14:textId="62CD0D67" w:rsidR="00172D70" w:rsidRPr="00B45B71" w:rsidRDefault="6877726F" w:rsidP="002C23DB">
      <w:pPr>
        <w:spacing w:after="0"/>
        <w:ind w:left="1276"/>
      </w:pPr>
      <w:r w:rsidRPr="000C4726">
        <w:rPr>
          <w:rFonts w:eastAsiaTheme="minorEastAsia" w:cstheme="minorEastAsia"/>
        </w:rPr>
        <w:t>Chris Brandolino, Principal Scientist –</w:t>
      </w:r>
      <w:r w:rsidRPr="000C4726">
        <w:rPr>
          <w:rFonts w:eastAsiaTheme="minorEastAsia" w:cstheme="minorEastAsia"/>
          <w:b/>
        </w:rPr>
        <w:t xml:space="preserve"> </w:t>
      </w:r>
      <w:r w:rsidRPr="000C4726">
        <w:rPr>
          <w:rFonts w:eastAsiaTheme="minorEastAsia" w:cstheme="minorEastAsia"/>
        </w:rPr>
        <w:t xml:space="preserve">Forecasting, NIWA National Climate Centre </w:t>
      </w:r>
    </w:p>
    <w:p w14:paraId="53C96EBB" w14:textId="495F08D4" w:rsidR="002C23DB" w:rsidRPr="00B45B71" w:rsidRDefault="6877726F" w:rsidP="002C23DB">
      <w:pPr>
        <w:spacing w:after="0"/>
        <w:ind w:firstLine="1276"/>
      </w:pPr>
      <w:r w:rsidRPr="000C4726">
        <w:rPr>
          <w:rFonts w:eastAsiaTheme="minorEastAsia" w:cstheme="minorEastAsia"/>
        </w:rPr>
        <w:t xml:space="preserve">Tel (09) 375 6335, Mobile (027) 886 0014 </w:t>
      </w:r>
    </w:p>
    <w:p w14:paraId="0D23EDC0" w14:textId="77777777" w:rsidR="00F82709" w:rsidRPr="00B45B71" w:rsidRDefault="00F82709" w:rsidP="002C23DB">
      <w:pPr>
        <w:spacing w:after="0"/>
        <w:ind w:firstLine="1276"/>
      </w:pPr>
    </w:p>
    <w:p w14:paraId="295685F8" w14:textId="54E19510" w:rsidR="00D56098" w:rsidRPr="00B45B71" w:rsidRDefault="6877726F" w:rsidP="002C23DB">
      <w:pPr>
        <w:spacing w:after="0"/>
        <w:ind w:firstLine="1276"/>
      </w:pPr>
      <w:r w:rsidRPr="000C4726">
        <w:rPr>
          <w:rFonts w:eastAsiaTheme="minorEastAsia" w:cstheme="minorEastAsia"/>
        </w:rPr>
        <w:t>Dr Brett Mullan, Principal Scientist, NIWA National Climate Centre</w:t>
      </w:r>
    </w:p>
    <w:p w14:paraId="481C1835" w14:textId="696466B5" w:rsidR="00B47A4A" w:rsidRPr="00B45B71" w:rsidRDefault="6877726F" w:rsidP="002C23DB">
      <w:pPr>
        <w:spacing w:after="0"/>
        <w:ind w:left="556" w:firstLine="720"/>
      </w:pPr>
      <w:r w:rsidRPr="000C4726">
        <w:rPr>
          <w:rFonts w:eastAsiaTheme="minorEastAsia" w:cstheme="minorEastAsia"/>
        </w:rPr>
        <w:lastRenderedPageBreak/>
        <w:t>Tel (04) 386 0508, Mobile (027) 294 1169</w:t>
      </w:r>
    </w:p>
    <w:p w14:paraId="1374025D" w14:textId="47073D36" w:rsidR="00E72C2A" w:rsidRPr="00B45B71" w:rsidRDefault="004D3650">
      <w:r w:rsidRPr="000C4726">
        <w:rPr>
          <w:rFonts w:eastAsiaTheme="minorEastAsia" w:cstheme="minorEastAsia"/>
        </w:rPr>
        <w:br w:type="page"/>
      </w:r>
      <w:bookmarkStart w:id="11" w:name="notes"/>
      <w:r w:rsidR="00E72C2A" w:rsidRPr="000C4726">
        <w:rPr>
          <w:rFonts w:eastAsiaTheme="minorEastAsia" w:cstheme="minorEastAsia"/>
          <w:color w:val="1F497D" w:themeColor="text2"/>
        </w:rPr>
        <w:lastRenderedPageBreak/>
        <w:t>Notes to reporters and editors</w:t>
      </w:r>
    </w:p>
    <w:bookmarkEnd w:id="11"/>
    <w:p w14:paraId="648B6D68" w14:textId="77777777" w:rsidR="00E72C2A" w:rsidRPr="000C4726" w:rsidRDefault="6877726F" w:rsidP="6877726F">
      <w:pPr>
        <w:pStyle w:val="ListParagraph"/>
        <w:numPr>
          <w:ilvl w:val="0"/>
          <w:numId w:val="1"/>
        </w:numPr>
        <w:rPr>
          <w:rFonts w:eastAsiaTheme="minorEastAsia" w:cstheme="minorEastAsia"/>
        </w:rPr>
      </w:pPr>
      <w:r w:rsidRPr="000C4726">
        <w:rPr>
          <w:rFonts w:eastAsiaTheme="minorEastAsia" w:cstheme="minorEastAsia"/>
        </w:rPr>
        <w:t>NIWA’s outlooks indicate the likelihood of climate conditions being at, above, or below average for the season as a whole. They are not ‘weather forecasts’. It is not possible to forecast precise weather conditions three months ahead of time.</w:t>
      </w:r>
    </w:p>
    <w:p w14:paraId="53F11924" w14:textId="77777777" w:rsidR="00E72C2A" w:rsidRPr="000C4726" w:rsidRDefault="6877726F" w:rsidP="6877726F">
      <w:pPr>
        <w:pStyle w:val="ListParagraph"/>
        <w:numPr>
          <w:ilvl w:val="0"/>
          <w:numId w:val="1"/>
        </w:numPr>
        <w:rPr>
          <w:rFonts w:eastAsiaTheme="minorEastAsia" w:cstheme="minorEastAsia"/>
        </w:rPr>
      </w:pPr>
      <w:r w:rsidRPr="000C4726">
        <w:rPr>
          <w:rFonts w:eastAsiaTheme="minorEastAsia" w:cstheme="minorEastAsia"/>
        </w:rPr>
        <w:t>The outlooks are the result of the expert judgment of NIWA’s climate scientists. They take into account observations of atmospheric and ocean conditions and output from global and local climate models. The presence of El Niño or La Niña conditions and the sea surface temperatures around New Zealand can be a useful indicator of likely overall climate conditions for a season.</w:t>
      </w:r>
    </w:p>
    <w:p w14:paraId="635E60E1" w14:textId="77777777" w:rsidR="00811ECD" w:rsidRPr="000C4726" w:rsidRDefault="6877726F" w:rsidP="6877726F">
      <w:pPr>
        <w:pStyle w:val="ListParagraph"/>
        <w:numPr>
          <w:ilvl w:val="0"/>
          <w:numId w:val="1"/>
        </w:numPr>
        <w:rPr>
          <w:rFonts w:eastAsiaTheme="minorEastAsia" w:cstheme="minorEastAsia"/>
        </w:rPr>
      </w:pPr>
      <w:r w:rsidRPr="000C4726">
        <w:rPr>
          <w:rFonts w:eastAsiaTheme="minorEastAsia" w:cstheme="minorEastAsia"/>
        </w:rPr>
        <w:t>The outlooks state the probability for above average conditions, near average conditions, and below average conditions for rainfall, temperature, soil moisture, and river flows. For example, for winter (June–July–August) 2007, for all the North Island, we assigned the following probabilities for temperature:</w:t>
      </w:r>
      <w:r w:rsidR="7EC835B1" w:rsidRPr="00B45B71">
        <w:br/>
      </w:r>
      <w:r w:rsidRPr="000C4726">
        <w:rPr>
          <w:rFonts w:eastAsiaTheme="minorEastAsia" w:cstheme="minorEastAsia"/>
        </w:rPr>
        <w:t>·  Above average: 60 per cent</w:t>
      </w:r>
      <w:r w:rsidR="7EC835B1" w:rsidRPr="00B45B71">
        <w:br/>
      </w:r>
      <w:r w:rsidRPr="000C4726">
        <w:rPr>
          <w:rFonts w:eastAsiaTheme="minorEastAsia" w:cstheme="minorEastAsia"/>
        </w:rPr>
        <w:t>·  Near average: 30 per cent</w:t>
      </w:r>
      <w:r w:rsidR="7EC835B1" w:rsidRPr="00B45B71">
        <w:br/>
      </w:r>
      <w:r w:rsidRPr="000C4726">
        <w:rPr>
          <w:rFonts w:eastAsiaTheme="minorEastAsia" w:cstheme="minorEastAsia"/>
        </w:rPr>
        <w:t>·  Below average: 10 per cent</w:t>
      </w:r>
      <w:r w:rsidR="7EC835B1" w:rsidRPr="00B45B71">
        <w:br/>
      </w:r>
      <w:r w:rsidRPr="000C4726">
        <w:rPr>
          <w:rFonts w:eastAsiaTheme="minorEastAsia" w:cstheme="minorEastAsia"/>
        </w:rPr>
        <w:t>We therefore concluded that above average temperatures were very likely.</w:t>
      </w:r>
    </w:p>
    <w:p w14:paraId="36B779AC" w14:textId="77777777" w:rsidR="00811ECD" w:rsidRPr="000C4726" w:rsidRDefault="6877726F" w:rsidP="6877726F">
      <w:pPr>
        <w:pStyle w:val="ListParagraph"/>
        <w:numPr>
          <w:ilvl w:val="0"/>
          <w:numId w:val="1"/>
        </w:numPr>
        <w:rPr>
          <w:rFonts w:eastAsiaTheme="minorEastAsia" w:cstheme="minorEastAsia"/>
        </w:rPr>
      </w:pPr>
      <w:r w:rsidRPr="000C4726">
        <w:rPr>
          <w:rFonts w:eastAsiaTheme="minorEastAsia" w:cstheme="minorEastAsia"/>
        </w:rPr>
        <w:t>This three-way probability means that a random choice would be correct only 33 per cent (or one-third) of the time. It would be like randomly throwing a dart at a board divided into three equal parts, or throwing a dice with three numbers on it. An analogy with coin tossing (a two-way probability) is not correct.</w:t>
      </w:r>
    </w:p>
    <w:p w14:paraId="37C37E79" w14:textId="052091D0" w:rsidR="00811ECD" w:rsidRPr="000C4726" w:rsidRDefault="6877726F" w:rsidP="6877726F">
      <w:pPr>
        <w:pStyle w:val="ListParagraph"/>
        <w:numPr>
          <w:ilvl w:val="0"/>
          <w:numId w:val="1"/>
        </w:numPr>
        <w:rPr>
          <w:rFonts w:eastAsiaTheme="minorEastAsia" w:cstheme="minorEastAsia"/>
        </w:rPr>
      </w:pPr>
      <w:r w:rsidRPr="000C4726">
        <w:rPr>
          <w:rFonts w:eastAsiaTheme="minorEastAsia" w:cstheme="minorEastAsia"/>
        </w:rPr>
        <w:t xml:space="preserve">A 50 per cent ‘hit rate’ is substantially better than guesswork, and comparable with the skill level of the best overseas climate outlooks. See, for example, analysis of global outlooks issued by the International Research Institute for Climate and Society based in the US published in the Bulletin of the American Meteorological Society (Goddard, L., A. G. Barnston, and S. J. Mason, 2003: Evaluation of the IRI’s “net assessment” seasonal climate forecasts 1997–2001. </w:t>
      </w:r>
      <w:r w:rsidRPr="000C4726">
        <w:rPr>
          <w:rFonts w:eastAsiaTheme="minorEastAsia" w:cstheme="minorEastAsia"/>
          <w:i/>
        </w:rPr>
        <w:t>Bull. Amer. Meteor. Soc</w:t>
      </w:r>
      <w:r w:rsidRPr="000C4726">
        <w:rPr>
          <w:rFonts w:eastAsiaTheme="minorEastAsia" w:cstheme="minorEastAsia"/>
        </w:rPr>
        <w:t>., 84, 1761–1781).</w:t>
      </w:r>
    </w:p>
    <w:p w14:paraId="61D7AA44" w14:textId="77777777" w:rsidR="005E3752" w:rsidRPr="000C4726" w:rsidRDefault="6877726F" w:rsidP="6877726F">
      <w:pPr>
        <w:pStyle w:val="ListParagraph"/>
        <w:numPr>
          <w:ilvl w:val="0"/>
          <w:numId w:val="1"/>
        </w:numPr>
        <w:rPr>
          <w:rFonts w:eastAsiaTheme="minorEastAsia" w:cstheme="minorEastAsia"/>
        </w:rPr>
      </w:pPr>
      <w:r w:rsidRPr="000C4726">
        <w:rPr>
          <w:rFonts w:eastAsiaTheme="minorEastAsia" w:cstheme="minorEastAsia"/>
        </w:rPr>
        <w:t xml:space="preserve">Each month, NIWA publishes an analysis of how well its outlooks perform. This is available online and is sent to about 3500 recipients of NIWA’s newsletters, including many farmers. See </w:t>
      </w:r>
      <w:hyperlink r:id="rId11">
        <w:r w:rsidRPr="000C4726">
          <w:rPr>
            <w:rStyle w:val="Hyperlink"/>
            <w:rFonts w:eastAsiaTheme="minorEastAsia" w:cstheme="minorEastAsia"/>
          </w:rPr>
          <w:t>www.niwa.co.nz/our-science/climate/publications/all/cu</w:t>
        </w:r>
      </w:hyperlink>
    </w:p>
    <w:p w14:paraId="29ABE964" w14:textId="77777777" w:rsidR="00086BB3" w:rsidRPr="000C4726" w:rsidRDefault="6877726F" w:rsidP="6877726F">
      <w:pPr>
        <w:pStyle w:val="ListParagraph"/>
        <w:numPr>
          <w:ilvl w:val="0"/>
          <w:numId w:val="1"/>
        </w:numPr>
        <w:rPr>
          <w:rFonts w:eastAsiaTheme="minorEastAsia" w:cstheme="minorEastAsia"/>
        </w:rPr>
      </w:pPr>
      <w:r w:rsidRPr="000C4726">
        <w:rPr>
          <w:rFonts w:eastAsiaTheme="minorEastAsia" w:cstheme="minorEastAsia"/>
        </w:rPr>
        <w:t>All outlooks are for the three months as a whole. There will inevitably be wet and dry days, and hot and cold days, within a season. The exact range in temperature and rainfall within each of the three categories varies with location and season. However, as a guide, the “near average” or middle category for the temperature predictions includes deviations up to ±0.5°C for the long-term mean, whereas for rainfall the “near normal” category lies between approximately 80 per cent and 115 per cent of the long-term mean.</w:t>
      </w:r>
    </w:p>
    <w:p w14:paraId="43257061" w14:textId="77777777" w:rsidR="00086BB3" w:rsidRPr="000C4726" w:rsidRDefault="6877726F" w:rsidP="6877726F">
      <w:pPr>
        <w:pStyle w:val="ListParagraph"/>
        <w:numPr>
          <w:ilvl w:val="0"/>
          <w:numId w:val="1"/>
        </w:numPr>
        <w:rPr>
          <w:rFonts w:eastAsiaTheme="minorEastAsia" w:cstheme="minorEastAsia"/>
        </w:rPr>
      </w:pPr>
      <w:r w:rsidRPr="000C4726">
        <w:rPr>
          <w:rFonts w:eastAsiaTheme="minorEastAsia" w:cstheme="minorEastAsia"/>
        </w:rPr>
        <w:t>The seasonal climate outlooks are an output of a scientific research programme, supplemented by NIWA’s Capability Funding. NIWA does not have a government contract to produce these outlooks.</w:t>
      </w:r>
    </w:p>
    <w:p w14:paraId="14DBBCE7" w14:textId="0C1642F8" w:rsidR="00B712C7" w:rsidRPr="000C4726" w:rsidRDefault="6877726F" w:rsidP="6877726F">
      <w:pPr>
        <w:pStyle w:val="ListParagraph"/>
        <w:numPr>
          <w:ilvl w:val="0"/>
          <w:numId w:val="1"/>
        </w:numPr>
        <w:rPr>
          <w:rFonts w:eastAsiaTheme="minorEastAsia" w:cstheme="minorEastAsia"/>
        </w:rPr>
      </w:pPr>
      <w:r w:rsidRPr="000C4726">
        <w:rPr>
          <w:rFonts w:eastAsiaTheme="minorEastAsia" w:cstheme="minorEastAsia"/>
        </w:rPr>
        <w:t>Where probabilities are within 5% of one another, the term “about equally” is used.</w:t>
      </w:r>
    </w:p>
    <w:p w14:paraId="0E5504EB" w14:textId="77777777" w:rsidR="00086BB3" w:rsidRPr="00B45B71" w:rsidRDefault="6877726F" w:rsidP="00086BB3">
      <w:r w:rsidRPr="000C4726">
        <w:rPr>
          <w:rFonts w:eastAsiaTheme="minorEastAsia" w:cstheme="minorEastAsia"/>
        </w:rPr>
        <w:t xml:space="preserve">Visit our media centre at: </w:t>
      </w:r>
      <w:hyperlink r:id="rId12">
        <w:r w:rsidRPr="000C4726">
          <w:rPr>
            <w:rStyle w:val="Hyperlink"/>
            <w:rFonts w:eastAsiaTheme="minorEastAsia" w:cstheme="minorEastAsia"/>
          </w:rPr>
          <w:t>www.niwa.co.nz/news-publications/media-centre</w:t>
        </w:r>
      </w:hyperlink>
    </w:p>
    <w:p w14:paraId="6EAA7061" w14:textId="6051E1DC" w:rsidR="00E72C2A" w:rsidRPr="00B45B71" w:rsidRDefault="00811ECD">
      <w:r w:rsidRPr="00B45B71">
        <w:rPr>
          <w:rFonts w:cstheme="minorHAnsi"/>
        </w:rPr>
        <w:br/>
      </w:r>
    </w:p>
    <w:sectPr w:rsidR="00E72C2A" w:rsidRPr="00B45B71" w:rsidSect="00B45B71">
      <w:footnotePr>
        <w:numFmt w:val="chicago"/>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A0E3B" w14:textId="77777777" w:rsidR="007C01B0" w:rsidRDefault="007C01B0" w:rsidP="006558C1">
      <w:pPr>
        <w:spacing w:after="0" w:line="240" w:lineRule="auto"/>
      </w:pPr>
      <w:r>
        <w:separator/>
      </w:r>
    </w:p>
  </w:endnote>
  <w:endnote w:type="continuationSeparator" w:id="0">
    <w:p w14:paraId="55164854" w14:textId="77777777" w:rsidR="007C01B0" w:rsidRDefault="007C01B0" w:rsidP="006558C1">
      <w:pPr>
        <w:spacing w:after="0" w:line="240" w:lineRule="auto"/>
      </w:pPr>
      <w:r>
        <w:continuationSeparator/>
      </w:r>
    </w:p>
  </w:endnote>
  <w:endnote w:type="continuationNotice" w:id="1">
    <w:p w14:paraId="359B75D7" w14:textId="77777777" w:rsidR="007C01B0" w:rsidRDefault="007C01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ahoma,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AAFB5" w14:textId="77777777" w:rsidR="007C01B0" w:rsidRDefault="007C01B0" w:rsidP="006558C1">
      <w:pPr>
        <w:spacing w:after="0" w:line="240" w:lineRule="auto"/>
      </w:pPr>
      <w:r>
        <w:separator/>
      </w:r>
    </w:p>
  </w:footnote>
  <w:footnote w:type="continuationSeparator" w:id="0">
    <w:p w14:paraId="112EC718" w14:textId="77777777" w:rsidR="007C01B0" w:rsidRDefault="007C01B0" w:rsidP="006558C1">
      <w:pPr>
        <w:spacing w:after="0" w:line="240" w:lineRule="auto"/>
      </w:pPr>
      <w:r>
        <w:continuationSeparator/>
      </w:r>
    </w:p>
  </w:footnote>
  <w:footnote w:type="continuationNotice" w:id="1">
    <w:p w14:paraId="5E6562DF" w14:textId="77777777" w:rsidR="007C01B0" w:rsidRDefault="007C01B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60923"/>
    <w:multiLevelType w:val="multilevel"/>
    <w:tmpl w:val="4F223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0A6E1C"/>
    <w:multiLevelType w:val="hybridMultilevel"/>
    <w:tmpl w:val="E0AE18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7029352A"/>
    <w:multiLevelType w:val="hybridMultilevel"/>
    <w:tmpl w:val="A43ACBBE"/>
    <w:lvl w:ilvl="0" w:tplc="1409000F">
      <w:start w:val="1"/>
      <w:numFmt w:val="decimal"/>
      <w:lvlText w:val="%1."/>
      <w:lvlJc w:val="left"/>
      <w:pPr>
        <w:ind w:left="363" w:hanging="360"/>
      </w:pPr>
    </w:lvl>
    <w:lvl w:ilvl="1" w:tplc="14090019">
      <w:start w:val="1"/>
      <w:numFmt w:val="lowerLetter"/>
      <w:lvlText w:val="%2."/>
      <w:lvlJc w:val="left"/>
      <w:pPr>
        <w:ind w:left="1083" w:hanging="360"/>
      </w:pPr>
    </w:lvl>
    <w:lvl w:ilvl="2" w:tplc="1409001B" w:tentative="1">
      <w:start w:val="1"/>
      <w:numFmt w:val="lowerRoman"/>
      <w:lvlText w:val="%3."/>
      <w:lvlJc w:val="right"/>
      <w:pPr>
        <w:ind w:left="1803" w:hanging="180"/>
      </w:pPr>
    </w:lvl>
    <w:lvl w:ilvl="3" w:tplc="1409000F" w:tentative="1">
      <w:start w:val="1"/>
      <w:numFmt w:val="decimal"/>
      <w:lvlText w:val="%4."/>
      <w:lvlJc w:val="left"/>
      <w:pPr>
        <w:ind w:left="2523" w:hanging="360"/>
      </w:pPr>
    </w:lvl>
    <w:lvl w:ilvl="4" w:tplc="14090019" w:tentative="1">
      <w:start w:val="1"/>
      <w:numFmt w:val="lowerLetter"/>
      <w:lvlText w:val="%5."/>
      <w:lvlJc w:val="left"/>
      <w:pPr>
        <w:ind w:left="3243" w:hanging="360"/>
      </w:pPr>
    </w:lvl>
    <w:lvl w:ilvl="5" w:tplc="1409001B" w:tentative="1">
      <w:start w:val="1"/>
      <w:numFmt w:val="lowerRoman"/>
      <w:lvlText w:val="%6."/>
      <w:lvlJc w:val="right"/>
      <w:pPr>
        <w:ind w:left="3963" w:hanging="180"/>
      </w:pPr>
    </w:lvl>
    <w:lvl w:ilvl="6" w:tplc="1409000F" w:tentative="1">
      <w:start w:val="1"/>
      <w:numFmt w:val="decimal"/>
      <w:lvlText w:val="%7."/>
      <w:lvlJc w:val="left"/>
      <w:pPr>
        <w:ind w:left="4683" w:hanging="360"/>
      </w:pPr>
    </w:lvl>
    <w:lvl w:ilvl="7" w:tplc="14090019" w:tentative="1">
      <w:start w:val="1"/>
      <w:numFmt w:val="lowerLetter"/>
      <w:lvlText w:val="%8."/>
      <w:lvlJc w:val="left"/>
      <w:pPr>
        <w:ind w:left="5403" w:hanging="360"/>
      </w:pPr>
    </w:lvl>
    <w:lvl w:ilvl="8" w:tplc="1409001B" w:tentative="1">
      <w:start w:val="1"/>
      <w:numFmt w:val="lowerRoman"/>
      <w:lvlText w:val="%9."/>
      <w:lvlJc w:val="right"/>
      <w:pPr>
        <w:ind w:left="6123"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0FA"/>
    <w:rsid w:val="00001A24"/>
    <w:rsid w:val="00001EEA"/>
    <w:rsid w:val="00002742"/>
    <w:rsid w:val="00002FE7"/>
    <w:rsid w:val="000030B1"/>
    <w:rsid w:val="000038E3"/>
    <w:rsid w:val="00003FD1"/>
    <w:rsid w:val="00005127"/>
    <w:rsid w:val="0000629D"/>
    <w:rsid w:val="00006937"/>
    <w:rsid w:val="00006FF6"/>
    <w:rsid w:val="000077DF"/>
    <w:rsid w:val="000077FB"/>
    <w:rsid w:val="00007E38"/>
    <w:rsid w:val="00010141"/>
    <w:rsid w:val="0001015C"/>
    <w:rsid w:val="00010A2D"/>
    <w:rsid w:val="00010F10"/>
    <w:rsid w:val="00011175"/>
    <w:rsid w:val="00011E3F"/>
    <w:rsid w:val="00012C60"/>
    <w:rsid w:val="000130CA"/>
    <w:rsid w:val="0001319B"/>
    <w:rsid w:val="00013AEF"/>
    <w:rsid w:val="00014159"/>
    <w:rsid w:val="00014E73"/>
    <w:rsid w:val="00016E3A"/>
    <w:rsid w:val="0002035B"/>
    <w:rsid w:val="00021105"/>
    <w:rsid w:val="00022439"/>
    <w:rsid w:val="000237F2"/>
    <w:rsid w:val="00023F5E"/>
    <w:rsid w:val="000244F0"/>
    <w:rsid w:val="000248D8"/>
    <w:rsid w:val="00024A06"/>
    <w:rsid w:val="00024DC4"/>
    <w:rsid w:val="000253B2"/>
    <w:rsid w:val="00025AA0"/>
    <w:rsid w:val="00026105"/>
    <w:rsid w:val="000321ED"/>
    <w:rsid w:val="0003259B"/>
    <w:rsid w:val="00033B30"/>
    <w:rsid w:val="00033F12"/>
    <w:rsid w:val="00034799"/>
    <w:rsid w:val="00035B4C"/>
    <w:rsid w:val="0003643E"/>
    <w:rsid w:val="00036A1E"/>
    <w:rsid w:val="00037370"/>
    <w:rsid w:val="0003785D"/>
    <w:rsid w:val="00037DC8"/>
    <w:rsid w:val="000419B1"/>
    <w:rsid w:val="00042998"/>
    <w:rsid w:val="000434B3"/>
    <w:rsid w:val="0004494B"/>
    <w:rsid w:val="00045BC0"/>
    <w:rsid w:val="0004632A"/>
    <w:rsid w:val="00046B75"/>
    <w:rsid w:val="00051A2C"/>
    <w:rsid w:val="000522C5"/>
    <w:rsid w:val="000523E1"/>
    <w:rsid w:val="00053FC3"/>
    <w:rsid w:val="000540CA"/>
    <w:rsid w:val="0005449D"/>
    <w:rsid w:val="00055462"/>
    <w:rsid w:val="00055605"/>
    <w:rsid w:val="0005661D"/>
    <w:rsid w:val="00056DAA"/>
    <w:rsid w:val="00057401"/>
    <w:rsid w:val="00060700"/>
    <w:rsid w:val="00060F1C"/>
    <w:rsid w:val="00061C12"/>
    <w:rsid w:val="00062963"/>
    <w:rsid w:val="000633CA"/>
    <w:rsid w:val="00064ED9"/>
    <w:rsid w:val="00064EE5"/>
    <w:rsid w:val="00070395"/>
    <w:rsid w:val="00070D25"/>
    <w:rsid w:val="000717E2"/>
    <w:rsid w:val="00072364"/>
    <w:rsid w:val="000725E5"/>
    <w:rsid w:val="00072C02"/>
    <w:rsid w:val="00073003"/>
    <w:rsid w:val="0007326F"/>
    <w:rsid w:val="000734BE"/>
    <w:rsid w:val="000734D6"/>
    <w:rsid w:val="00073A2E"/>
    <w:rsid w:val="00074DC7"/>
    <w:rsid w:val="000752AE"/>
    <w:rsid w:val="00075BFF"/>
    <w:rsid w:val="00076166"/>
    <w:rsid w:val="0007628C"/>
    <w:rsid w:val="000765EE"/>
    <w:rsid w:val="00077238"/>
    <w:rsid w:val="00077799"/>
    <w:rsid w:val="00080A85"/>
    <w:rsid w:val="00080FB6"/>
    <w:rsid w:val="0008138D"/>
    <w:rsid w:val="00082D49"/>
    <w:rsid w:val="0008378B"/>
    <w:rsid w:val="00083E47"/>
    <w:rsid w:val="00086046"/>
    <w:rsid w:val="00086350"/>
    <w:rsid w:val="00086BB3"/>
    <w:rsid w:val="00087A55"/>
    <w:rsid w:val="000906A9"/>
    <w:rsid w:val="00091CE9"/>
    <w:rsid w:val="00092863"/>
    <w:rsid w:val="00093563"/>
    <w:rsid w:val="0009434B"/>
    <w:rsid w:val="000954B6"/>
    <w:rsid w:val="000955B9"/>
    <w:rsid w:val="000958EE"/>
    <w:rsid w:val="00095B01"/>
    <w:rsid w:val="0009600E"/>
    <w:rsid w:val="0009651F"/>
    <w:rsid w:val="00096BD9"/>
    <w:rsid w:val="00097742"/>
    <w:rsid w:val="000979E0"/>
    <w:rsid w:val="00097B23"/>
    <w:rsid w:val="000A04DB"/>
    <w:rsid w:val="000A087B"/>
    <w:rsid w:val="000A0917"/>
    <w:rsid w:val="000A0961"/>
    <w:rsid w:val="000A2062"/>
    <w:rsid w:val="000A2D63"/>
    <w:rsid w:val="000A3462"/>
    <w:rsid w:val="000A5554"/>
    <w:rsid w:val="000A68A3"/>
    <w:rsid w:val="000B053D"/>
    <w:rsid w:val="000B0B6F"/>
    <w:rsid w:val="000B1C9B"/>
    <w:rsid w:val="000B20F6"/>
    <w:rsid w:val="000B3066"/>
    <w:rsid w:val="000B7320"/>
    <w:rsid w:val="000C1476"/>
    <w:rsid w:val="000C20E0"/>
    <w:rsid w:val="000C26B7"/>
    <w:rsid w:val="000C2D7F"/>
    <w:rsid w:val="000C3237"/>
    <w:rsid w:val="000C3CD6"/>
    <w:rsid w:val="000C3DB6"/>
    <w:rsid w:val="000C4726"/>
    <w:rsid w:val="000C47DE"/>
    <w:rsid w:val="000C4BF4"/>
    <w:rsid w:val="000C5A3C"/>
    <w:rsid w:val="000D07BE"/>
    <w:rsid w:val="000D1653"/>
    <w:rsid w:val="000D1F71"/>
    <w:rsid w:val="000D2482"/>
    <w:rsid w:val="000D25C5"/>
    <w:rsid w:val="000D31F9"/>
    <w:rsid w:val="000D3D94"/>
    <w:rsid w:val="000D6DC6"/>
    <w:rsid w:val="000D70C1"/>
    <w:rsid w:val="000D7C97"/>
    <w:rsid w:val="000D7E0D"/>
    <w:rsid w:val="000E1DC1"/>
    <w:rsid w:val="000E1FC6"/>
    <w:rsid w:val="000E2300"/>
    <w:rsid w:val="000E269C"/>
    <w:rsid w:val="000E3030"/>
    <w:rsid w:val="000E3954"/>
    <w:rsid w:val="000E3CF0"/>
    <w:rsid w:val="000E437B"/>
    <w:rsid w:val="000E520B"/>
    <w:rsid w:val="000E5B62"/>
    <w:rsid w:val="000E5B9A"/>
    <w:rsid w:val="000E6DB7"/>
    <w:rsid w:val="000F0158"/>
    <w:rsid w:val="000F11B2"/>
    <w:rsid w:val="000F2405"/>
    <w:rsid w:val="000F329A"/>
    <w:rsid w:val="000F3876"/>
    <w:rsid w:val="000F3934"/>
    <w:rsid w:val="000F4E7E"/>
    <w:rsid w:val="000F56F8"/>
    <w:rsid w:val="000F7970"/>
    <w:rsid w:val="00100A10"/>
    <w:rsid w:val="00100B58"/>
    <w:rsid w:val="00100DBB"/>
    <w:rsid w:val="00101C8B"/>
    <w:rsid w:val="00103D1A"/>
    <w:rsid w:val="00103DEE"/>
    <w:rsid w:val="001042CC"/>
    <w:rsid w:val="00104307"/>
    <w:rsid w:val="001062B0"/>
    <w:rsid w:val="00107B33"/>
    <w:rsid w:val="00107BD7"/>
    <w:rsid w:val="00111341"/>
    <w:rsid w:val="00111578"/>
    <w:rsid w:val="00111BBE"/>
    <w:rsid w:val="001132A7"/>
    <w:rsid w:val="00113827"/>
    <w:rsid w:val="00114B5A"/>
    <w:rsid w:val="00115988"/>
    <w:rsid w:val="0011675E"/>
    <w:rsid w:val="00116970"/>
    <w:rsid w:val="00116BE8"/>
    <w:rsid w:val="00117892"/>
    <w:rsid w:val="00120676"/>
    <w:rsid w:val="0012237A"/>
    <w:rsid w:val="00124A4C"/>
    <w:rsid w:val="0012587D"/>
    <w:rsid w:val="00125B48"/>
    <w:rsid w:val="0012630F"/>
    <w:rsid w:val="00126393"/>
    <w:rsid w:val="00126BBC"/>
    <w:rsid w:val="0012718D"/>
    <w:rsid w:val="0012742D"/>
    <w:rsid w:val="00127FE1"/>
    <w:rsid w:val="001302E8"/>
    <w:rsid w:val="00130755"/>
    <w:rsid w:val="001310CA"/>
    <w:rsid w:val="00131E61"/>
    <w:rsid w:val="00132A98"/>
    <w:rsid w:val="00132D2E"/>
    <w:rsid w:val="00133E3C"/>
    <w:rsid w:val="00134182"/>
    <w:rsid w:val="001343B2"/>
    <w:rsid w:val="001354DC"/>
    <w:rsid w:val="00135C4F"/>
    <w:rsid w:val="00137B97"/>
    <w:rsid w:val="00137D0A"/>
    <w:rsid w:val="00140B9E"/>
    <w:rsid w:val="00142EA5"/>
    <w:rsid w:val="00144530"/>
    <w:rsid w:val="00145CAE"/>
    <w:rsid w:val="0014697D"/>
    <w:rsid w:val="00146E93"/>
    <w:rsid w:val="00150A57"/>
    <w:rsid w:val="00150C6B"/>
    <w:rsid w:val="00151167"/>
    <w:rsid w:val="001524A0"/>
    <w:rsid w:val="00153838"/>
    <w:rsid w:val="001557BD"/>
    <w:rsid w:val="00157063"/>
    <w:rsid w:val="0016135B"/>
    <w:rsid w:val="00161911"/>
    <w:rsid w:val="00161CAF"/>
    <w:rsid w:val="00162201"/>
    <w:rsid w:val="00162374"/>
    <w:rsid w:val="00164F36"/>
    <w:rsid w:val="00165DF4"/>
    <w:rsid w:val="001675CA"/>
    <w:rsid w:val="00167E1A"/>
    <w:rsid w:val="00167E8A"/>
    <w:rsid w:val="00170215"/>
    <w:rsid w:val="00170346"/>
    <w:rsid w:val="0017083A"/>
    <w:rsid w:val="00170D70"/>
    <w:rsid w:val="001712ED"/>
    <w:rsid w:val="00171DAD"/>
    <w:rsid w:val="0017220B"/>
    <w:rsid w:val="00172678"/>
    <w:rsid w:val="001728A8"/>
    <w:rsid w:val="00172D70"/>
    <w:rsid w:val="00173FA8"/>
    <w:rsid w:val="00174C7E"/>
    <w:rsid w:val="00174CDD"/>
    <w:rsid w:val="001756DB"/>
    <w:rsid w:val="00175858"/>
    <w:rsid w:val="00176510"/>
    <w:rsid w:val="00176641"/>
    <w:rsid w:val="001801F3"/>
    <w:rsid w:val="00180ABF"/>
    <w:rsid w:val="00180DE9"/>
    <w:rsid w:val="0018128A"/>
    <w:rsid w:val="001813B1"/>
    <w:rsid w:val="001813C6"/>
    <w:rsid w:val="00181B07"/>
    <w:rsid w:val="00182FDB"/>
    <w:rsid w:val="001833E6"/>
    <w:rsid w:val="00183660"/>
    <w:rsid w:val="00184234"/>
    <w:rsid w:val="00184445"/>
    <w:rsid w:val="00185A64"/>
    <w:rsid w:val="00185C90"/>
    <w:rsid w:val="0018790B"/>
    <w:rsid w:val="0019005B"/>
    <w:rsid w:val="00190C78"/>
    <w:rsid w:val="00190E57"/>
    <w:rsid w:val="001926A0"/>
    <w:rsid w:val="001938C0"/>
    <w:rsid w:val="00193D0D"/>
    <w:rsid w:val="00195869"/>
    <w:rsid w:val="001A037C"/>
    <w:rsid w:val="001A0A07"/>
    <w:rsid w:val="001A10D7"/>
    <w:rsid w:val="001A4DBC"/>
    <w:rsid w:val="001A4E93"/>
    <w:rsid w:val="001A54E8"/>
    <w:rsid w:val="001A5CF8"/>
    <w:rsid w:val="001A5F96"/>
    <w:rsid w:val="001A6E32"/>
    <w:rsid w:val="001A6F5C"/>
    <w:rsid w:val="001A7B43"/>
    <w:rsid w:val="001B04C7"/>
    <w:rsid w:val="001B0651"/>
    <w:rsid w:val="001B07C3"/>
    <w:rsid w:val="001B0845"/>
    <w:rsid w:val="001B1A5E"/>
    <w:rsid w:val="001B20EC"/>
    <w:rsid w:val="001B3758"/>
    <w:rsid w:val="001B700D"/>
    <w:rsid w:val="001B7113"/>
    <w:rsid w:val="001B73ED"/>
    <w:rsid w:val="001B7B22"/>
    <w:rsid w:val="001B7B53"/>
    <w:rsid w:val="001C020C"/>
    <w:rsid w:val="001C03A1"/>
    <w:rsid w:val="001C0F22"/>
    <w:rsid w:val="001C11AD"/>
    <w:rsid w:val="001C42FC"/>
    <w:rsid w:val="001C43EF"/>
    <w:rsid w:val="001C47B1"/>
    <w:rsid w:val="001C5577"/>
    <w:rsid w:val="001C56B7"/>
    <w:rsid w:val="001C5972"/>
    <w:rsid w:val="001C5D30"/>
    <w:rsid w:val="001C5E91"/>
    <w:rsid w:val="001C6615"/>
    <w:rsid w:val="001C67EA"/>
    <w:rsid w:val="001C680D"/>
    <w:rsid w:val="001C68F2"/>
    <w:rsid w:val="001C7FFD"/>
    <w:rsid w:val="001D0620"/>
    <w:rsid w:val="001D0B84"/>
    <w:rsid w:val="001D169E"/>
    <w:rsid w:val="001D177A"/>
    <w:rsid w:val="001D185C"/>
    <w:rsid w:val="001D18AE"/>
    <w:rsid w:val="001D2667"/>
    <w:rsid w:val="001D2A97"/>
    <w:rsid w:val="001D2EB4"/>
    <w:rsid w:val="001D46F0"/>
    <w:rsid w:val="001D526A"/>
    <w:rsid w:val="001D5620"/>
    <w:rsid w:val="001D6B82"/>
    <w:rsid w:val="001E06A8"/>
    <w:rsid w:val="001E0797"/>
    <w:rsid w:val="001E0EAB"/>
    <w:rsid w:val="001E10B9"/>
    <w:rsid w:val="001E25C2"/>
    <w:rsid w:val="001E2DF5"/>
    <w:rsid w:val="001E348F"/>
    <w:rsid w:val="001E3FE1"/>
    <w:rsid w:val="001E4F36"/>
    <w:rsid w:val="001E56B5"/>
    <w:rsid w:val="001E5D71"/>
    <w:rsid w:val="001E5EC1"/>
    <w:rsid w:val="001E5EC8"/>
    <w:rsid w:val="001E68FE"/>
    <w:rsid w:val="001E7B08"/>
    <w:rsid w:val="001E7D4D"/>
    <w:rsid w:val="001E7E90"/>
    <w:rsid w:val="001F05BE"/>
    <w:rsid w:val="001F0E47"/>
    <w:rsid w:val="001F1A59"/>
    <w:rsid w:val="001F2676"/>
    <w:rsid w:val="001F3715"/>
    <w:rsid w:val="001F3B34"/>
    <w:rsid w:val="001F44A6"/>
    <w:rsid w:val="001F4C07"/>
    <w:rsid w:val="001F68D0"/>
    <w:rsid w:val="001F78BB"/>
    <w:rsid w:val="0020050A"/>
    <w:rsid w:val="00200A8E"/>
    <w:rsid w:val="00200B6C"/>
    <w:rsid w:val="00202EF5"/>
    <w:rsid w:val="00203865"/>
    <w:rsid w:val="00203BB2"/>
    <w:rsid w:val="00206EA8"/>
    <w:rsid w:val="002074D4"/>
    <w:rsid w:val="00207541"/>
    <w:rsid w:val="00207805"/>
    <w:rsid w:val="00210479"/>
    <w:rsid w:val="0021053A"/>
    <w:rsid w:val="00210CFE"/>
    <w:rsid w:val="002125BD"/>
    <w:rsid w:val="002132C8"/>
    <w:rsid w:val="00215C87"/>
    <w:rsid w:val="002166CA"/>
    <w:rsid w:val="00216875"/>
    <w:rsid w:val="002168B7"/>
    <w:rsid w:val="00221898"/>
    <w:rsid w:val="00221BF5"/>
    <w:rsid w:val="00221F19"/>
    <w:rsid w:val="00222A28"/>
    <w:rsid w:val="00222DA4"/>
    <w:rsid w:val="00223372"/>
    <w:rsid w:val="002246F8"/>
    <w:rsid w:val="002260FA"/>
    <w:rsid w:val="002268E2"/>
    <w:rsid w:val="00226BB6"/>
    <w:rsid w:val="00226F6D"/>
    <w:rsid w:val="002278A3"/>
    <w:rsid w:val="002278F3"/>
    <w:rsid w:val="00227B3B"/>
    <w:rsid w:val="00230093"/>
    <w:rsid w:val="00230D39"/>
    <w:rsid w:val="0023165A"/>
    <w:rsid w:val="00231737"/>
    <w:rsid w:val="00231E34"/>
    <w:rsid w:val="00233536"/>
    <w:rsid w:val="00233AB9"/>
    <w:rsid w:val="00233FAF"/>
    <w:rsid w:val="00234723"/>
    <w:rsid w:val="00234FC0"/>
    <w:rsid w:val="002353C1"/>
    <w:rsid w:val="002361F2"/>
    <w:rsid w:val="002362E7"/>
    <w:rsid w:val="00236565"/>
    <w:rsid w:val="00237915"/>
    <w:rsid w:val="00240389"/>
    <w:rsid w:val="002405AB"/>
    <w:rsid w:val="002439F4"/>
    <w:rsid w:val="0024458A"/>
    <w:rsid w:val="00244E90"/>
    <w:rsid w:val="0024599F"/>
    <w:rsid w:val="00245BAA"/>
    <w:rsid w:val="00247810"/>
    <w:rsid w:val="00250012"/>
    <w:rsid w:val="00250A16"/>
    <w:rsid w:val="00253CA9"/>
    <w:rsid w:val="00255B07"/>
    <w:rsid w:val="002567B3"/>
    <w:rsid w:val="00257289"/>
    <w:rsid w:val="00257E62"/>
    <w:rsid w:val="002606FB"/>
    <w:rsid w:val="00261299"/>
    <w:rsid w:val="002617D7"/>
    <w:rsid w:val="00262A00"/>
    <w:rsid w:val="00263741"/>
    <w:rsid w:val="00263FD6"/>
    <w:rsid w:val="002648FA"/>
    <w:rsid w:val="00264DB7"/>
    <w:rsid w:val="00265129"/>
    <w:rsid w:val="00266915"/>
    <w:rsid w:val="00266933"/>
    <w:rsid w:val="00266A8D"/>
    <w:rsid w:val="00267511"/>
    <w:rsid w:val="00267803"/>
    <w:rsid w:val="0027034E"/>
    <w:rsid w:val="00270A23"/>
    <w:rsid w:val="00270BCD"/>
    <w:rsid w:val="00270ED2"/>
    <w:rsid w:val="0027139F"/>
    <w:rsid w:val="0027145B"/>
    <w:rsid w:val="00272EF5"/>
    <w:rsid w:val="00273A00"/>
    <w:rsid w:val="00275DC8"/>
    <w:rsid w:val="002776E4"/>
    <w:rsid w:val="0028147E"/>
    <w:rsid w:val="00282FE0"/>
    <w:rsid w:val="0028316F"/>
    <w:rsid w:val="00283377"/>
    <w:rsid w:val="0028470D"/>
    <w:rsid w:val="0028539A"/>
    <w:rsid w:val="0028609D"/>
    <w:rsid w:val="002863E8"/>
    <w:rsid w:val="00286798"/>
    <w:rsid w:val="00286D40"/>
    <w:rsid w:val="00290483"/>
    <w:rsid w:val="002907BF"/>
    <w:rsid w:val="00291576"/>
    <w:rsid w:val="00291DA0"/>
    <w:rsid w:val="0029309D"/>
    <w:rsid w:val="00294564"/>
    <w:rsid w:val="00294899"/>
    <w:rsid w:val="002951A5"/>
    <w:rsid w:val="002952A7"/>
    <w:rsid w:val="0029591C"/>
    <w:rsid w:val="00295D75"/>
    <w:rsid w:val="00295F98"/>
    <w:rsid w:val="0029689E"/>
    <w:rsid w:val="002968A3"/>
    <w:rsid w:val="002A0799"/>
    <w:rsid w:val="002A2DE4"/>
    <w:rsid w:val="002A30D4"/>
    <w:rsid w:val="002A35D1"/>
    <w:rsid w:val="002A384C"/>
    <w:rsid w:val="002A3876"/>
    <w:rsid w:val="002A50CF"/>
    <w:rsid w:val="002A50D2"/>
    <w:rsid w:val="002A5FD4"/>
    <w:rsid w:val="002A5FD6"/>
    <w:rsid w:val="002A6E94"/>
    <w:rsid w:val="002A74AC"/>
    <w:rsid w:val="002B058F"/>
    <w:rsid w:val="002B3584"/>
    <w:rsid w:val="002B3A42"/>
    <w:rsid w:val="002B4D6B"/>
    <w:rsid w:val="002B6B9A"/>
    <w:rsid w:val="002B72AB"/>
    <w:rsid w:val="002B754A"/>
    <w:rsid w:val="002B7B4A"/>
    <w:rsid w:val="002C02F4"/>
    <w:rsid w:val="002C14CD"/>
    <w:rsid w:val="002C159F"/>
    <w:rsid w:val="002C1B13"/>
    <w:rsid w:val="002C22F0"/>
    <w:rsid w:val="002C23DB"/>
    <w:rsid w:val="002C3FDB"/>
    <w:rsid w:val="002C4E88"/>
    <w:rsid w:val="002C5588"/>
    <w:rsid w:val="002C5CDB"/>
    <w:rsid w:val="002C60F5"/>
    <w:rsid w:val="002C6459"/>
    <w:rsid w:val="002D09B7"/>
    <w:rsid w:val="002D0C5B"/>
    <w:rsid w:val="002D143E"/>
    <w:rsid w:val="002D1A1F"/>
    <w:rsid w:val="002D3151"/>
    <w:rsid w:val="002D3873"/>
    <w:rsid w:val="002D45CD"/>
    <w:rsid w:val="002D4899"/>
    <w:rsid w:val="002D5B94"/>
    <w:rsid w:val="002D607B"/>
    <w:rsid w:val="002D60F6"/>
    <w:rsid w:val="002D617F"/>
    <w:rsid w:val="002D6C18"/>
    <w:rsid w:val="002D6F52"/>
    <w:rsid w:val="002D7612"/>
    <w:rsid w:val="002E0E19"/>
    <w:rsid w:val="002E1350"/>
    <w:rsid w:val="002E1455"/>
    <w:rsid w:val="002E1776"/>
    <w:rsid w:val="002E178D"/>
    <w:rsid w:val="002E1FE1"/>
    <w:rsid w:val="002E2724"/>
    <w:rsid w:val="002E3276"/>
    <w:rsid w:val="002E3758"/>
    <w:rsid w:val="002E4BA4"/>
    <w:rsid w:val="002E5246"/>
    <w:rsid w:val="002E71A7"/>
    <w:rsid w:val="002E7478"/>
    <w:rsid w:val="002E77C2"/>
    <w:rsid w:val="002F0F57"/>
    <w:rsid w:val="002F0F7D"/>
    <w:rsid w:val="002F25CC"/>
    <w:rsid w:val="002F26E9"/>
    <w:rsid w:val="002F2FA3"/>
    <w:rsid w:val="002F4E0C"/>
    <w:rsid w:val="002F51E2"/>
    <w:rsid w:val="002F5766"/>
    <w:rsid w:val="002F57B6"/>
    <w:rsid w:val="002F594E"/>
    <w:rsid w:val="002F5ED8"/>
    <w:rsid w:val="002F70CB"/>
    <w:rsid w:val="00301864"/>
    <w:rsid w:val="00301999"/>
    <w:rsid w:val="003027B3"/>
    <w:rsid w:val="003043B7"/>
    <w:rsid w:val="0030557B"/>
    <w:rsid w:val="00305CA6"/>
    <w:rsid w:val="00305E33"/>
    <w:rsid w:val="00306432"/>
    <w:rsid w:val="00306B35"/>
    <w:rsid w:val="00310DDD"/>
    <w:rsid w:val="00310E51"/>
    <w:rsid w:val="0031206E"/>
    <w:rsid w:val="00312B90"/>
    <w:rsid w:val="0031319A"/>
    <w:rsid w:val="00314C3C"/>
    <w:rsid w:val="00314D79"/>
    <w:rsid w:val="00317163"/>
    <w:rsid w:val="00317C31"/>
    <w:rsid w:val="00317D25"/>
    <w:rsid w:val="003204C7"/>
    <w:rsid w:val="00320703"/>
    <w:rsid w:val="00321853"/>
    <w:rsid w:val="00321AF2"/>
    <w:rsid w:val="00323BC6"/>
    <w:rsid w:val="00325019"/>
    <w:rsid w:val="00326C5E"/>
    <w:rsid w:val="00326CBB"/>
    <w:rsid w:val="00326D33"/>
    <w:rsid w:val="0032761B"/>
    <w:rsid w:val="00327C07"/>
    <w:rsid w:val="003304B4"/>
    <w:rsid w:val="003314E4"/>
    <w:rsid w:val="00331C4E"/>
    <w:rsid w:val="00331EA9"/>
    <w:rsid w:val="00332666"/>
    <w:rsid w:val="003332C6"/>
    <w:rsid w:val="0033369F"/>
    <w:rsid w:val="00334BFE"/>
    <w:rsid w:val="00335EED"/>
    <w:rsid w:val="003364D3"/>
    <w:rsid w:val="003374E4"/>
    <w:rsid w:val="00337672"/>
    <w:rsid w:val="0034016B"/>
    <w:rsid w:val="00340478"/>
    <w:rsid w:val="00342B49"/>
    <w:rsid w:val="00342D26"/>
    <w:rsid w:val="00344754"/>
    <w:rsid w:val="00345AB0"/>
    <w:rsid w:val="0034661B"/>
    <w:rsid w:val="00347040"/>
    <w:rsid w:val="003473B2"/>
    <w:rsid w:val="00347AA2"/>
    <w:rsid w:val="0035048D"/>
    <w:rsid w:val="00350DCE"/>
    <w:rsid w:val="00351A54"/>
    <w:rsid w:val="00353B52"/>
    <w:rsid w:val="003540CE"/>
    <w:rsid w:val="003549DB"/>
    <w:rsid w:val="00354A8F"/>
    <w:rsid w:val="0035553B"/>
    <w:rsid w:val="0035757F"/>
    <w:rsid w:val="00357CFB"/>
    <w:rsid w:val="0036096F"/>
    <w:rsid w:val="00363183"/>
    <w:rsid w:val="00363608"/>
    <w:rsid w:val="0036367C"/>
    <w:rsid w:val="003654BE"/>
    <w:rsid w:val="003654CF"/>
    <w:rsid w:val="00365A0F"/>
    <w:rsid w:val="00366089"/>
    <w:rsid w:val="0037143B"/>
    <w:rsid w:val="00372032"/>
    <w:rsid w:val="00372201"/>
    <w:rsid w:val="00373BD3"/>
    <w:rsid w:val="00374436"/>
    <w:rsid w:val="00374E1F"/>
    <w:rsid w:val="003759C2"/>
    <w:rsid w:val="00376C3F"/>
    <w:rsid w:val="0038087B"/>
    <w:rsid w:val="003810C7"/>
    <w:rsid w:val="00381568"/>
    <w:rsid w:val="003816E9"/>
    <w:rsid w:val="00381B2F"/>
    <w:rsid w:val="0038253F"/>
    <w:rsid w:val="00383359"/>
    <w:rsid w:val="00383758"/>
    <w:rsid w:val="003845F9"/>
    <w:rsid w:val="00384865"/>
    <w:rsid w:val="00385522"/>
    <w:rsid w:val="00385E2E"/>
    <w:rsid w:val="003867F2"/>
    <w:rsid w:val="00387A40"/>
    <w:rsid w:val="00387CA1"/>
    <w:rsid w:val="00387E27"/>
    <w:rsid w:val="00387E57"/>
    <w:rsid w:val="00390B4D"/>
    <w:rsid w:val="00390E5D"/>
    <w:rsid w:val="003913E5"/>
    <w:rsid w:val="003923AD"/>
    <w:rsid w:val="0039321A"/>
    <w:rsid w:val="0039352B"/>
    <w:rsid w:val="0039435C"/>
    <w:rsid w:val="00394AE1"/>
    <w:rsid w:val="00394CBD"/>
    <w:rsid w:val="003957C3"/>
    <w:rsid w:val="00395A4F"/>
    <w:rsid w:val="00396219"/>
    <w:rsid w:val="0039665F"/>
    <w:rsid w:val="00397372"/>
    <w:rsid w:val="003977E9"/>
    <w:rsid w:val="00397D08"/>
    <w:rsid w:val="00397F7E"/>
    <w:rsid w:val="003A0814"/>
    <w:rsid w:val="003A0BB5"/>
    <w:rsid w:val="003A1354"/>
    <w:rsid w:val="003A23BF"/>
    <w:rsid w:val="003A2FDE"/>
    <w:rsid w:val="003A347A"/>
    <w:rsid w:val="003A402F"/>
    <w:rsid w:val="003A5BA6"/>
    <w:rsid w:val="003A64F3"/>
    <w:rsid w:val="003A6E3B"/>
    <w:rsid w:val="003A70F0"/>
    <w:rsid w:val="003A73F0"/>
    <w:rsid w:val="003A74CE"/>
    <w:rsid w:val="003A7637"/>
    <w:rsid w:val="003A7705"/>
    <w:rsid w:val="003A7EC8"/>
    <w:rsid w:val="003B0582"/>
    <w:rsid w:val="003B0C7F"/>
    <w:rsid w:val="003B0CAD"/>
    <w:rsid w:val="003B0D17"/>
    <w:rsid w:val="003B0EAC"/>
    <w:rsid w:val="003B0FBE"/>
    <w:rsid w:val="003B41A8"/>
    <w:rsid w:val="003B62FB"/>
    <w:rsid w:val="003B6790"/>
    <w:rsid w:val="003B715D"/>
    <w:rsid w:val="003C038F"/>
    <w:rsid w:val="003C043E"/>
    <w:rsid w:val="003C172B"/>
    <w:rsid w:val="003C1A2D"/>
    <w:rsid w:val="003C24B5"/>
    <w:rsid w:val="003C3406"/>
    <w:rsid w:val="003C4732"/>
    <w:rsid w:val="003C5576"/>
    <w:rsid w:val="003C7788"/>
    <w:rsid w:val="003C7947"/>
    <w:rsid w:val="003D0093"/>
    <w:rsid w:val="003D03AC"/>
    <w:rsid w:val="003D1712"/>
    <w:rsid w:val="003D2CA8"/>
    <w:rsid w:val="003D2D27"/>
    <w:rsid w:val="003D5322"/>
    <w:rsid w:val="003D5609"/>
    <w:rsid w:val="003D563F"/>
    <w:rsid w:val="003D5909"/>
    <w:rsid w:val="003D5F09"/>
    <w:rsid w:val="003D6A2F"/>
    <w:rsid w:val="003D75D1"/>
    <w:rsid w:val="003E100D"/>
    <w:rsid w:val="003E3179"/>
    <w:rsid w:val="003E3714"/>
    <w:rsid w:val="003E4D4D"/>
    <w:rsid w:val="003E5AC5"/>
    <w:rsid w:val="003E5CF4"/>
    <w:rsid w:val="003E7070"/>
    <w:rsid w:val="003E75B2"/>
    <w:rsid w:val="003E7DDC"/>
    <w:rsid w:val="003F0571"/>
    <w:rsid w:val="003F0BC9"/>
    <w:rsid w:val="003F0BF2"/>
    <w:rsid w:val="003F1E70"/>
    <w:rsid w:val="003F224A"/>
    <w:rsid w:val="003F22CB"/>
    <w:rsid w:val="003F2810"/>
    <w:rsid w:val="003F36A1"/>
    <w:rsid w:val="003F41CA"/>
    <w:rsid w:val="003F42EE"/>
    <w:rsid w:val="003F4696"/>
    <w:rsid w:val="003F6630"/>
    <w:rsid w:val="004010A8"/>
    <w:rsid w:val="00402413"/>
    <w:rsid w:val="0040390A"/>
    <w:rsid w:val="0040422E"/>
    <w:rsid w:val="004048D2"/>
    <w:rsid w:val="0040570F"/>
    <w:rsid w:val="00405ECD"/>
    <w:rsid w:val="004060A3"/>
    <w:rsid w:val="00406207"/>
    <w:rsid w:val="004105C9"/>
    <w:rsid w:val="0041071F"/>
    <w:rsid w:val="00410968"/>
    <w:rsid w:val="0041098B"/>
    <w:rsid w:val="004109BB"/>
    <w:rsid w:val="004111D9"/>
    <w:rsid w:val="00411951"/>
    <w:rsid w:val="00412BBF"/>
    <w:rsid w:val="0041408A"/>
    <w:rsid w:val="00414849"/>
    <w:rsid w:val="004157AE"/>
    <w:rsid w:val="0042057D"/>
    <w:rsid w:val="00420E04"/>
    <w:rsid w:val="00423069"/>
    <w:rsid w:val="004265F2"/>
    <w:rsid w:val="00426D55"/>
    <w:rsid w:val="00427077"/>
    <w:rsid w:val="00430405"/>
    <w:rsid w:val="00431345"/>
    <w:rsid w:val="00431DE4"/>
    <w:rsid w:val="00432074"/>
    <w:rsid w:val="00433424"/>
    <w:rsid w:val="00433E1B"/>
    <w:rsid w:val="004341BB"/>
    <w:rsid w:val="004341D5"/>
    <w:rsid w:val="00435026"/>
    <w:rsid w:val="0043625D"/>
    <w:rsid w:val="00437A36"/>
    <w:rsid w:val="00440353"/>
    <w:rsid w:val="00440CDC"/>
    <w:rsid w:val="00441F75"/>
    <w:rsid w:val="00442777"/>
    <w:rsid w:val="00442F1D"/>
    <w:rsid w:val="004434E3"/>
    <w:rsid w:val="004435B0"/>
    <w:rsid w:val="00444BEA"/>
    <w:rsid w:val="00444C49"/>
    <w:rsid w:val="00444E40"/>
    <w:rsid w:val="004471A8"/>
    <w:rsid w:val="00450061"/>
    <w:rsid w:val="00450232"/>
    <w:rsid w:val="00451280"/>
    <w:rsid w:val="004527F3"/>
    <w:rsid w:val="00453230"/>
    <w:rsid w:val="0045523D"/>
    <w:rsid w:val="00455503"/>
    <w:rsid w:val="00455D7A"/>
    <w:rsid w:val="00455E50"/>
    <w:rsid w:val="00455EAD"/>
    <w:rsid w:val="004621F2"/>
    <w:rsid w:val="0046261B"/>
    <w:rsid w:val="0046276A"/>
    <w:rsid w:val="00463EEA"/>
    <w:rsid w:val="00463F25"/>
    <w:rsid w:val="004648A5"/>
    <w:rsid w:val="00465046"/>
    <w:rsid w:val="00465AD9"/>
    <w:rsid w:val="0046616C"/>
    <w:rsid w:val="00466D9F"/>
    <w:rsid w:val="00466EE9"/>
    <w:rsid w:val="004678D2"/>
    <w:rsid w:val="00467B63"/>
    <w:rsid w:val="00467E9C"/>
    <w:rsid w:val="00470BF3"/>
    <w:rsid w:val="00471226"/>
    <w:rsid w:val="0047164C"/>
    <w:rsid w:val="00471C8C"/>
    <w:rsid w:val="00472777"/>
    <w:rsid w:val="00473189"/>
    <w:rsid w:val="0047482C"/>
    <w:rsid w:val="00475088"/>
    <w:rsid w:val="004800AE"/>
    <w:rsid w:val="0048101E"/>
    <w:rsid w:val="004832D5"/>
    <w:rsid w:val="00483ACF"/>
    <w:rsid w:val="004845DF"/>
    <w:rsid w:val="004850DC"/>
    <w:rsid w:val="00486D6F"/>
    <w:rsid w:val="004870CD"/>
    <w:rsid w:val="00487DEF"/>
    <w:rsid w:val="0049071F"/>
    <w:rsid w:val="0049087E"/>
    <w:rsid w:val="00491F60"/>
    <w:rsid w:val="00494C72"/>
    <w:rsid w:val="0049764F"/>
    <w:rsid w:val="00497C87"/>
    <w:rsid w:val="004A08B5"/>
    <w:rsid w:val="004A1018"/>
    <w:rsid w:val="004A1E0C"/>
    <w:rsid w:val="004A3DA5"/>
    <w:rsid w:val="004A4667"/>
    <w:rsid w:val="004A6D7C"/>
    <w:rsid w:val="004A6EB9"/>
    <w:rsid w:val="004A703C"/>
    <w:rsid w:val="004A76AB"/>
    <w:rsid w:val="004B16CD"/>
    <w:rsid w:val="004B25F1"/>
    <w:rsid w:val="004B3866"/>
    <w:rsid w:val="004B42BC"/>
    <w:rsid w:val="004B6926"/>
    <w:rsid w:val="004B6FBB"/>
    <w:rsid w:val="004C01FB"/>
    <w:rsid w:val="004C0BD8"/>
    <w:rsid w:val="004C132C"/>
    <w:rsid w:val="004C15AF"/>
    <w:rsid w:val="004C2805"/>
    <w:rsid w:val="004C6BE6"/>
    <w:rsid w:val="004C6DA9"/>
    <w:rsid w:val="004C79C5"/>
    <w:rsid w:val="004C7B02"/>
    <w:rsid w:val="004C7B07"/>
    <w:rsid w:val="004D0BCE"/>
    <w:rsid w:val="004D1328"/>
    <w:rsid w:val="004D20A3"/>
    <w:rsid w:val="004D2321"/>
    <w:rsid w:val="004D2488"/>
    <w:rsid w:val="004D2F9B"/>
    <w:rsid w:val="004D30A5"/>
    <w:rsid w:val="004D3650"/>
    <w:rsid w:val="004D5B93"/>
    <w:rsid w:val="004D5D52"/>
    <w:rsid w:val="004D6572"/>
    <w:rsid w:val="004D657D"/>
    <w:rsid w:val="004D664F"/>
    <w:rsid w:val="004D6DD8"/>
    <w:rsid w:val="004D750D"/>
    <w:rsid w:val="004E0044"/>
    <w:rsid w:val="004E089B"/>
    <w:rsid w:val="004E116E"/>
    <w:rsid w:val="004E1A23"/>
    <w:rsid w:val="004E2E42"/>
    <w:rsid w:val="004E3495"/>
    <w:rsid w:val="004E35AD"/>
    <w:rsid w:val="004E3F79"/>
    <w:rsid w:val="004E5117"/>
    <w:rsid w:val="004E5337"/>
    <w:rsid w:val="004E5C62"/>
    <w:rsid w:val="004E6B74"/>
    <w:rsid w:val="004E7B62"/>
    <w:rsid w:val="004F0E9D"/>
    <w:rsid w:val="004F4260"/>
    <w:rsid w:val="004F4A8E"/>
    <w:rsid w:val="004F659F"/>
    <w:rsid w:val="004F7653"/>
    <w:rsid w:val="004F78A8"/>
    <w:rsid w:val="004F7BD0"/>
    <w:rsid w:val="004F7E10"/>
    <w:rsid w:val="005012F3"/>
    <w:rsid w:val="0050167E"/>
    <w:rsid w:val="00501840"/>
    <w:rsid w:val="00501F14"/>
    <w:rsid w:val="00502177"/>
    <w:rsid w:val="00502257"/>
    <w:rsid w:val="00502588"/>
    <w:rsid w:val="00504422"/>
    <w:rsid w:val="00506490"/>
    <w:rsid w:val="005074ED"/>
    <w:rsid w:val="00510792"/>
    <w:rsid w:val="00510D8D"/>
    <w:rsid w:val="00510DDB"/>
    <w:rsid w:val="00510E00"/>
    <w:rsid w:val="0051217B"/>
    <w:rsid w:val="00512F58"/>
    <w:rsid w:val="005131E7"/>
    <w:rsid w:val="005133A3"/>
    <w:rsid w:val="00513533"/>
    <w:rsid w:val="005139D2"/>
    <w:rsid w:val="00513C0C"/>
    <w:rsid w:val="00513D25"/>
    <w:rsid w:val="0051420D"/>
    <w:rsid w:val="00515183"/>
    <w:rsid w:val="0051586D"/>
    <w:rsid w:val="005167E3"/>
    <w:rsid w:val="005174E3"/>
    <w:rsid w:val="00520560"/>
    <w:rsid w:val="00521125"/>
    <w:rsid w:val="00521CA1"/>
    <w:rsid w:val="00522416"/>
    <w:rsid w:val="0052505D"/>
    <w:rsid w:val="005255F1"/>
    <w:rsid w:val="005260DA"/>
    <w:rsid w:val="0052662D"/>
    <w:rsid w:val="005266D3"/>
    <w:rsid w:val="00526852"/>
    <w:rsid w:val="0052697D"/>
    <w:rsid w:val="00526AD4"/>
    <w:rsid w:val="0053027F"/>
    <w:rsid w:val="00530321"/>
    <w:rsid w:val="005308F7"/>
    <w:rsid w:val="00530D1D"/>
    <w:rsid w:val="005311E4"/>
    <w:rsid w:val="00531BB2"/>
    <w:rsid w:val="005332DD"/>
    <w:rsid w:val="00533B0A"/>
    <w:rsid w:val="00533B5A"/>
    <w:rsid w:val="00534886"/>
    <w:rsid w:val="00535841"/>
    <w:rsid w:val="00535DEC"/>
    <w:rsid w:val="005362BA"/>
    <w:rsid w:val="00536A05"/>
    <w:rsid w:val="00536FD0"/>
    <w:rsid w:val="00537E7E"/>
    <w:rsid w:val="00540675"/>
    <w:rsid w:val="00540BB5"/>
    <w:rsid w:val="005428E7"/>
    <w:rsid w:val="00542ACD"/>
    <w:rsid w:val="00542B1A"/>
    <w:rsid w:val="00543585"/>
    <w:rsid w:val="00544625"/>
    <w:rsid w:val="00544E4D"/>
    <w:rsid w:val="00545A09"/>
    <w:rsid w:val="00545AD4"/>
    <w:rsid w:val="00545DFD"/>
    <w:rsid w:val="00546B2F"/>
    <w:rsid w:val="00546EEB"/>
    <w:rsid w:val="005473B9"/>
    <w:rsid w:val="0054761E"/>
    <w:rsid w:val="005479AB"/>
    <w:rsid w:val="00550489"/>
    <w:rsid w:val="0055093B"/>
    <w:rsid w:val="005510C1"/>
    <w:rsid w:val="005519C9"/>
    <w:rsid w:val="00551AD4"/>
    <w:rsid w:val="0055209E"/>
    <w:rsid w:val="005533BD"/>
    <w:rsid w:val="005548D6"/>
    <w:rsid w:val="0055498B"/>
    <w:rsid w:val="00556037"/>
    <w:rsid w:val="0055711D"/>
    <w:rsid w:val="00557801"/>
    <w:rsid w:val="00557C40"/>
    <w:rsid w:val="0056102C"/>
    <w:rsid w:val="00561463"/>
    <w:rsid w:val="0056194B"/>
    <w:rsid w:val="00561E2B"/>
    <w:rsid w:val="00562228"/>
    <w:rsid w:val="0056245A"/>
    <w:rsid w:val="00563BAF"/>
    <w:rsid w:val="005645AA"/>
    <w:rsid w:val="0056476A"/>
    <w:rsid w:val="00564B68"/>
    <w:rsid w:val="00564D02"/>
    <w:rsid w:val="00564F1B"/>
    <w:rsid w:val="00565CCC"/>
    <w:rsid w:val="00565FB1"/>
    <w:rsid w:val="00567D9E"/>
    <w:rsid w:val="00567EB4"/>
    <w:rsid w:val="00570610"/>
    <w:rsid w:val="005716F7"/>
    <w:rsid w:val="0057222E"/>
    <w:rsid w:val="00572242"/>
    <w:rsid w:val="0057304A"/>
    <w:rsid w:val="005733FC"/>
    <w:rsid w:val="005744B6"/>
    <w:rsid w:val="00574EDE"/>
    <w:rsid w:val="00580374"/>
    <w:rsid w:val="005805F2"/>
    <w:rsid w:val="0058125B"/>
    <w:rsid w:val="00582D46"/>
    <w:rsid w:val="005836B4"/>
    <w:rsid w:val="00583894"/>
    <w:rsid w:val="00584FB3"/>
    <w:rsid w:val="00585E16"/>
    <w:rsid w:val="00586768"/>
    <w:rsid w:val="00586B60"/>
    <w:rsid w:val="00586E66"/>
    <w:rsid w:val="00586EC3"/>
    <w:rsid w:val="00587220"/>
    <w:rsid w:val="00587335"/>
    <w:rsid w:val="00590B48"/>
    <w:rsid w:val="00591DD6"/>
    <w:rsid w:val="00593123"/>
    <w:rsid w:val="0059428F"/>
    <w:rsid w:val="00595A5C"/>
    <w:rsid w:val="00596F89"/>
    <w:rsid w:val="00596F8C"/>
    <w:rsid w:val="005A0BC9"/>
    <w:rsid w:val="005A0E74"/>
    <w:rsid w:val="005A1251"/>
    <w:rsid w:val="005A1AD5"/>
    <w:rsid w:val="005A1D77"/>
    <w:rsid w:val="005A2690"/>
    <w:rsid w:val="005A3242"/>
    <w:rsid w:val="005A4087"/>
    <w:rsid w:val="005A4945"/>
    <w:rsid w:val="005A495B"/>
    <w:rsid w:val="005A561F"/>
    <w:rsid w:val="005A5714"/>
    <w:rsid w:val="005A5790"/>
    <w:rsid w:val="005A5BA6"/>
    <w:rsid w:val="005A5C58"/>
    <w:rsid w:val="005A6065"/>
    <w:rsid w:val="005A65F5"/>
    <w:rsid w:val="005A75D6"/>
    <w:rsid w:val="005A761E"/>
    <w:rsid w:val="005A7A06"/>
    <w:rsid w:val="005B0F93"/>
    <w:rsid w:val="005B2F44"/>
    <w:rsid w:val="005B30FB"/>
    <w:rsid w:val="005B51A8"/>
    <w:rsid w:val="005B60F0"/>
    <w:rsid w:val="005B65E8"/>
    <w:rsid w:val="005B669B"/>
    <w:rsid w:val="005B7DD0"/>
    <w:rsid w:val="005B7EDB"/>
    <w:rsid w:val="005C12E4"/>
    <w:rsid w:val="005C2236"/>
    <w:rsid w:val="005C32F4"/>
    <w:rsid w:val="005C4AA0"/>
    <w:rsid w:val="005C4C01"/>
    <w:rsid w:val="005C51F5"/>
    <w:rsid w:val="005C6513"/>
    <w:rsid w:val="005C6B60"/>
    <w:rsid w:val="005C6DBB"/>
    <w:rsid w:val="005C7336"/>
    <w:rsid w:val="005C7D43"/>
    <w:rsid w:val="005D150A"/>
    <w:rsid w:val="005D3357"/>
    <w:rsid w:val="005D34A6"/>
    <w:rsid w:val="005D37BA"/>
    <w:rsid w:val="005D3C7B"/>
    <w:rsid w:val="005D58A2"/>
    <w:rsid w:val="005D6C2F"/>
    <w:rsid w:val="005D793B"/>
    <w:rsid w:val="005D7A85"/>
    <w:rsid w:val="005E004D"/>
    <w:rsid w:val="005E1A48"/>
    <w:rsid w:val="005E3370"/>
    <w:rsid w:val="005E3720"/>
    <w:rsid w:val="005E3752"/>
    <w:rsid w:val="005E45D5"/>
    <w:rsid w:val="005E48BB"/>
    <w:rsid w:val="005E5A79"/>
    <w:rsid w:val="005E5BBB"/>
    <w:rsid w:val="005E7365"/>
    <w:rsid w:val="005F02BC"/>
    <w:rsid w:val="005F27FB"/>
    <w:rsid w:val="005F2959"/>
    <w:rsid w:val="005F38DB"/>
    <w:rsid w:val="005F38DE"/>
    <w:rsid w:val="005F41EC"/>
    <w:rsid w:val="005F4A83"/>
    <w:rsid w:val="005F4EA2"/>
    <w:rsid w:val="005F550B"/>
    <w:rsid w:val="005F621D"/>
    <w:rsid w:val="005F66AC"/>
    <w:rsid w:val="005F6AC8"/>
    <w:rsid w:val="005F6D46"/>
    <w:rsid w:val="005F72CE"/>
    <w:rsid w:val="005F7901"/>
    <w:rsid w:val="005F7BCA"/>
    <w:rsid w:val="005F7E63"/>
    <w:rsid w:val="00602450"/>
    <w:rsid w:val="00602581"/>
    <w:rsid w:val="00602B35"/>
    <w:rsid w:val="006031BF"/>
    <w:rsid w:val="006041A9"/>
    <w:rsid w:val="00604D61"/>
    <w:rsid w:val="00605739"/>
    <w:rsid w:val="00606838"/>
    <w:rsid w:val="00607A55"/>
    <w:rsid w:val="0061011C"/>
    <w:rsid w:val="006106DF"/>
    <w:rsid w:val="00610A8E"/>
    <w:rsid w:val="0061194F"/>
    <w:rsid w:val="00611A7F"/>
    <w:rsid w:val="00611F73"/>
    <w:rsid w:val="0061420A"/>
    <w:rsid w:val="00614346"/>
    <w:rsid w:val="006144E3"/>
    <w:rsid w:val="0061499E"/>
    <w:rsid w:val="00614A87"/>
    <w:rsid w:val="0061531C"/>
    <w:rsid w:val="006158FF"/>
    <w:rsid w:val="00616486"/>
    <w:rsid w:val="00616823"/>
    <w:rsid w:val="00617872"/>
    <w:rsid w:val="00617E40"/>
    <w:rsid w:val="006217B8"/>
    <w:rsid w:val="00621DA1"/>
    <w:rsid w:val="00622B3D"/>
    <w:rsid w:val="00622E2C"/>
    <w:rsid w:val="006233D9"/>
    <w:rsid w:val="00623D61"/>
    <w:rsid w:val="006240F2"/>
    <w:rsid w:val="00625CC7"/>
    <w:rsid w:val="00627BC8"/>
    <w:rsid w:val="00627CCB"/>
    <w:rsid w:val="006300C9"/>
    <w:rsid w:val="006304A4"/>
    <w:rsid w:val="00630669"/>
    <w:rsid w:val="00630B2C"/>
    <w:rsid w:val="00631122"/>
    <w:rsid w:val="00631496"/>
    <w:rsid w:val="00632549"/>
    <w:rsid w:val="006328F9"/>
    <w:rsid w:val="00634B4B"/>
    <w:rsid w:val="006350E8"/>
    <w:rsid w:val="00636E74"/>
    <w:rsid w:val="006370C3"/>
    <w:rsid w:val="006376D0"/>
    <w:rsid w:val="0064040B"/>
    <w:rsid w:val="00640939"/>
    <w:rsid w:val="00644254"/>
    <w:rsid w:val="00644686"/>
    <w:rsid w:val="006448DF"/>
    <w:rsid w:val="006451D0"/>
    <w:rsid w:val="00645514"/>
    <w:rsid w:val="006455FB"/>
    <w:rsid w:val="00645B64"/>
    <w:rsid w:val="006461F7"/>
    <w:rsid w:val="00646765"/>
    <w:rsid w:val="00650435"/>
    <w:rsid w:val="006507DF"/>
    <w:rsid w:val="00650F63"/>
    <w:rsid w:val="0065112A"/>
    <w:rsid w:val="006525FD"/>
    <w:rsid w:val="00653436"/>
    <w:rsid w:val="00653B1D"/>
    <w:rsid w:val="00653C5C"/>
    <w:rsid w:val="00654955"/>
    <w:rsid w:val="006549FC"/>
    <w:rsid w:val="00654B1D"/>
    <w:rsid w:val="006558C1"/>
    <w:rsid w:val="00655E9E"/>
    <w:rsid w:val="00655F8F"/>
    <w:rsid w:val="00656498"/>
    <w:rsid w:val="00656714"/>
    <w:rsid w:val="00656882"/>
    <w:rsid w:val="00656E72"/>
    <w:rsid w:val="00657006"/>
    <w:rsid w:val="00657152"/>
    <w:rsid w:val="0065788A"/>
    <w:rsid w:val="00657CC1"/>
    <w:rsid w:val="0066161E"/>
    <w:rsid w:val="00661DD8"/>
    <w:rsid w:val="0066227E"/>
    <w:rsid w:val="00662C26"/>
    <w:rsid w:val="0066436B"/>
    <w:rsid w:val="0066559C"/>
    <w:rsid w:val="00665D37"/>
    <w:rsid w:val="00666347"/>
    <w:rsid w:val="006666E6"/>
    <w:rsid w:val="00666F9D"/>
    <w:rsid w:val="00667B3E"/>
    <w:rsid w:val="006708E3"/>
    <w:rsid w:val="006719B0"/>
    <w:rsid w:val="00671CA3"/>
    <w:rsid w:val="00671D90"/>
    <w:rsid w:val="0067426B"/>
    <w:rsid w:val="006743CD"/>
    <w:rsid w:val="00674B23"/>
    <w:rsid w:val="00676580"/>
    <w:rsid w:val="0067734B"/>
    <w:rsid w:val="00677AC0"/>
    <w:rsid w:val="00677B9A"/>
    <w:rsid w:val="00680248"/>
    <w:rsid w:val="00680552"/>
    <w:rsid w:val="006811E2"/>
    <w:rsid w:val="006814B5"/>
    <w:rsid w:val="006817F6"/>
    <w:rsid w:val="00683337"/>
    <w:rsid w:val="00683677"/>
    <w:rsid w:val="00683F0A"/>
    <w:rsid w:val="006848D4"/>
    <w:rsid w:val="00686F0F"/>
    <w:rsid w:val="00687B2E"/>
    <w:rsid w:val="00690545"/>
    <w:rsid w:val="0069147C"/>
    <w:rsid w:val="0069203F"/>
    <w:rsid w:val="006934E2"/>
    <w:rsid w:val="00695E4C"/>
    <w:rsid w:val="00696AF1"/>
    <w:rsid w:val="0069707F"/>
    <w:rsid w:val="00697262"/>
    <w:rsid w:val="00697420"/>
    <w:rsid w:val="00697B62"/>
    <w:rsid w:val="006A210A"/>
    <w:rsid w:val="006A31BB"/>
    <w:rsid w:val="006A3299"/>
    <w:rsid w:val="006A397A"/>
    <w:rsid w:val="006A4135"/>
    <w:rsid w:val="006A5498"/>
    <w:rsid w:val="006A72DE"/>
    <w:rsid w:val="006A7878"/>
    <w:rsid w:val="006B1A4B"/>
    <w:rsid w:val="006B24B2"/>
    <w:rsid w:val="006B2FF6"/>
    <w:rsid w:val="006B5B6F"/>
    <w:rsid w:val="006B62EB"/>
    <w:rsid w:val="006B7BDA"/>
    <w:rsid w:val="006B7ED9"/>
    <w:rsid w:val="006C08B1"/>
    <w:rsid w:val="006C0B48"/>
    <w:rsid w:val="006C0B56"/>
    <w:rsid w:val="006C14F0"/>
    <w:rsid w:val="006C187E"/>
    <w:rsid w:val="006C1F67"/>
    <w:rsid w:val="006C2A19"/>
    <w:rsid w:val="006C490A"/>
    <w:rsid w:val="006C54B6"/>
    <w:rsid w:val="006C5B44"/>
    <w:rsid w:val="006C5F8A"/>
    <w:rsid w:val="006C70D3"/>
    <w:rsid w:val="006C73DB"/>
    <w:rsid w:val="006C7AB9"/>
    <w:rsid w:val="006D013B"/>
    <w:rsid w:val="006D1849"/>
    <w:rsid w:val="006D3C26"/>
    <w:rsid w:val="006D3F4D"/>
    <w:rsid w:val="006D4A85"/>
    <w:rsid w:val="006D4E10"/>
    <w:rsid w:val="006D4F46"/>
    <w:rsid w:val="006D5E0F"/>
    <w:rsid w:val="006D621A"/>
    <w:rsid w:val="006D6816"/>
    <w:rsid w:val="006D7074"/>
    <w:rsid w:val="006D7AD5"/>
    <w:rsid w:val="006D7CB0"/>
    <w:rsid w:val="006E06A6"/>
    <w:rsid w:val="006E24DC"/>
    <w:rsid w:val="006E24EC"/>
    <w:rsid w:val="006E269F"/>
    <w:rsid w:val="006E2FD1"/>
    <w:rsid w:val="006E3340"/>
    <w:rsid w:val="006E3D0B"/>
    <w:rsid w:val="006E3F5D"/>
    <w:rsid w:val="006E40E9"/>
    <w:rsid w:val="006E42D2"/>
    <w:rsid w:val="006E537B"/>
    <w:rsid w:val="006E5929"/>
    <w:rsid w:val="006E61B6"/>
    <w:rsid w:val="006E6B83"/>
    <w:rsid w:val="006E6C39"/>
    <w:rsid w:val="006F07F5"/>
    <w:rsid w:val="006F0FA0"/>
    <w:rsid w:val="006F181B"/>
    <w:rsid w:val="006F2428"/>
    <w:rsid w:val="006F26B5"/>
    <w:rsid w:val="006F32A1"/>
    <w:rsid w:val="006F358D"/>
    <w:rsid w:val="006F446A"/>
    <w:rsid w:val="006F4863"/>
    <w:rsid w:val="006F4B6A"/>
    <w:rsid w:val="006F4B8E"/>
    <w:rsid w:val="006F6C29"/>
    <w:rsid w:val="006F6E23"/>
    <w:rsid w:val="006F70BF"/>
    <w:rsid w:val="006F7F58"/>
    <w:rsid w:val="0070030B"/>
    <w:rsid w:val="00700FCA"/>
    <w:rsid w:val="00701F02"/>
    <w:rsid w:val="00702767"/>
    <w:rsid w:val="00702CEC"/>
    <w:rsid w:val="007038CF"/>
    <w:rsid w:val="007049BD"/>
    <w:rsid w:val="0070505F"/>
    <w:rsid w:val="007051BE"/>
    <w:rsid w:val="00707174"/>
    <w:rsid w:val="0071078B"/>
    <w:rsid w:val="00712493"/>
    <w:rsid w:val="00712ADD"/>
    <w:rsid w:val="00712B93"/>
    <w:rsid w:val="00714D03"/>
    <w:rsid w:val="007158D9"/>
    <w:rsid w:val="00716907"/>
    <w:rsid w:val="00717BAA"/>
    <w:rsid w:val="00717C02"/>
    <w:rsid w:val="00720EB9"/>
    <w:rsid w:val="00721F72"/>
    <w:rsid w:val="00723918"/>
    <w:rsid w:val="007240EA"/>
    <w:rsid w:val="00724606"/>
    <w:rsid w:val="00724B0C"/>
    <w:rsid w:val="0072547D"/>
    <w:rsid w:val="00725A73"/>
    <w:rsid w:val="007278CF"/>
    <w:rsid w:val="00727D76"/>
    <w:rsid w:val="007305B8"/>
    <w:rsid w:val="00730CA9"/>
    <w:rsid w:val="007314E6"/>
    <w:rsid w:val="0073186C"/>
    <w:rsid w:val="007326BA"/>
    <w:rsid w:val="00732C8F"/>
    <w:rsid w:val="0073468B"/>
    <w:rsid w:val="00734A4C"/>
    <w:rsid w:val="0073558F"/>
    <w:rsid w:val="00737A50"/>
    <w:rsid w:val="00740FF8"/>
    <w:rsid w:val="00742941"/>
    <w:rsid w:val="00742F06"/>
    <w:rsid w:val="00743098"/>
    <w:rsid w:val="00743E8F"/>
    <w:rsid w:val="007444E0"/>
    <w:rsid w:val="007500C4"/>
    <w:rsid w:val="00750899"/>
    <w:rsid w:val="00750D31"/>
    <w:rsid w:val="0075158A"/>
    <w:rsid w:val="00752284"/>
    <w:rsid w:val="0075284C"/>
    <w:rsid w:val="007533D7"/>
    <w:rsid w:val="00753850"/>
    <w:rsid w:val="00754081"/>
    <w:rsid w:val="007558AE"/>
    <w:rsid w:val="0075590E"/>
    <w:rsid w:val="00756884"/>
    <w:rsid w:val="007571FC"/>
    <w:rsid w:val="00762654"/>
    <w:rsid w:val="00762F92"/>
    <w:rsid w:val="007632AE"/>
    <w:rsid w:val="00764FB1"/>
    <w:rsid w:val="00765E54"/>
    <w:rsid w:val="00765EE7"/>
    <w:rsid w:val="007675D7"/>
    <w:rsid w:val="007678A7"/>
    <w:rsid w:val="00770689"/>
    <w:rsid w:val="00771B11"/>
    <w:rsid w:val="007733EB"/>
    <w:rsid w:val="00773763"/>
    <w:rsid w:val="0077388A"/>
    <w:rsid w:val="007745B0"/>
    <w:rsid w:val="00775A38"/>
    <w:rsid w:val="007766FE"/>
    <w:rsid w:val="00780744"/>
    <w:rsid w:val="007817BA"/>
    <w:rsid w:val="00781FC9"/>
    <w:rsid w:val="00784CE2"/>
    <w:rsid w:val="007850CD"/>
    <w:rsid w:val="00786388"/>
    <w:rsid w:val="00787B85"/>
    <w:rsid w:val="00787E4D"/>
    <w:rsid w:val="00790B75"/>
    <w:rsid w:val="007926B6"/>
    <w:rsid w:val="007936F6"/>
    <w:rsid w:val="00793DD0"/>
    <w:rsid w:val="00793E9D"/>
    <w:rsid w:val="00793F06"/>
    <w:rsid w:val="00794CEB"/>
    <w:rsid w:val="0079503D"/>
    <w:rsid w:val="007950D4"/>
    <w:rsid w:val="00796506"/>
    <w:rsid w:val="00796900"/>
    <w:rsid w:val="007969CA"/>
    <w:rsid w:val="00796F7A"/>
    <w:rsid w:val="00797391"/>
    <w:rsid w:val="007A08D1"/>
    <w:rsid w:val="007A13C2"/>
    <w:rsid w:val="007A18EE"/>
    <w:rsid w:val="007A2663"/>
    <w:rsid w:val="007A283A"/>
    <w:rsid w:val="007A35E7"/>
    <w:rsid w:val="007A3888"/>
    <w:rsid w:val="007A409D"/>
    <w:rsid w:val="007A477F"/>
    <w:rsid w:val="007A4988"/>
    <w:rsid w:val="007A4A8A"/>
    <w:rsid w:val="007A4DBB"/>
    <w:rsid w:val="007A5475"/>
    <w:rsid w:val="007A5743"/>
    <w:rsid w:val="007A5FA7"/>
    <w:rsid w:val="007A6B5C"/>
    <w:rsid w:val="007A7355"/>
    <w:rsid w:val="007A7798"/>
    <w:rsid w:val="007B00F3"/>
    <w:rsid w:val="007B04B5"/>
    <w:rsid w:val="007B1FF9"/>
    <w:rsid w:val="007B212F"/>
    <w:rsid w:val="007B23C6"/>
    <w:rsid w:val="007B2D67"/>
    <w:rsid w:val="007B3B41"/>
    <w:rsid w:val="007B3ED1"/>
    <w:rsid w:val="007B40E1"/>
    <w:rsid w:val="007B4456"/>
    <w:rsid w:val="007B460B"/>
    <w:rsid w:val="007B5026"/>
    <w:rsid w:val="007B549C"/>
    <w:rsid w:val="007B5C28"/>
    <w:rsid w:val="007B5E37"/>
    <w:rsid w:val="007B6023"/>
    <w:rsid w:val="007B611B"/>
    <w:rsid w:val="007B74A7"/>
    <w:rsid w:val="007C01A8"/>
    <w:rsid w:val="007C01B0"/>
    <w:rsid w:val="007C0417"/>
    <w:rsid w:val="007C0C85"/>
    <w:rsid w:val="007C1179"/>
    <w:rsid w:val="007C3B71"/>
    <w:rsid w:val="007C4324"/>
    <w:rsid w:val="007C488C"/>
    <w:rsid w:val="007C48AE"/>
    <w:rsid w:val="007C51C1"/>
    <w:rsid w:val="007C6626"/>
    <w:rsid w:val="007C7AF6"/>
    <w:rsid w:val="007D0459"/>
    <w:rsid w:val="007D1264"/>
    <w:rsid w:val="007D1C0B"/>
    <w:rsid w:val="007D2B5E"/>
    <w:rsid w:val="007D3B35"/>
    <w:rsid w:val="007D4E28"/>
    <w:rsid w:val="007D62A5"/>
    <w:rsid w:val="007D7287"/>
    <w:rsid w:val="007D731D"/>
    <w:rsid w:val="007D7521"/>
    <w:rsid w:val="007D7694"/>
    <w:rsid w:val="007E017A"/>
    <w:rsid w:val="007E01D0"/>
    <w:rsid w:val="007E0D8C"/>
    <w:rsid w:val="007E1435"/>
    <w:rsid w:val="007E1500"/>
    <w:rsid w:val="007E1743"/>
    <w:rsid w:val="007E250A"/>
    <w:rsid w:val="007E2A1D"/>
    <w:rsid w:val="007E3484"/>
    <w:rsid w:val="007E3F29"/>
    <w:rsid w:val="007E45FA"/>
    <w:rsid w:val="007E4603"/>
    <w:rsid w:val="007E54AF"/>
    <w:rsid w:val="007E66FC"/>
    <w:rsid w:val="007E7010"/>
    <w:rsid w:val="007E7162"/>
    <w:rsid w:val="007E74C4"/>
    <w:rsid w:val="007F03B5"/>
    <w:rsid w:val="007F08EA"/>
    <w:rsid w:val="007F11F0"/>
    <w:rsid w:val="007F131E"/>
    <w:rsid w:val="007F19AD"/>
    <w:rsid w:val="007F2334"/>
    <w:rsid w:val="007F2725"/>
    <w:rsid w:val="007F2A1F"/>
    <w:rsid w:val="007F3B19"/>
    <w:rsid w:val="007F4B49"/>
    <w:rsid w:val="007F5549"/>
    <w:rsid w:val="007F5A1D"/>
    <w:rsid w:val="007F5E23"/>
    <w:rsid w:val="007F7AE4"/>
    <w:rsid w:val="0080083C"/>
    <w:rsid w:val="008009CF"/>
    <w:rsid w:val="00800A2F"/>
    <w:rsid w:val="00800C11"/>
    <w:rsid w:val="00801CB8"/>
    <w:rsid w:val="00802467"/>
    <w:rsid w:val="00802F21"/>
    <w:rsid w:val="00803516"/>
    <w:rsid w:val="00805937"/>
    <w:rsid w:val="00806155"/>
    <w:rsid w:val="0080648C"/>
    <w:rsid w:val="008068C6"/>
    <w:rsid w:val="00807609"/>
    <w:rsid w:val="00807ACF"/>
    <w:rsid w:val="00807F33"/>
    <w:rsid w:val="00810A08"/>
    <w:rsid w:val="00810BA1"/>
    <w:rsid w:val="00810C06"/>
    <w:rsid w:val="008110B8"/>
    <w:rsid w:val="008114BC"/>
    <w:rsid w:val="00811ECD"/>
    <w:rsid w:val="00813CEC"/>
    <w:rsid w:val="00814C45"/>
    <w:rsid w:val="00816CA0"/>
    <w:rsid w:val="008226F8"/>
    <w:rsid w:val="00824454"/>
    <w:rsid w:val="008249D6"/>
    <w:rsid w:val="00824BDC"/>
    <w:rsid w:val="00827FCE"/>
    <w:rsid w:val="00830D0C"/>
    <w:rsid w:val="008322C4"/>
    <w:rsid w:val="00832DF2"/>
    <w:rsid w:val="0083322D"/>
    <w:rsid w:val="00835399"/>
    <w:rsid w:val="00835C7A"/>
    <w:rsid w:val="0083622E"/>
    <w:rsid w:val="00836C7A"/>
    <w:rsid w:val="00836D42"/>
    <w:rsid w:val="00837FDC"/>
    <w:rsid w:val="008404EE"/>
    <w:rsid w:val="00841432"/>
    <w:rsid w:val="00841545"/>
    <w:rsid w:val="00841ECB"/>
    <w:rsid w:val="00842097"/>
    <w:rsid w:val="00842582"/>
    <w:rsid w:val="008429C2"/>
    <w:rsid w:val="00842F06"/>
    <w:rsid w:val="0084337E"/>
    <w:rsid w:val="008442BE"/>
    <w:rsid w:val="00845B49"/>
    <w:rsid w:val="00850B09"/>
    <w:rsid w:val="00850B41"/>
    <w:rsid w:val="008510FF"/>
    <w:rsid w:val="00851A2A"/>
    <w:rsid w:val="008528C4"/>
    <w:rsid w:val="0085458E"/>
    <w:rsid w:val="008545EF"/>
    <w:rsid w:val="0085507E"/>
    <w:rsid w:val="008556A7"/>
    <w:rsid w:val="00855BC2"/>
    <w:rsid w:val="008579BA"/>
    <w:rsid w:val="00861AED"/>
    <w:rsid w:val="00863A22"/>
    <w:rsid w:val="00864E9E"/>
    <w:rsid w:val="00865661"/>
    <w:rsid w:val="00865DBB"/>
    <w:rsid w:val="00866E75"/>
    <w:rsid w:val="0086720D"/>
    <w:rsid w:val="00867227"/>
    <w:rsid w:val="008705DE"/>
    <w:rsid w:val="00870DFD"/>
    <w:rsid w:val="00871203"/>
    <w:rsid w:val="0087260E"/>
    <w:rsid w:val="008728C3"/>
    <w:rsid w:val="008743DE"/>
    <w:rsid w:val="008749DC"/>
    <w:rsid w:val="00874FAD"/>
    <w:rsid w:val="008764E6"/>
    <w:rsid w:val="008767A5"/>
    <w:rsid w:val="00877376"/>
    <w:rsid w:val="008774A1"/>
    <w:rsid w:val="00880242"/>
    <w:rsid w:val="00880484"/>
    <w:rsid w:val="00881B47"/>
    <w:rsid w:val="00881EEF"/>
    <w:rsid w:val="008822DD"/>
    <w:rsid w:val="0088231C"/>
    <w:rsid w:val="00882500"/>
    <w:rsid w:val="008847E5"/>
    <w:rsid w:val="00885597"/>
    <w:rsid w:val="00886485"/>
    <w:rsid w:val="00886601"/>
    <w:rsid w:val="00886E11"/>
    <w:rsid w:val="00886E14"/>
    <w:rsid w:val="00887520"/>
    <w:rsid w:val="00887FDF"/>
    <w:rsid w:val="00891146"/>
    <w:rsid w:val="00891221"/>
    <w:rsid w:val="00893E6D"/>
    <w:rsid w:val="00893F22"/>
    <w:rsid w:val="00894087"/>
    <w:rsid w:val="008947EA"/>
    <w:rsid w:val="00894910"/>
    <w:rsid w:val="00895E9E"/>
    <w:rsid w:val="00896828"/>
    <w:rsid w:val="00897C1A"/>
    <w:rsid w:val="008A0B05"/>
    <w:rsid w:val="008A0D3B"/>
    <w:rsid w:val="008A1132"/>
    <w:rsid w:val="008A160B"/>
    <w:rsid w:val="008A22E6"/>
    <w:rsid w:val="008A2559"/>
    <w:rsid w:val="008A2EEA"/>
    <w:rsid w:val="008A349B"/>
    <w:rsid w:val="008A3778"/>
    <w:rsid w:val="008A3B8D"/>
    <w:rsid w:val="008A3F0E"/>
    <w:rsid w:val="008A4443"/>
    <w:rsid w:val="008A4BB9"/>
    <w:rsid w:val="008A50C1"/>
    <w:rsid w:val="008A50EA"/>
    <w:rsid w:val="008A5F6C"/>
    <w:rsid w:val="008A69B5"/>
    <w:rsid w:val="008A7193"/>
    <w:rsid w:val="008A7988"/>
    <w:rsid w:val="008B0307"/>
    <w:rsid w:val="008B1BB0"/>
    <w:rsid w:val="008B2C08"/>
    <w:rsid w:val="008B2DA6"/>
    <w:rsid w:val="008B3139"/>
    <w:rsid w:val="008B4FF9"/>
    <w:rsid w:val="008B52FB"/>
    <w:rsid w:val="008B5746"/>
    <w:rsid w:val="008C08B8"/>
    <w:rsid w:val="008C0E97"/>
    <w:rsid w:val="008C0EA7"/>
    <w:rsid w:val="008C0F6B"/>
    <w:rsid w:val="008C0F93"/>
    <w:rsid w:val="008C29ED"/>
    <w:rsid w:val="008C2C46"/>
    <w:rsid w:val="008C3268"/>
    <w:rsid w:val="008C3CAC"/>
    <w:rsid w:val="008C6150"/>
    <w:rsid w:val="008C6766"/>
    <w:rsid w:val="008C6D52"/>
    <w:rsid w:val="008C73E0"/>
    <w:rsid w:val="008C76C5"/>
    <w:rsid w:val="008C7C23"/>
    <w:rsid w:val="008D0423"/>
    <w:rsid w:val="008D0617"/>
    <w:rsid w:val="008D1B7B"/>
    <w:rsid w:val="008D2A40"/>
    <w:rsid w:val="008D2EBA"/>
    <w:rsid w:val="008D4B36"/>
    <w:rsid w:val="008D5CF1"/>
    <w:rsid w:val="008D5DC2"/>
    <w:rsid w:val="008D744F"/>
    <w:rsid w:val="008D7661"/>
    <w:rsid w:val="008D7B75"/>
    <w:rsid w:val="008E0B86"/>
    <w:rsid w:val="008E19E8"/>
    <w:rsid w:val="008E1E7A"/>
    <w:rsid w:val="008E1EC2"/>
    <w:rsid w:val="008E20F3"/>
    <w:rsid w:val="008E24C4"/>
    <w:rsid w:val="008E30BD"/>
    <w:rsid w:val="008E3891"/>
    <w:rsid w:val="008E38C7"/>
    <w:rsid w:val="008E4626"/>
    <w:rsid w:val="008E56B5"/>
    <w:rsid w:val="008E5D4F"/>
    <w:rsid w:val="008E6FF2"/>
    <w:rsid w:val="008E79AD"/>
    <w:rsid w:val="008E7A95"/>
    <w:rsid w:val="008F15C6"/>
    <w:rsid w:val="008F2002"/>
    <w:rsid w:val="008F224E"/>
    <w:rsid w:val="008F2591"/>
    <w:rsid w:val="008F25FF"/>
    <w:rsid w:val="008F38D7"/>
    <w:rsid w:val="008F6868"/>
    <w:rsid w:val="008F7FE3"/>
    <w:rsid w:val="00900072"/>
    <w:rsid w:val="009004FD"/>
    <w:rsid w:val="00900CCD"/>
    <w:rsid w:val="00900DAE"/>
    <w:rsid w:val="00901467"/>
    <w:rsid w:val="00901FD1"/>
    <w:rsid w:val="0090277A"/>
    <w:rsid w:val="0090307B"/>
    <w:rsid w:val="0090344C"/>
    <w:rsid w:val="00904963"/>
    <w:rsid w:val="00905CB2"/>
    <w:rsid w:val="00905D99"/>
    <w:rsid w:val="00906001"/>
    <w:rsid w:val="0090720F"/>
    <w:rsid w:val="009074D5"/>
    <w:rsid w:val="009079C5"/>
    <w:rsid w:val="009100AF"/>
    <w:rsid w:val="009118FE"/>
    <w:rsid w:val="00912940"/>
    <w:rsid w:val="00912E50"/>
    <w:rsid w:val="0091336C"/>
    <w:rsid w:val="00914B1A"/>
    <w:rsid w:val="00914F17"/>
    <w:rsid w:val="009154B9"/>
    <w:rsid w:val="0091554A"/>
    <w:rsid w:val="00915A52"/>
    <w:rsid w:val="00915F11"/>
    <w:rsid w:val="00916615"/>
    <w:rsid w:val="00916671"/>
    <w:rsid w:val="009166F5"/>
    <w:rsid w:val="0091714F"/>
    <w:rsid w:val="0091729F"/>
    <w:rsid w:val="00920016"/>
    <w:rsid w:val="0092095C"/>
    <w:rsid w:val="00920DCF"/>
    <w:rsid w:val="009214AC"/>
    <w:rsid w:val="00921DA1"/>
    <w:rsid w:val="00922104"/>
    <w:rsid w:val="009229CD"/>
    <w:rsid w:val="00923EFA"/>
    <w:rsid w:val="009247FD"/>
    <w:rsid w:val="00924E1B"/>
    <w:rsid w:val="0092512F"/>
    <w:rsid w:val="00925400"/>
    <w:rsid w:val="00925F5A"/>
    <w:rsid w:val="0092701A"/>
    <w:rsid w:val="009275BB"/>
    <w:rsid w:val="00927D3A"/>
    <w:rsid w:val="00930F36"/>
    <w:rsid w:val="00931437"/>
    <w:rsid w:val="0093157F"/>
    <w:rsid w:val="00935B1B"/>
    <w:rsid w:val="00936947"/>
    <w:rsid w:val="00937CBE"/>
    <w:rsid w:val="009421FE"/>
    <w:rsid w:val="00942453"/>
    <w:rsid w:val="00942521"/>
    <w:rsid w:val="0094259B"/>
    <w:rsid w:val="00942C50"/>
    <w:rsid w:val="00943C37"/>
    <w:rsid w:val="00944517"/>
    <w:rsid w:val="00944A4F"/>
    <w:rsid w:val="009454EF"/>
    <w:rsid w:val="0094557B"/>
    <w:rsid w:val="00945F11"/>
    <w:rsid w:val="00946696"/>
    <w:rsid w:val="00946C66"/>
    <w:rsid w:val="00946EAC"/>
    <w:rsid w:val="0094774F"/>
    <w:rsid w:val="009506CE"/>
    <w:rsid w:val="00950A53"/>
    <w:rsid w:val="00951F86"/>
    <w:rsid w:val="009521DA"/>
    <w:rsid w:val="00952735"/>
    <w:rsid w:val="00953262"/>
    <w:rsid w:val="009535FA"/>
    <w:rsid w:val="00954744"/>
    <w:rsid w:val="0095514C"/>
    <w:rsid w:val="00955527"/>
    <w:rsid w:val="00956334"/>
    <w:rsid w:val="00957307"/>
    <w:rsid w:val="009576EE"/>
    <w:rsid w:val="00957F5A"/>
    <w:rsid w:val="009602C8"/>
    <w:rsid w:val="009613FA"/>
    <w:rsid w:val="009615AA"/>
    <w:rsid w:val="00961749"/>
    <w:rsid w:val="00962DC8"/>
    <w:rsid w:val="00965DD4"/>
    <w:rsid w:val="00966B9C"/>
    <w:rsid w:val="0097098C"/>
    <w:rsid w:val="009720AD"/>
    <w:rsid w:val="0097332F"/>
    <w:rsid w:val="009738E3"/>
    <w:rsid w:val="00973AFF"/>
    <w:rsid w:val="00974755"/>
    <w:rsid w:val="00974BC7"/>
    <w:rsid w:val="00974D88"/>
    <w:rsid w:val="00975420"/>
    <w:rsid w:val="009758FA"/>
    <w:rsid w:val="00977523"/>
    <w:rsid w:val="00977A44"/>
    <w:rsid w:val="00977EA0"/>
    <w:rsid w:val="009807FF"/>
    <w:rsid w:val="00981289"/>
    <w:rsid w:val="0098147B"/>
    <w:rsid w:val="00981A49"/>
    <w:rsid w:val="00982F56"/>
    <w:rsid w:val="00983C75"/>
    <w:rsid w:val="0098461B"/>
    <w:rsid w:val="00985967"/>
    <w:rsid w:val="00985FFC"/>
    <w:rsid w:val="009865FF"/>
    <w:rsid w:val="00986BB7"/>
    <w:rsid w:val="00986EBA"/>
    <w:rsid w:val="00987B23"/>
    <w:rsid w:val="00990371"/>
    <w:rsid w:val="00990943"/>
    <w:rsid w:val="00990CF8"/>
    <w:rsid w:val="00991089"/>
    <w:rsid w:val="009927D5"/>
    <w:rsid w:val="009933CF"/>
    <w:rsid w:val="00993BB4"/>
    <w:rsid w:val="00994735"/>
    <w:rsid w:val="00996B5A"/>
    <w:rsid w:val="00996D7B"/>
    <w:rsid w:val="00996DB5"/>
    <w:rsid w:val="00997E1F"/>
    <w:rsid w:val="009A13CB"/>
    <w:rsid w:val="009A15C7"/>
    <w:rsid w:val="009A1AE7"/>
    <w:rsid w:val="009A2A81"/>
    <w:rsid w:val="009A2C20"/>
    <w:rsid w:val="009A3CFB"/>
    <w:rsid w:val="009A4513"/>
    <w:rsid w:val="009A5C65"/>
    <w:rsid w:val="009A74AA"/>
    <w:rsid w:val="009A7D68"/>
    <w:rsid w:val="009B0925"/>
    <w:rsid w:val="009B0D99"/>
    <w:rsid w:val="009B0FD6"/>
    <w:rsid w:val="009B112B"/>
    <w:rsid w:val="009B12E6"/>
    <w:rsid w:val="009B1367"/>
    <w:rsid w:val="009B14BF"/>
    <w:rsid w:val="009B28BB"/>
    <w:rsid w:val="009B54E5"/>
    <w:rsid w:val="009B7182"/>
    <w:rsid w:val="009B7402"/>
    <w:rsid w:val="009C0106"/>
    <w:rsid w:val="009C0945"/>
    <w:rsid w:val="009C1B3A"/>
    <w:rsid w:val="009C44AE"/>
    <w:rsid w:val="009C5CF5"/>
    <w:rsid w:val="009D0ADE"/>
    <w:rsid w:val="009D13A1"/>
    <w:rsid w:val="009D276E"/>
    <w:rsid w:val="009D27E8"/>
    <w:rsid w:val="009D316A"/>
    <w:rsid w:val="009D3DDE"/>
    <w:rsid w:val="009D6B53"/>
    <w:rsid w:val="009D731E"/>
    <w:rsid w:val="009E016D"/>
    <w:rsid w:val="009E0A14"/>
    <w:rsid w:val="009E0B3D"/>
    <w:rsid w:val="009E13AB"/>
    <w:rsid w:val="009E18E7"/>
    <w:rsid w:val="009E19F7"/>
    <w:rsid w:val="009E1D59"/>
    <w:rsid w:val="009E24BE"/>
    <w:rsid w:val="009E2961"/>
    <w:rsid w:val="009E2F63"/>
    <w:rsid w:val="009E588D"/>
    <w:rsid w:val="009E60CD"/>
    <w:rsid w:val="009E6333"/>
    <w:rsid w:val="009E6DE2"/>
    <w:rsid w:val="009E6F20"/>
    <w:rsid w:val="009F22AA"/>
    <w:rsid w:val="009F4BB4"/>
    <w:rsid w:val="009F4DC1"/>
    <w:rsid w:val="009F51CF"/>
    <w:rsid w:val="009F5983"/>
    <w:rsid w:val="009F5DA9"/>
    <w:rsid w:val="009F6F9A"/>
    <w:rsid w:val="009F7F88"/>
    <w:rsid w:val="00A004B7"/>
    <w:rsid w:val="00A008C1"/>
    <w:rsid w:val="00A01C0F"/>
    <w:rsid w:val="00A021C2"/>
    <w:rsid w:val="00A026EA"/>
    <w:rsid w:val="00A0475A"/>
    <w:rsid w:val="00A04D9F"/>
    <w:rsid w:val="00A050A3"/>
    <w:rsid w:val="00A0551A"/>
    <w:rsid w:val="00A05910"/>
    <w:rsid w:val="00A059D8"/>
    <w:rsid w:val="00A101B2"/>
    <w:rsid w:val="00A10F09"/>
    <w:rsid w:val="00A11126"/>
    <w:rsid w:val="00A111A9"/>
    <w:rsid w:val="00A113C5"/>
    <w:rsid w:val="00A1157C"/>
    <w:rsid w:val="00A1172E"/>
    <w:rsid w:val="00A130FE"/>
    <w:rsid w:val="00A143D0"/>
    <w:rsid w:val="00A14520"/>
    <w:rsid w:val="00A17388"/>
    <w:rsid w:val="00A17EE0"/>
    <w:rsid w:val="00A21B97"/>
    <w:rsid w:val="00A2362B"/>
    <w:rsid w:val="00A247B0"/>
    <w:rsid w:val="00A24F94"/>
    <w:rsid w:val="00A25B35"/>
    <w:rsid w:val="00A25EA0"/>
    <w:rsid w:val="00A2669B"/>
    <w:rsid w:val="00A27526"/>
    <w:rsid w:val="00A308CB"/>
    <w:rsid w:val="00A31DBB"/>
    <w:rsid w:val="00A3234F"/>
    <w:rsid w:val="00A330AD"/>
    <w:rsid w:val="00A3570C"/>
    <w:rsid w:val="00A40C19"/>
    <w:rsid w:val="00A40DBC"/>
    <w:rsid w:val="00A41C5C"/>
    <w:rsid w:val="00A42026"/>
    <w:rsid w:val="00A432DE"/>
    <w:rsid w:val="00A43488"/>
    <w:rsid w:val="00A44172"/>
    <w:rsid w:val="00A4459F"/>
    <w:rsid w:val="00A47998"/>
    <w:rsid w:val="00A503AE"/>
    <w:rsid w:val="00A50611"/>
    <w:rsid w:val="00A5067B"/>
    <w:rsid w:val="00A50EBD"/>
    <w:rsid w:val="00A50F7D"/>
    <w:rsid w:val="00A512A8"/>
    <w:rsid w:val="00A53227"/>
    <w:rsid w:val="00A53397"/>
    <w:rsid w:val="00A55225"/>
    <w:rsid w:val="00A55810"/>
    <w:rsid w:val="00A560B2"/>
    <w:rsid w:val="00A5658E"/>
    <w:rsid w:val="00A6038C"/>
    <w:rsid w:val="00A60D41"/>
    <w:rsid w:val="00A61F30"/>
    <w:rsid w:val="00A623F9"/>
    <w:rsid w:val="00A64076"/>
    <w:rsid w:val="00A66842"/>
    <w:rsid w:val="00A70D49"/>
    <w:rsid w:val="00A73C9A"/>
    <w:rsid w:val="00A74924"/>
    <w:rsid w:val="00A74AE4"/>
    <w:rsid w:val="00A75C04"/>
    <w:rsid w:val="00A7633D"/>
    <w:rsid w:val="00A772FF"/>
    <w:rsid w:val="00A80032"/>
    <w:rsid w:val="00A806E6"/>
    <w:rsid w:val="00A807F7"/>
    <w:rsid w:val="00A81480"/>
    <w:rsid w:val="00A8157E"/>
    <w:rsid w:val="00A81EF6"/>
    <w:rsid w:val="00A826F5"/>
    <w:rsid w:val="00A82CA1"/>
    <w:rsid w:val="00A82ED1"/>
    <w:rsid w:val="00A83018"/>
    <w:rsid w:val="00A83118"/>
    <w:rsid w:val="00A831F4"/>
    <w:rsid w:val="00A85E12"/>
    <w:rsid w:val="00A862F7"/>
    <w:rsid w:val="00A8630A"/>
    <w:rsid w:val="00A86C85"/>
    <w:rsid w:val="00A871D2"/>
    <w:rsid w:val="00A90E04"/>
    <w:rsid w:val="00A9192B"/>
    <w:rsid w:val="00A923A9"/>
    <w:rsid w:val="00A92575"/>
    <w:rsid w:val="00A93560"/>
    <w:rsid w:val="00A93565"/>
    <w:rsid w:val="00A96A65"/>
    <w:rsid w:val="00A96C2D"/>
    <w:rsid w:val="00A973DE"/>
    <w:rsid w:val="00A97AFF"/>
    <w:rsid w:val="00AA0F42"/>
    <w:rsid w:val="00AA19BE"/>
    <w:rsid w:val="00AA31EE"/>
    <w:rsid w:val="00AA3703"/>
    <w:rsid w:val="00AA49A9"/>
    <w:rsid w:val="00AA49B9"/>
    <w:rsid w:val="00AA5C8E"/>
    <w:rsid w:val="00AA5D1F"/>
    <w:rsid w:val="00AA62D5"/>
    <w:rsid w:val="00AA6687"/>
    <w:rsid w:val="00AA680A"/>
    <w:rsid w:val="00AA6842"/>
    <w:rsid w:val="00AA7301"/>
    <w:rsid w:val="00AA7EE2"/>
    <w:rsid w:val="00AB0816"/>
    <w:rsid w:val="00AB085E"/>
    <w:rsid w:val="00AB1D50"/>
    <w:rsid w:val="00AB1D75"/>
    <w:rsid w:val="00AB2329"/>
    <w:rsid w:val="00AB2524"/>
    <w:rsid w:val="00AB327B"/>
    <w:rsid w:val="00AB43BD"/>
    <w:rsid w:val="00AB6939"/>
    <w:rsid w:val="00AC0732"/>
    <w:rsid w:val="00AC07ED"/>
    <w:rsid w:val="00AC435A"/>
    <w:rsid w:val="00AC483E"/>
    <w:rsid w:val="00AC4F16"/>
    <w:rsid w:val="00AC6593"/>
    <w:rsid w:val="00AC66F0"/>
    <w:rsid w:val="00AC66F8"/>
    <w:rsid w:val="00AC7039"/>
    <w:rsid w:val="00AD02E8"/>
    <w:rsid w:val="00AD0BEA"/>
    <w:rsid w:val="00AD1444"/>
    <w:rsid w:val="00AD297E"/>
    <w:rsid w:val="00AD2B08"/>
    <w:rsid w:val="00AD3150"/>
    <w:rsid w:val="00AD3865"/>
    <w:rsid w:val="00AD4626"/>
    <w:rsid w:val="00AD4BB5"/>
    <w:rsid w:val="00AD60D1"/>
    <w:rsid w:val="00AD66DA"/>
    <w:rsid w:val="00AD7718"/>
    <w:rsid w:val="00AE02D4"/>
    <w:rsid w:val="00AE1327"/>
    <w:rsid w:val="00AE2197"/>
    <w:rsid w:val="00AE2B08"/>
    <w:rsid w:val="00AE2CCC"/>
    <w:rsid w:val="00AE3486"/>
    <w:rsid w:val="00AE3D33"/>
    <w:rsid w:val="00AE428E"/>
    <w:rsid w:val="00AE4345"/>
    <w:rsid w:val="00AE6BCB"/>
    <w:rsid w:val="00AE76C8"/>
    <w:rsid w:val="00AE7DEC"/>
    <w:rsid w:val="00AF0B59"/>
    <w:rsid w:val="00AF0FBA"/>
    <w:rsid w:val="00AF26D3"/>
    <w:rsid w:val="00AF4B8A"/>
    <w:rsid w:val="00AF60DB"/>
    <w:rsid w:val="00AF6890"/>
    <w:rsid w:val="00AF68A8"/>
    <w:rsid w:val="00AF6DF2"/>
    <w:rsid w:val="00B00D52"/>
    <w:rsid w:val="00B01115"/>
    <w:rsid w:val="00B019CE"/>
    <w:rsid w:val="00B0210D"/>
    <w:rsid w:val="00B02E8B"/>
    <w:rsid w:val="00B03120"/>
    <w:rsid w:val="00B034B9"/>
    <w:rsid w:val="00B03F1B"/>
    <w:rsid w:val="00B049EB"/>
    <w:rsid w:val="00B04C5A"/>
    <w:rsid w:val="00B054EF"/>
    <w:rsid w:val="00B068B0"/>
    <w:rsid w:val="00B0741D"/>
    <w:rsid w:val="00B0793E"/>
    <w:rsid w:val="00B1057A"/>
    <w:rsid w:val="00B12599"/>
    <w:rsid w:val="00B14051"/>
    <w:rsid w:val="00B1547D"/>
    <w:rsid w:val="00B158C4"/>
    <w:rsid w:val="00B16BCE"/>
    <w:rsid w:val="00B1717E"/>
    <w:rsid w:val="00B17401"/>
    <w:rsid w:val="00B21DEB"/>
    <w:rsid w:val="00B21E00"/>
    <w:rsid w:val="00B23D8F"/>
    <w:rsid w:val="00B23F22"/>
    <w:rsid w:val="00B24BFB"/>
    <w:rsid w:val="00B25741"/>
    <w:rsid w:val="00B25BA7"/>
    <w:rsid w:val="00B2609D"/>
    <w:rsid w:val="00B27C1D"/>
    <w:rsid w:val="00B27EAF"/>
    <w:rsid w:val="00B301BC"/>
    <w:rsid w:val="00B33CD0"/>
    <w:rsid w:val="00B33DC4"/>
    <w:rsid w:val="00B35626"/>
    <w:rsid w:val="00B37984"/>
    <w:rsid w:val="00B4184D"/>
    <w:rsid w:val="00B41C19"/>
    <w:rsid w:val="00B425EE"/>
    <w:rsid w:val="00B43A40"/>
    <w:rsid w:val="00B4411A"/>
    <w:rsid w:val="00B44856"/>
    <w:rsid w:val="00B45A6B"/>
    <w:rsid w:val="00B45B71"/>
    <w:rsid w:val="00B4652E"/>
    <w:rsid w:val="00B4674D"/>
    <w:rsid w:val="00B46CF6"/>
    <w:rsid w:val="00B47177"/>
    <w:rsid w:val="00B47A4A"/>
    <w:rsid w:val="00B52D6B"/>
    <w:rsid w:val="00B533C5"/>
    <w:rsid w:val="00B536CD"/>
    <w:rsid w:val="00B539FB"/>
    <w:rsid w:val="00B55C36"/>
    <w:rsid w:val="00B565E0"/>
    <w:rsid w:val="00B57529"/>
    <w:rsid w:val="00B5788C"/>
    <w:rsid w:val="00B578D3"/>
    <w:rsid w:val="00B6151B"/>
    <w:rsid w:val="00B63B81"/>
    <w:rsid w:val="00B650DF"/>
    <w:rsid w:val="00B65A95"/>
    <w:rsid w:val="00B6648F"/>
    <w:rsid w:val="00B67C05"/>
    <w:rsid w:val="00B67E77"/>
    <w:rsid w:val="00B71025"/>
    <w:rsid w:val="00B712C7"/>
    <w:rsid w:val="00B717CA"/>
    <w:rsid w:val="00B71A02"/>
    <w:rsid w:val="00B7204B"/>
    <w:rsid w:val="00B737A3"/>
    <w:rsid w:val="00B73B62"/>
    <w:rsid w:val="00B74465"/>
    <w:rsid w:val="00B747B1"/>
    <w:rsid w:val="00B749C8"/>
    <w:rsid w:val="00B755DB"/>
    <w:rsid w:val="00B7671F"/>
    <w:rsid w:val="00B771F5"/>
    <w:rsid w:val="00B77503"/>
    <w:rsid w:val="00B82B39"/>
    <w:rsid w:val="00B82F20"/>
    <w:rsid w:val="00B830BB"/>
    <w:rsid w:val="00B838C3"/>
    <w:rsid w:val="00B83BF6"/>
    <w:rsid w:val="00B859EC"/>
    <w:rsid w:val="00B86205"/>
    <w:rsid w:val="00B905E0"/>
    <w:rsid w:val="00B909B1"/>
    <w:rsid w:val="00B90E86"/>
    <w:rsid w:val="00B91FA9"/>
    <w:rsid w:val="00B933D2"/>
    <w:rsid w:val="00B93875"/>
    <w:rsid w:val="00B94166"/>
    <w:rsid w:val="00B94FD2"/>
    <w:rsid w:val="00B95524"/>
    <w:rsid w:val="00B9700F"/>
    <w:rsid w:val="00B9773E"/>
    <w:rsid w:val="00BA173F"/>
    <w:rsid w:val="00BA2489"/>
    <w:rsid w:val="00BA27D4"/>
    <w:rsid w:val="00BA3B83"/>
    <w:rsid w:val="00BA3F8C"/>
    <w:rsid w:val="00BA5A56"/>
    <w:rsid w:val="00BA5C63"/>
    <w:rsid w:val="00BA61CD"/>
    <w:rsid w:val="00BA740C"/>
    <w:rsid w:val="00BA74CF"/>
    <w:rsid w:val="00BA7672"/>
    <w:rsid w:val="00BB068B"/>
    <w:rsid w:val="00BB0884"/>
    <w:rsid w:val="00BB337B"/>
    <w:rsid w:val="00BB361D"/>
    <w:rsid w:val="00BB38FF"/>
    <w:rsid w:val="00BB3DB1"/>
    <w:rsid w:val="00BB5210"/>
    <w:rsid w:val="00BB5F84"/>
    <w:rsid w:val="00BB61C5"/>
    <w:rsid w:val="00BB63E3"/>
    <w:rsid w:val="00BB6714"/>
    <w:rsid w:val="00BB674B"/>
    <w:rsid w:val="00BB7014"/>
    <w:rsid w:val="00BB7911"/>
    <w:rsid w:val="00BC154B"/>
    <w:rsid w:val="00BC1D91"/>
    <w:rsid w:val="00BC25CE"/>
    <w:rsid w:val="00BC2614"/>
    <w:rsid w:val="00BC2FA4"/>
    <w:rsid w:val="00BC3572"/>
    <w:rsid w:val="00BC3718"/>
    <w:rsid w:val="00BC3936"/>
    <w:rsid w:val="00BC3E3E"/>
    <w:rsid w:val="00BC425B"/>
    <w:rsid w:val="00BC525B"/>
    <w:rsid w:val="00BC606D"/>
    <w:rsid w:val="00BC6AD6"/>
    <w:rsid w:val="00BC6C76"/>
    <w:rsid w:val="00BC792D"/>
    <w:rsid w:val="00BC7B03"/>
    <w:rsid w:val="00BC7EB5"/>
    <w:rsid w:val="00BD34BF"/>
    <w:rsid w:val="00BD42E5"/>
    <w:rsid w:val="00BD5169"/>
    <w:rsid w:val="00BD6063"/>
    <w:rsid w:val="00BD6BA0"/>
    <w:rsid w:val="00BD7D7C"/>
    <w:rsid w:val="00BE23CF"/>
    <w:rsid w:val="00BE2BF4"/>
    <w:rsid w:val="00BE2EB2"/>
    <w:rsid w:val="00BE6D78"/>
    <w:rsid w:val="00BE6EE5"/>
    <w:rsid w:val="00BE6F0D"/>
    <w:rsid w:val="00BF069B"/>
    <w:rsid w:val="00BF096E"/>
    <w:rsid w:val="00BF0B05"/>
    <w:rsid w:val="00BF0B54"/>
    <w:rsid w:val="00BF268C"/>
    <w:rsid w:val="00BF49E3"/>
    <w:rsid w:val="00BF5C84"/>
    <w:rsid w:val="00C00D0F"/>
    <w:rsid w:val="00C028E0"/>
    <w:rsid w:val="00C02C14"/>
    <w:rsid w:val="00C03039"/>
    <w:rsid w:val="00C03217"/>
    <w:rsid w:val="00C03239"/>
    <w:rsid w:val="00C045D3"/>
    <w:rsid w:val="00C0509B"/>
    <w:rsid w:val="00C0566C"/>
    <w:rsid w:val="00C05936"/>
    <w:rsid w:val="00C05A9F"/>
    <w:rsid w:val="00C06AEC"/>
    <w:rsid w:val="00C0731D"/>
    <w:rsid w:val="00C102E1"/>
    <w:rsid w:val="00C10E26"/>
    <w:rsid w:val="00C11342"/>
    <w:rsid w:val="00C1381B"/>
    <w:rsid w:val="00C138D1"/>
    <w:rsid w:val="00C14637"/>
    <w:rsid w:val="00C14B80"/>
    <w:rsid w:val="00C156A0"/>
    <w:rsid w:val="00C15B6B"/>
    <w:rsid w:val="00C17484"/>
    <w:rsid w:val="00C177AF"/>
    <w:rsid w:val="00C17AE9"/>
    <w:rsid w:val="00C17D5E"/>
    <w:rsid w:val="00C203EC"/>
    <w:rsid w:val="00C2152F"/>
    <w:rsid w:val="00C21E48"/>
    <w:rsid w:val="00C22255"/>
    <w:rsid w:val="00C224D2"/>
    <w:rsid w:val="00C226E6"/>
    <w:rsid w:val="00C229F2"/>
    <w:rsid w:val="00C249B3"/>
    <w:rsid w:val="00C24D7F"/>
    <w:rsid w:val="00C269DF"/>
    <w:rsid w:val="00C27695"/>
    <w:rsid w:val="00C277A2"/>
    <w:rsid w:val="00C311E2"/>
    <w:rsid w:val="00C32810"/>
    <w:rsid w:val="00C35C82"/>
    <w:rsid w:val="00C370ED"/>
    <w:rsid w:val="00C37226"/>
    <w:rsid w:val="00C373E2"/>
    <w:rsid w:val="00C373F3"/>
    <w:rsid w:val="00C41819"/>
    <w:rsid w:val="00C42B3B"/>
    <w:rsid w:val="00C43D94"/>
    <w:rsid w:val="00C447BA"/>
    <w:rsid w:val="00C44872"/>
    <w:rsid w:val="00C45271"/>
    <w:rsid w:val="00C467A1"/>
    <w:rsid w:val="00C4697B"/>
    <w:rsid w:val="00C4729F"/>
    <w:rsid w:val="00C47C37"/>
    <w:rsid w:val="00C5162F"/>
    <w:rsid w:val="00C51B20"/>
    <w:rsid w:val="00C5426C"/>
    <w:rsid w:val="00C547D0"/>
    <w:rsid w:val="00C55119"/>
    <w:rsid w:val="00C55E1A"/>
    <w:rsid w:val="00C565FE"/>
    <w:rsid w:val="00C5685A"/>
    <w:rsid w:val="00C56CBC"/>
    <w:rsid w:val="00C56EC2"/>
    <w:rsid w:val="00C57783"/>
    <w:rsid w:val="00C60EC7"/>
    <w:rsid w:val="00C60FC8"/>
    <w:rsid w:val="00C61CC8"/>
    <w:rsid w:val="00C6221A"/>
    <w:rsid w:val="00C62226"/>
    <w:rsid w:val="00C62A6E"/>
    <w:rsid w:val="00C63128"/>
    <w:rsid w:val="00C66482"/>
    <w:rsid w:val="00C668DD"/>
    <w:rsid w:val="00C6728F"/>
    <w:rsid w:val="00C673AE"/>
    <w:rsid w:val="00C71752"/>
    <w:rsid w:val="00C7242E"/>
    <w:rsid w:val="00C72D2B"/>
    <w:rsid w:val="00C7404F"/>
    <w:rsid w:val="00C74632"/>
    <w:rsid w:val="00C74F8E"/>
    <w:rsid w:val="00C75852"/>
    <w:rsid w:val="00C7606C"/>
    <w:rsid w:val="00C76270"/>
    <w:rsid w:val="00C76D0D"/>
    <w:rsid w:val="00C77D5E"/>
    <w:rsid w:val="00C823B1"/>
    <w:rsid w:val="00C826C9"/>
    <w:rsid w:val="00C835C7"/>
    <w:rsid w:val="00C844E9"/>
    <w:rsid w:val="00C849BD"/>
    <w:rsid w:val="00C84C24"/>
    <w:rsid w:val="00C91878"/>
    <w:rsid w:val="00C93066"/>
    <w:rsid w:val="00C943FD"/>
    <w:rsid w:val="00C95EDA"/>
    <w:rsid w:val="00C96765"/>
    <w:rsid w:val="00CA1194"/>
    <w:rsid w:val="00CA2ADE"/>
    <w:rsid w:val="00CA3236"/>
    <w:rsid w:val="00CA387E"/>
    <w:rsid w:val="00CA503F"/>
    <w:rsid w:val="00CA57B7"/>
    <w:rsid w:val="00CA5963"/>
    <w:rsid w:val="00CB0083"/>
    <w:rsid w:val="00CB0743"/>
    <w:rsid w:val="00CB1374"/>
    <w:rsid w:val="00CB1EF4"/>
    <w:rsid w:val="00CB2010"/>
    <w:rsid w:val="00CB26CE"/>
    <w:rsid w:val="00CB2A47"/>
    <w:rsid w:val="00CB3B91"/>
    <w:rsid w:val="00CB5653"/>
    <w:rsid w:val="00CB57AC"/>
    <w:rsid w:val="00CB5982"/>
    <w:rsid w:val="00CB5AEB"/>
    <w:rsid w:val="00CB6055"/>
    <w:rsid w:val="00CB6958"/>
    <w:rsid w:val="00CB7816"/>
    <w:rsid w:val="00CB7B98"/>
    <w:rsid w:val="00CB7CF0"/>
    <w:rsid w:val="00CB7D52"/>
    <w:rsid w:val="00CC02B8"/>
    <w:rsid w:val="00CC0A4E"/>
    <w:rsid w:val="00CC10A0"/>
    <w:rsid w:val="00CC23D8"/>
    <w:rsid w:val="00CC2C2F"/>
    <w:rsid w:val="00CC570D"/>
    <w:rsid w:val="00CC67C0"/>
    <w:rsid w:val="00CC7BEC"/>
    <w:rsid w:val="00CC7F3B"/>
    <w:rsid w:val="00CD0363"/>
    <w:rsid w:val="00CD04F8"/>
    <w:rsid w:val="00CD2016"/>
    <w:rsid w:val="00CD2044"/>
    <w:rsid w:val="00CD25D7"/>
    <w:rsid w:val="00CD2D33"/>
    <w:rsid w:val="00CD2EDA"/>
    <w:rsid w:val="00CD32CF"/>
    <w:rsid w:val="00CD3F13"/>
    <w:rsid w:val="00CD4AA6"/>
    <w:rsid w:val="00CD4D36"/>
    <w:rsid w:val="00CD53F7"/>
    <w:rsid w:val="00CD5524"/>
    <w:rsid w:val="00CD57D6"/>
    <w:rsid w:val="00CD5920"/>
    <w:rsid w:val="00CD6DEE"/>
    <w:rsid w:val="00CE0542"/>
    <w:rsid w:val="00CE0B5A"/>
    <w:rsid w:val="00CE11DD"/>
    <w:rsid w:val="00CE1383"/>
    <w:rsid w:val="00CE1E94"/>
    <w:rsid w:val="00CE2142"/>
    <w:rsid w:val="00CE26D5"/>
    <w:rsid w:val="00CE2A51"/>
    <w:rsid w:val="00CE342F"/>
    <w:rsid w:val="00CE37FC"/>
    <w:rsid w:val="00CE41ED"/>
    <w:rsid w:val="00CE4AD3"/>
    <w:rsid w:val="00CE6022"/>
    <w:rsid w:val="00CF0105"/>
    <w:rsid w:val="00CF1225"/>
    <w:rsid w:val="00CF1FCD"/>
    <w:rsid w:val="00CF3A77"/>
    <w:rsid w:val="00CF4140"/>
    <w:rsid w:val="00CF4662"/>
    <w:rsid w:val="00CF4AAF"/>
    <w:rsid w:val="00CF4BAC"/>
    <w:rsid w:val="00CF5BE7"/>
    <w:rsid w:val="00CF5CC7"/>
    <w:rsid w:val="00CF60BB"/>
    <w:rsid w:val="00CF6847"/>
    <w:rsid w:val="00CF6B80"/>
    <w:rsid w:val="00CF6E6F"/>
    <w:rsid w:val="00CF752D"/>
    <w:rsid w:val="00CF79BD"/>
    <w:rsid w:val="00CF7F46"/>
    <w:rsid w:val="00D0155D"/>
    <w:rsid w:val="00D0160F"/>
    <w:rsid w:val="00D018A2"/>
    <w:rsid w:val="00D03A54"/>
    <w:rsid w:val="00D0494A"/>
    <w:rsid w:val="00D04FB6"/>
    <w:rsid w:val="00D04FBC"/>
    <w:rsid w:val="00D059C2"/>
    <w:rsid w:val="00D06835"/>
    <w:rsid w:val="00D07AF0"/>
    <w:rsid w:val="00D1061A"/>
    <w:rsid w:val="00D107D9"/>
    <w:rsid w:val="00D10A83"/>
    <w:rsid w:val="00D110C1"/>
    <w:rsid w:val="00D11F4E"/>
    <w:rsid w:val="00D12C19"/>
    <w:rsid w:val="00D1414E"/>
    <w:rsid w:val="00D14517"/>
    <w:rsid w:val="00D149CD"/>
    <w:rsid w:val="00D172B0"/>
    <w:rsid w:val="00D17685"/>
    <w:rsid w:val="00D20C95"/>
    <w:rsid w:val="00D21ED6"/>
    <w:rsid w:val="00D2287A"/>
    <w:rsid w:val="00D22885"/>
    <w:rsid w:val="00D23C34"/>
    <w:rsid w:val="00D24444"/>
    <w:rsid w:val="00D2566B"/>
    <w:rsid w:val="00D25B85"/>
    <w:rsid w:val="00D26156"/>
    <w:rsid w:val="00D261E9"/>
    <w:rsid w:val="00D3020C"/>
    <w:rsid w:val="00D30419"/>
    <w:rsid w:val="00D306AE"/>
    <w:rsid w:val="00D30B5E"/>
    <w:rsid w:val="00D30D73"/>
    <w:rsid w:val="00D31146"/>
    <w:rsid w:val="00D3120D"/>
    <w:rsid w:val="00D31287"/>
    <w:rsid w:val="00D325C6"/>
    <w:rsid w:val="00D33139"/>
    <w:rsid w:val="00D33793"/>
    <w:rsid w:val="00D33FB2"/>
    <w:rsid w:val="00D35AFE"/>
    <w:rsid w:val="00D35CAA"/>
    <w:rsid w:val="00D3665C"/>
    <w:rsid w:val="00D36766"/>
    <w:rsid w:val="00D3714D"/>
    <w:rsid w:val="00D37F7B"/>
    <w:rsid w:val="00D404D3"/>
    <w:rsid w:val="00D40B55"/>
    <w:rsid w:val="00D40EED"/>
    <w:rsid w:val="00D41A50"/>
    <w:rsid w:val="00D41A97"/>
    <w:rsid w:val="00D430EA"/>
    <w:rsid w:val="00D43F70"/>
    <w:rsid w:val="00D4423B"/>
    <w:rsid w:val="00D4474A"/>
    <w:rsid w:val="00D4537F"/>
    <w:rsid w:val="00D46DEE"/>
    <w:rsid w:val="00D46E47"/>
    <w:rsid w:val="00D46F74"/>
    <w:rsid w:val="00D47D57"/>
    <w:rsid w:val="00D47F48"/>
    <w:rsid w:val="00D50FB4"/>
    <w:rsid w:val="00D52C88"/>
    <w:rsid w:val="00D5404F"/>
    <w:rsid w:val="00D55462"/>
    <w:rsid w:val="00D5555C"/>
    <w:rsid w:val="00D56098"/>
    <w:rsid w:val="00D5724A"/>
    <w:rsid w:val="00D57DA4"/>
    <w:rsid w:val="00D6209C"/>
    <w:rsid w:val="00D62245"/>
    <w:rsid w:val="00D63080"/>
    <w:rsid w:val="00D635D6"/>
    <w:rsid w:val="00D643DB"/>
    <w:rsid w:val="00D64FE6"/>
    <w:rsid w:val="00D6616E"/>
    <w:rsid w:val="00D7039F"/>
    <w:rsid w:val="00D7073E"/>
    <w:rsid w:val="00D718B6"/>
    <w:rsid w:val="00D71AEE"/>
    <w:rsid w:val="00D71AF2"/>
    <w:rsid w:val="00D71DF3"/>
    <w:rsid w:val="00D720FF"/>
    <w:rsid w:val="00D72A45"/>
    <w:rsid w:val="00D73910"/>
    <w:rsid w:val="00D73C61"/>
    <w:rsid w:val="00D74A28"/>
    <w:rsid w:val="00D8143D"/>
    <w:rsid w:val="00D82521"/>
    <w:rsid w:val="00D83937"/>
    <w:rsid w:val="00D85DEA"/>
    <w:rsid w:val="00D8625F"/>
    <w:rsid w:val="00D86DED"/>
    <w:rsid w:val="00D874DD"/>
    <w:rsid w:val="00D87772"/>
    <w:rsid w:val="00D878A7"/>
    <w:rsid w:val="00D87B1E"/>
    <w:rsid w:val="00D90C5D"/>
    <w:rsid w:val="00D90E39"/>
    <w:rsid w:val="00D91026"/>
    <w:rsid w:val="00D91725"/>
    <w:rsid w:val="00D91F79"/>
    <w:rsid w:val="00D9319B"/>
    <w:rsid w:val="00D944D0"/>
    <w:rsid w:val="00D948A0"/>
    <w:rsid w:val="00D94B55"/>
    <w:rsid w:val="00D957F0"/>
    <w:rsid w:val="00D96AD3"/>
    <w:rsid w:val="00D96C8B"/>
    <w:rsid w:val="00DA1159"/>
    <w:rsid w:val="00DA1EDA"/>
    <w:rsid w:val="00DA261F"/>
    <w:rsid w:val="00DA273B"/>
    <w:rsid w:val="00DA2A36"/>
    <w:rsid w:val="00DA2B86"/>
    <w:rsid w:val="00DA3B6F"/>
    <w:rsid w:val="00DA4C37"/>
    <w:rsid w:val="00DA5308"/>
    <w:rsid w:val="00DA62E1"/>
    <w:rsid w:val="00DB0292"/>
    <w:rsid w:val="00DB523A"/>
    <w:rsid w:val="00DB5D8E"/>
    <w:rsid w:val="00DB5FAA"/>
    <w:rsid w:val="00DB6A29"/>
    <w:rsid w:val="00DC00ED"/>
    <w:rsid w:val="00DC045B"/>
    <w:rsid w:val="00DC0CFD"/>
    <w:rsid w:val="00DC1094"/>
    <w:rsid w:val="00DC10F2"/>
    <w:rsid w:val="00DC12D5"/>
    <w:rsid w:val="00DC32E5"/>
    <w:rsid w:val="00DC4853"/>
    <w:rsid w:val="00DC536A"/>
    <w:rsid w:val="00DC5A41"/>
    <w:rsid w:val="00DC6632"/>
    <w:rsid w:val="00DC6C04"/>
    <w:rsid w:val="00DC6C20"/>
    <w:rsid w:val="00DC7195"/>
    <w:rsid w:val="00DC7691"/>
    <w:rsid w:val="00DC7749"/>
    <w:rsid w:val="00DD0565"/>
    <w:rsid w:val="00DD064E"/>
    <w:rsid w:val="00DD0944"/>
    <w:rsid w:val="00DD09D0"/>
    <w:rsid w:val="00DD1170"/>
    <w:rsid w:val="00DD1B30"/>
    <w:rsid w:val="00DD20F6"/>
    <w:rsid w:val="00DD23B1"/>
    <w:rsid w:val="00DD2C94"/>
    <w:rsid w:val="00DD5172"/>
    <w:rsid w:val="00DD5ED1"/>
    <w:rsid w:val="00DD6ECC"/>
    <w:rsid w:val="00DD6F5F"/>
    <w:rsid w:val="00DE0018"/>
    <w:rsid w:val="00DE09E2"/>
    <w:rsid w:val="00DE1078"/>
    <w:rsid w:val="00DE196F"/>
    <w:rsid w:val="00DE1C6E"/>
    <w:rsid w:val="00DE21E6"/>
    <w:rsid w:val="00DE27A3"/>
    <w:rsid w:val="00DE3134"/>
    <w:rsid w:val="00DE3440"/>
    <w:rsid w:val="00DE3805"/>
    <w:rsid w:val="00DE3E3B"/>
    <w:rsid w:val="00DE59EF"/>
    <w:rsid w:val="00DE689D"/>
    <w:rsid w:val="00DE6FF6"/>
    <w:rsid w:val="00DE7143"/>
    <w:rsid w:val="00DE73D2"/>
    <w:rsid w:val="00DE7BA9"/>
    <w:rsid w:val="00DF0A53"/>
    <w:rsid w:val="00DF0F8E"/>
    <w:rsid w:val="00DF28E8"/>
    <w:rsid w:val="00DF2D41"/>
    <w:rsid w:val="00DF3094"/>
    <w:rsid w:val="00DF48CB"/>
    <w:rsid w:val="00DF5CF1"/>
    <w:rsid w:val="00DF66D5"/>
    <w:rsid w:val="00DF6BDF"/>
    <w:rsid w:val="00DF6CFC"/>
    <w:rsid w:val="00DF7112"/>
    <w:rsid w:val="00E00CE0"/>
    <w:rsid w:val="00E00F35"/>
    <w:rsid w:val="00E01CE8"/>
    <w:rsid w:val="00E02BE8"/>
    <w:rsid w:val="00E03A27"/>
    <w:rsid w:val="00E04ACB"/>
    <w:rsid w:val="00E04CD9"/>
    <w:rsid w:val="00E05331"/>
    <w:rsid w:val="00E0679F"/>
    <w:rsid w:val="00E067FD"/>
    <w:rsid w:val="00E11547"/>
    <w:rsid w:val="00E12300"/>
    <w:rsid w:val="00E12951"/>
    <w:rsid w:val="00E12B6A"/>
    <w:rsid w:val="00E13ED6"/>
    <w:rsid w:val="00E14001"/>
    <w:rsid w:val="00E144BA"/>
    <w:rsid w:val="00E14B9D"/>
    <w:rsid w:val="00E14EAD"/>
    <w:rsid w:val="00E150A4"/>
    <w:rsid w:val="00E15A4B"/>
    <w:rsid w:val="00E17130"/>
    <w:rsid w:val="00E2026E"/>
    <w:rsid w:val="00E210F9"/>
    <w:rsid w:val="00E212D5"/>
    <w:rsid w:val="00E21954"/>
    <w:rsid w:val="00E22140"/>
    <w:rsid w:val="00E2293E"/>
    <w:rsid w:val="00E229B2"/>
    <w:rsid w:val="00E272C6"/>
    <w:rsid w:val="00E30510"/>
    <w:rsid w:val="00E306A1"/>
    <w:rsid w:val="00E30A48"/>
    <w:rsid w:val="00E31CDF"/>
    <w:rsid w:val="00E32BBA"/>
    <w:rsid w:val="00E32EDC"/>
    <w:rsid w:val="00E32FC8"/>
    <w:rsid w:val="00E33430"/>
    <w:rsid w:val="00E341C6"/>
    <w:rsid w:val="00E34BAA"/>
    <w:rsid w:val="00E35329"/>
    <w:rsid w:val="00E35C16"/>
    <w:rsid w:val="00E36025"/>
    <w:rsid w:val="00E3626F"/>
    <w:rsid w:val="00E3787B"/>
    <w:rsid w:val="00E4059B"/>
    <w:rsid w:val="00E417E3"/>
    <w:rsid w:val="00E42BE4"/>
    <w:rsid w:val="00E42CB4"/>
    <w:rsid w:val="00E4382C"/>
    <w:rsid w:val="00E43A17"/>
    <w:rsid w:val="00E447D1"/>
    <w:rsid w:val="00E464EE"/>
    <w:rsid w:val="00E46887"/>
    <w:rsid w:val="00E47CFE"/>
    <w:rsid w:val="00E50C6E"/>
    <w:rsid w:val="00E51F95"/>
    <w:rsid w:val="00E5222E"/>
    <w:rsid w:val="00E52794"/>
    <w:rsid w:val="00E52FF4"/>
    <w:rsid w:val="00E53267"/>
    <w:rsid w:val="00E53697"/>
    <w:rsid w:val="00E53C7B"/>
    <w:rsid w:val="00E55018"/>
    <w:rsid w:val="00E55C35"/>
    <w:rsid w:val="00E55D66"/>
    <w:rsid w:val="00E5636B"/>
    <w:rsid w:val="00E57FEF"/>
    <w:rsid w:val="00E61103"/>
    <w:rsid w:val="00E62443"/>
    <w:rsid w:val="00E62C8F"/>
    <w:rsid w:val="00E639E5"/>
    <w:rsid w:val="00E651D4"/>
    <w:rsid w:val="00E656F5"/>
    <w:rsid w:val="00E65A2D"/>
    <w:rsid w:val="00E66F3D"/>
    <w:rsid w:val="00E679BC"/>
    <w:rsid w:val="00E679D8"/>
    <w:rsid w:val="00E701A4"/>
    <w:rsid w:val="00E70206"/>
    <w:rsid w:val="00E716F8"/>
    <w:rsid w:val="00E71F29"/>
    <w:rsid w:val="00E725AF"/>
    <w:rsid w:val="00E727A6"/>
    <w:rsid w:val="00E72A6C"/>
    <w:rsid w:val="00E72B74"/>
    <w:rsid w:val="00E72C2A"/>
    <w:rsid w:val="00E735F5"/>
    <w:rsid w:val="00E73FB6"/>
    <w:rsid w:val="00E753D2"/>
    <w:rsid w:val="00E7576F"/>
    <w:rsid w:val="00E75ADD"/>
    <w:rsid w:val="00E76ECB"/>
    <w:rsid w:val="00E7735E"/>
    <w:rsid w:val="00E80474"/>
    <w:rsid w:val="00E81263"/>
    <w:rsid w:val="00E8158B"/>
    <w:rsid w:val="00E8229E"/>
    <w:rsid w:val="00E824A6"/>
    <w:rsid w:val="00E83306"/>
    <w:rsid w:val="00E8535F"/>
    <w:rsid w:val="00E86722"/>
    <w:rsid w:val="00E86725"/>
    <w:rsid w:val="00E904D9"/>
    <w:rsid w:val="00E91783"/>
    <w:rsid w:val="00E91C2C"/>
    <w:rsid w:val="00E91ECD"/>
    <w:rsid w:val="00E92200"/>
    <w:rsid w:val="00E927AD"/>
    <w:rsid w:val="00E92B57"/>
    <w:rsid w:val="00E9326F"/>
    <w:rsid w:val="00E9570F"/>
    <w:rsid w:val="00E95F13"/>
    <w:rsid w:val="00E9658B"/>
    <w:rsid w:val="00E965D5"/>
    <w:rsid w:val="00E9745C"/>
    <w:rsid w:val="00E97C9A"/>
    <w:rsid w:val="00E97D5E"/>
    <w:rsid w:val="00E97D90"/>
    <w:rsid w:val="00EA0551"/>
    <w:rsid w:val="00EA1376"/>
    <w:rsid w:val="00EA1972"/>
    <w:rsid w:val="00EA2217"/>
    <w:rsid w:val="00EA4D41"/>
    <w:rsid w:val="00EA5803"/>
    <w:rsid w:val="00EA5B29"/>
    <w:rsid w:val="00EA7594"/>
    <w:rsid w:val="00EB025C"/>
    <w:rsid w:val="00EB1602"/>
    <w:rsid w:val="00EB19B4"/>
    <w:rsid w:val="00EB1CB6"/>
    <w:rsid w:val="00EB1ECE"/>
    <w:rsid w:val="00EB25F5"/>
    <w:rsid w:val="00EB2D33"/>
    <w:rsid w:val="00EB4AE3"/>
    <w:rsid w:val="00EB4F44"/>
    <w:rsid w:val="00EB50E8"/>
    <w:rsid w:val="00EB58BC"/>
    <w:rsid w:val="00EB5CD7"/>
    <w:rsid w:val="00EB64BC"/>
    <w:rsid w:val="00EB79DC"/>
    <w:rsid w:val="00EC15ED"/>
    <w:rsid w:val="00EC3356"/>
    <w:rsid w:val="00EC339D"/>
    <w:rsid w:val="00EC3D4B"/>
    <w:rsid w:val="00EC4215"/>
    <w:rsid w:val="00EC66A2"/>
    <w:rsid w:val="00EC741D"/>
    <w:rsid w:val="00ED0DEF"/>
    <w:rsid w:val="00ED13BC"/>
    <w:rsid w:val="00ED1A46"/>
    <w:rsid w:val="00ED1C19"/>
    <w:rsid w:val="00ED23C6"/>
    <w:rsid w:val="00ED3165"/>
    <w:rsid w:val="00ED5A61"/>
    <w:rsid w:val="00ED5CDD"/>
    <w:rsid w:val="00ED6611"/>
    <w:rsid w:val="00ED70B0"/>
    <w:rsid w:val="00ED7441"/>
    <w:rsid w:val="00ED7531"/>
    <w:rsid w:val="00ED7646"/>
    <w:rsid w:val="00ED7744"/>
    <w:rsid w:val="00ED7773"/>
    <w:rsid w:val="00ED7C19"/>
    <w:rsid w:val="00EE0872"/>
    <w:rsid w:val="00EE0A97"/>
    <w:rsid w:val="00EE10A1"/>
    <w:rsid w:val="00EE19E2"/>
    <w:rsid w:val="00EE1A1F"/>
    <w:rsid w:val="00EE27DE"/>
    <w:rsid w:val="00EE4636"/>
    <w:rsid w:val="00EE4B69"/>
    <w:rsid w:val="00EE5B1B"/>
    <w:rsid w:val="00EE6872"/>
    <w:rsid w:val="00EE6E83"/>
    <w:rsid w:val="00EE72DC"/>
    <w:rsid w:val="00EF0675"/>
    <w:rsid w:val="00EF0E59"/>
    <w:rsid w:val="00EF2D5A"/>
    <w:rsid w:val="00EF3356"/>
    <w:rsid w:val="00EF3B98"/>
    <w:rsid w:val="00EF4247"/>
    <w:rsid w:val="00EF649A"/>
    <w:rsid w:val="00EF71B2"/>
    <w:rsid w:val="00F00170"/>
    <w:rsid w:val="00F00D5C"/>
    <w:rsid w:val="00F01817"/>
    <w:rsid w:val="00F01DEA"/>
    <w:rsid w:val="00F01EF8"/>
    <w:rsid w:val="00F01F5F"/>
    <w:rsid w:val="00F02434"/>
    <w:rsid w:val="00F03B61"/>
    <w:rsid w:val="00F048A9"/>
    <w:rsid w:val="00F06324"/>
    <w:rsid w:val="00F0677C"/>
    <w:rsid w:val="00F0677F"/>
    <w:rsid w:val="00F069D3"/>
    <w:rsid w:val="00F10026"/>
    <w:rsid w:val="00F10AF4"/>
    <w:rsid w:val="00F1174B"/>
    <w:rsid w:val="00F11A0E"/>
    <w:rsid w:val="00F11CD2"/>
    <w:rsid w:val="00F11F3D"/>
    <w:rsid w:val="00F124DF"/>
    <w:rsid w:val="00F12FFB"/>
    <w:rsid w:val="00F130A3"/>
    <w:rsid w:val="00F14DA3"/>
    <w:rsid w:val="00F14EF6"/>
    <w:rsid w:val="00F16362"/>
    <w:rsid w:val="00F16A88"/>
    <w:rsid w:val="00F17489"/>
    <w:rsid w:val="00F20272"/>
    <w:rsid w:val="00F20408"/>
    <w:rsid w:val="00F2301A"/>
    <w:rsid w:val="00F23A6F"/>
    <w:rsid w:val="00F23F46"/>
    <w:rsid w:val="00F27B1B"/>
    <w:rsid w:val="00F3026B"/>
    <w:rsid w:val="00F30445"/>
    <w:rsid w:val="00F3065F"/>
    <w:rsid w:val="00F30BDD"/>
    <w:rsid w:val="00F314F2"/>
    <w:rsid w:val="00F31C74"/>
    <w:rsid w:val="00F31ED6"/>
    <w:rsid w:val="00F328DC"/>
    <w:rsid w:val="00F345BD"/>
    <w:rsid w:val="00F34618"/>
    <w:rsid w:val="00F3535E"/>
    <w:rsid w:val="00F357C2"/>
    <w:rsid w:val="00F37851"/>
    <w:rsid w:val="00F4011D"/>
    <w:rsid w:val="00F41AEC"/>
    <w:rsid w:val="00F427CC"/>
    <w:rsid w:val="00F42805"/>
    <w:rsid w:val="00F45079"/>
    <w:rsid w:val="00F47234"/>
    <w:rsid w:val="00F47867"/>
    <w:rsid w:val="00F478D3"/>
    <w:rsid w:val="00F47900"/>
    <w:rsid w:val="00F47E75"/>
    <w:rsid w:val="00F50702"/>
    <w:rsid w:val="00F507CC"/>
    <w:rsid w:val="00F51190"/>
    <w:rsid w:val="00F51650"/>
    <w:rsid w:val="00F5172B"/>
    <w:rsid w:val="00F5348E"/>
    <w:rsid w:val="00F54169"/>
    <w:rsid w:val="00F55172"/>
    <w:rsid w:val="00F554EB"/>
    <w:rsid w:val="00F56428"/>
    <w:rsid w:val="00F56839"/>
    <w:rsid w:val="00F60595"/>
    <w:rsid w:val="00F60625"/>
    <w:rsid w:val="00F607C8"/>
    <w:rsid w:val="00F6150C"/>
    <w:rsid w:val="00F61892"/>
    <w:rsid w:val="00F61A0B"/>
    <w:rsid w:val="00F61D8F"/>
    <w:rsid w:val="00F62276"/>
    <w:rsid w:val="00F63439"/>
    <w:rsid w:val="00F63D33"/>
    <w:rsid w:val="00F63D6C"/>
    <w:rsid w:val="00F641F4"/>
    <w:rsid w:val="00F64215"/>
    <w:rsid w:val="00F64B2F"/>
    <w:rsid w:val="00F657F0"/>
    <w:rsid w:val="00F65FCA"/>
    <w:rsid w:val="00F661FC"/>
    <w:rsid w:val="00F70079"/>
    <w:rsid w:val="00F70290"/>
    <w:rsid w:val="00F71AB8"/>
    <w:rsid w:val="00F722B4"/>
    <w:rsid w:val="00F7256A"/>
    <w:rsid w:val="00F725EF"/>
    <w:rsid w:val="00F72B7F"/>
    <w:rsid w:val="00F731F3"/>
    <w:rsid w:val="00F74A38"/>
    <w:rsid w:val="00F74FFC"/>
    <w:rsid w:val="00F751C2"/>
    <w:rsid w:val="00F767C0"/>
    <w:rsid w:val="00F8257A"/>
    <w:rsid w:val="00F82709"/>
    <w:rsid w:val="00F82B81"/>
    <w:rsid w:val="00F830E0"/>
    <w:rsid w:val="00F83414"/>
    <w:rsid w:val="00F83712"/>
    <w:rsid w:val="00F83773"/>
    <w:rsid w:val="00F8495C"/>
    <w:rsid w:val="00F84EA5"/>
    <w:rsid w:val="00F85967"/>
    <w:rsid w:val="00F86826"/>
    <w:rsid w:val="00F86D07"/>
    <w:rsid w:val="00F875D2"/>
    <w:rsid w:val="00F87614"/>
    <w:rsid w:val="00F87B08"/>
    <w:rsid w:val="00F90D8B"/>
    <w:rsid w:val="00F911CB"/>
    <w:rsid w:val="00F9187C"/>
    <w:rsid w:val="00F91BE8"/>
    <w:rsid w:val="00F92042"/>
    <w:rsid w:val="00F9264A"/>
    <w:rsid w:val="00F936C4"/>
    <w:rsid w:val="00F93C94"/>
    <w:rsid w:val="00F9541D"/>
    <w:rsid w:val="00F9638D"/>
    <w:rsid w:val="00F97065"/>
    <w:rsid w:val="00FA146D"/>
    <w:rsid w:val="00FA1FB4"/>
    <w:rsid w:val="00FA2776"/>
    <w:rsid w:val="00FA2BEC"/>
    <w:rsid w:val="00FA3FC1"/>
    <w:rsid w:val="00FA45C0"/>
    <w:rsid w:val="00FA5589"/>
    <w:rsid w:val="00FA6F86"/>
    <w:rsid w:val="00FB057F"/>
    <w:rsid w:val="00FB0E26"/>
    <w:rsid w:val="00FB1047"/>
    <w:rsid w:val="00FB107F"/>
    <w:rsid w:val="00FB29E5"/>
    <w:rsid w:val="00FB513B"/>
    <w:rsid w:val="00FB6742"/>
    <w:rsid w:val="00FB69BA"/>
    <w:rsid w:val="00FB779C"/>
    <w:rsid w:val="00FC0AF4"/>
    <w:rsid w:val="00FC1723"/>
    <w:rsid w:val="00FC1A38"/>
    <w:rsid w:val="00FC1A5C"/>
    <w:rsid w:val="00FC2C0F"/>
    <w:rsid w:val="00FC3770"/>
    <w:rsid w:val="00FC3B84"/>
    <w:rsid w:val="00FC3BF1"/>
    <w:rsid w:val="00FC3F4D"/>
    <w:rsid w:val="00FC3FE2"/>
    <w:rsid w:val="00FC485B"/>
    <w:rsid w:val="00FC4961"/>
    <w:rsid w:val="00FC49CC"/>
    <w:rsid w:val="00FC60C1"/>
    <w:rsid w:val="00FC648D"/>
    <w:rsid w:val="00FC67E0"/>
    <w:rsid w:val="00FC6852"/>
    <w:rsid w:val="00FC6B7A"/>
    <w:rsid w:val="00FC6ED1"/>
    <w:rsid w:val="00FC756E"/>
    <w:rsid w:val="00FC7AA0"/>
    <w:rsid w:val="00FC7D30"/>
    <w:rsid w:val="00FD19A6"/>
    <w:rsid w:val="00FD1B95"/>
    <w:rsid w:val="00FD1DEE"/>
    <w:rsid w:val="00FD1F4F"/>
    <w:rsid w:val="00FD216B"/>
    <w:rsid w:val="00FD2B20"/>
    <w:rsid w:val="00FD30B4"/>
    <w:rsid w:val="00FD3F99"/>
    <w:rsid w:val="00FD400C"/>
    <w:rsid w:val="00FD4358"/>
    <w:rsid w:val="00FD4D0E"/>
    <w:rsid w:val="00FD54F1"/>
    <w:rsid w:val="00FD574A"/>
    <w:rsid w:val="00FD6AA6"/>
    <w:rsid w:val="00FD6BA1"/>
    <w:rsid w:val="00FD6E0B"/>
    <w:rsid w:val="00FD6E24"/>
    <w:rsid w:val="00FD7812"/>
    <w:rsid w:val="00FE0D92"/>
    <w:rsid w:val="00FE11E6"/>
    <w:rsid w:val="00FE21AF"/>
    <w:rsid w:val="00FE21D3"/>
    <w:rsid w:val="00FE24C2"/>
    <w:rsid w:val="00FE26A2"/>
    <w:rsid w:val="00FE26D8"/>
    <w:rsid w:val="00FE2F21"/>
    <w:rsid w:val="00FE319C"/>
    <w:rsid w:val="00FE4758"/>
    <w:rsid w:val="00FE4AD3"/>
    <w:rsid w:val="00FE4E1B"/>
    <w:rsid w:val="00FE61B4"/>
    <w:rsid w:val="00FE6BF6"/>
    <w:rsid w:val="00FF0973"/>
    <w:rsid w:val="00FF25BB"/>
    <w:rsid w:val="00FF30D9"/>
    <w:rsid w:val="00FF4BF8"/>
    <w:rsid w:val="00FF4F51"/>
    <w:rsid w:val="00FF5F6C"/>
    <w:rsid w:val="00FF6A21"/>
    <w:rsid w:val="00FF779F"/>
    <w:rsid w:val="01B1A3E3"/>
    <w:rsid w:val="025317FA"/>
    <w:rsid w:val="0A3F4006"/>
    <w:rsid w:val="0FEA1E16"/>
    <w:rsid w:val="158DED55"/>
    <w:rsid w:val="170BF0BF"/>
    <w:rsid w:val="1AF03693"/>
    <w:rsid w:val="1BF765E7"/>
    <w:rsid w:val="1D26F11D"/>
    <w:rsid w:val="1DEFCC95"/>
    <w:rsid w:val="1FC56168"/>
    <w:rsid w:val="218822D4"/>
    <w:rsid w:val="2210383C"/>
    <w:rsid w:val="22AE5A66"/>
    <w:rsid w:val="236FC0DD"/>
    <w:rsid w:val="2378BCBF"/>
    <w:rsid w:val="239CB74F"/>
    <w:rsid w:val="23C209CC"/>
    <w:rsid w:val="2641251C"/>
    <w:rsid w:val="29A97673"/>
    <w:rsid w:val="2A1899A8"/>
    <w:rsid w:val="2A814B60"/>
    <w:rsid w:val="2B8201C1"/>
    <w:rsid w:val="2DB0C7AE"/>
    <w:rsid w:val="2F5DBF75"/>
    <w:rsid w:val="30EC415E"/>
    <w:rsid w:val="32C1F4F5"/>
    <w:rsid w:val="34B57D1B"/>
    <w:rsid w:val="378EEB66"/>
    <w:rsid w:val="3BDD932F"/>
    <w:rsid w:val="3E2DFF01"/>
    <w:rsid w:val="3FBBDC7C"/>
    <w:rsid w:val="46F996B0"/>
    <w:rsid w:val="4927B1B4"/>
    <w:rsid w:val="49346279"/>
    <w:rsid w:val="4C2E758B"/>
    <w:rsid w:val="52DDE12B"/>
    <w:rsid w:val="5376C8A6"/>
    <w:rsid w:val="5497796B"/>
    <w:rsid w:val="549FF7EE"/>
    <w:rsid w:val="550563B4"/>
    <w:rsid w:val="5773E9BE"/>
    <w:rsid w:val="59763630"/>
    <w:rsid w:val="59D098D5"/>
    <w:rsid w:val="5A7650FC"/>
    <w:rsid w:val="5B3471A7"/>
    <w:rsid w:val="5B63D02B"/>
    <w:rsid w:val="5CB3B931"/>
    <w:rsid w:val="5DD50885"/>
    <w:rsid w:val="5E07EDBD"/>
    <w:rsid w:val="614C7DD0"/>
    <w:rsid w:val="621CB250"/>
    <w:rsid w:val="646366B3"/>
    <w:rsid w:val="660A280B"/>
    <w:rsid w:val="682C323C"/>
    <w:rsid w:val="68458C6F"/>
    <w:rsid w:val="6877726F"/>
    <w:rsid w:val="6AA94C19"/>
    <w:rsid w:val="7188EE77"/>
    <w:rsid w:val="769B8D97"/>
    <w:rsid w:val="78D5A0E5"/>
    <w:rsid w:val="7BFA5276"/>
    <w:rsid w:val="7E2323B7"/>
    <w:rsid w:val="7EC835B1"/>
    <w:rsid w:val="7EEF927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C132C0"/>
  <w15:docId w15:val="{7503AAB7-DAF6-4DB6-9A4C-AFBE304B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2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C2A"/>
    <w:pPr>
      <w:ind w:left="720"/>
      <w:contextualSpacing/>
    </w:pPr>
  </w:style>
  <w:style w:type="character" w:styleId="Hyperlink">
    <w:name w:val="Hyperlink"/>
    <w:basedOn w:val="DefaultParagraphFont"/>
    <w:uiPriority w:val="99"/>
    <w:unhideWhenUsed/>
    <w:rsid w:val="00811ECD"/>
    <w:rPr>
      <w:color w:val="0000FF" w:themeColor="hyperlink"/>
      <w:u w:val="single"/>
    </w:rPr>
  </w:style>
  <w:style w:type="paragraph" w:styleId="BalloonText">
    <w:name w:val="Balloon Text"/>
    <w:basedOn w:val="Normal"/>
    <w:link w:val="BalloonTextChar"/>
    <w:uiPriority w:val="99"/>
    <w:semiHidden/>
    <w:unhideWhenUsed/>
    <w:rsid w:val="008A3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778"/>
    <w:rPr>
      <w:rFonts w:ascii="Tahoma" w:hAnsi="Tahoma" w:cs="Tahoma"/>
      <w:sz w:val="16"/>
      <w:szCs w:val="16"/>
    </w:rPr>
  </w:style>
  <w:style w:type="character" w:styleId="FollowedHyperlink">
    <w:name w:val="FollowedHyperlink"/>
    <w:basedOn w:val="DefaultParagraphFont"/>
    <w:uiPriority w:val="99"/>
    <w:semiHidden/>
    <w:unhideWhenUsed/>
    <w:rsid w:val="00B00D52"/>
    <w:rPr>
      <w:color w:val="800080" w:themeColor="followedHyperlink"/>
      <w:u w:val="single"/>
    </w:rPr>
  </w:style>
  <w:style w:type="paragraph" w:styleId="Header">
    <w:name w:val="header"/>
    <w:basedOn w:val="Normal"/>
    <w:link w:val="HeaderChar1"/>
    <w:rsid w:val="00BB0884"/>
    <w:pPr>
      <w:tabs>
        <w:tab w:val="center" w:pos="4320"/>
        <w:tab w:val="right" w:pos="8640"/>
      </w:tabs>
      <w:spacing w:after="120" w:line="240" w:lineRule="auto"/>
      <w:jc w:val="both"/>
    </w:pPr>
    <w:rPr>
      <w:rFonts w:ascii="Times New Roman" w:eastAsia="Times New Roman" w:hAnsi="Times New Roman" w:cs="Times New Roman"/>
      <w:sz w:val="24"/>
      <w:szCs w:val="20"/>
      <w:lang w:val="en-US"/>
    </w:rPr>
  </w:style>
  <w:style w:type="character" w:customStyle="1" w:styleId="HeaderChar">
    <w:name w:val="Header Char"/>
    <w:basedOn w:val="DefaultParagraphFont"/>
    <w:uiPriority w:val="99"/>
    <w:semiHidden/>
    <w:rsid w:val="00BB0884"/>
  </w:style>
  <w:style w:type="character" w:customStyle="1" w:styleId="HeaderChar1">
    <w:name w:val="Header Char1"/>
    <w:link w:val="Header"/>
    <w:locked/>
    <w:rsid w:val="00BB0884"/>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28316F"/>
    <w:rPr>
      <w:sz w:val="16"/>
      <w:szCs w:val="16"/>
    </w:rPr>
  </w:style>
  <w:style w:type="paragraph" w:styleId="CommentText">
    <w:name w:val="annotation text"/>
    <w:basedOn w:val="Normal"/>
    <w:link w:val="CommentTextChar"/>
    <w:uiPriority w:val="99"/>
    <w:semiHidden/>
    <w:unhideWhenUsed/>
    <w:rsid w:val="0028316F"/>
    <w:pPr>
      <w:spacing w:line="240" w:lineRule="auto"/>
    </w:pPr>
    <w:rPr>
      <w:sz w:val="20"/>
      <w:szCs w:val="20"/>
    </w:rPr>
  </w:style>
  <w:style w:type="character" w:customStyle="1" w:styleId="CommentTextChar">
    <w:name w:val="Comment Text Char"/>
    <w:basedOn w:val="DefaultParagraphFont"/>
    <w:link w:val="CommentText"/>
    <w:uiPriority w:val="99"/>
    <w:semiHidden/>
    <w:rsid w:val="0028316F"/>
    <w:rPr>
      <w:sz w:val="20"/>
      <w:szCs w:val="20"/>
    </w:rPr>
  </w:style>
  <w:style w:type="paragraph" w:styleId="CommentSubject">
    <w:name w:val="annotation subject"/>
    <w:basedOn w:val="CommentText"/>
    <w:next w:val="CommentText"/>
    <w:link w:val="CommentSubjectChar"/>
    <w:uiPriority w:val="99"/>
    <w:semiHidden/>
    <w:unhideWhenUsed/>
    <w:rsid w:val="0028316F"/>
    <w:rPr>
      <w:b/>
      <w:bCs/>
    </w:rPr>
  </w:style>
  <w:style w:type="character" w:customStyle="1" w:styleId="CommentSubjectChar">
    <w:name w:val="Comment Subject Char"/>
    <w:basedOn w:val="CommentTextChar"/>
    <w:link w:val="CommentSubject"/>
    <w:uiPriority w:val="99"/>
    <w:semiHidden/>
    <w:rsid w:val="0028316F"/>
    <w:rPr>
      <w:b/>
      <w:bCs/>
      <w:sz w:val="20"/>
      <w:szCs w:val="20"/>
    </w:rPr>
  </w:style>
  <w:style w:type="character" w:customStyle="1" w:styleId="apple-converted-space">
    <w:name w:val="apple-converted-space"/>
    <w:basedOn w:val="DefaultParagraphFont"/>
    <w:rsid w:val="00086350"/>
  </w:style>
  <w:style w:type="paragraph" w:styleId="Footer">
    <w:name w:val="footer"/>
    <w:basedOn w:val="Normal"/>
    <w:link w:val="FooterChar"/>
    <w:uiPriority w:val="99"/>
    <w:unhideWhenUsed/>
    <w:rsid w:val="006558C1"/>
    <w:pPr>
      <w:tabs>
        <w:tab w:val="center" w:pos="4320"/>
        <w:tab w:val="right" w:pos="8640"/>
      </w:tabs>
      <w:spacing w:after="0" w:line="240" w:lineRule="auto"/>
    </w:pPr>
  </w:style>
  <w:style w:type="character" w:customStyle="1" w:styleId="FooterChar">
    <w:name w:val="Footer Char"/>
    <w:basedOn w:val="DefaultParagraphFont"/>
    <w:link w:val="Footer"/>
    <w:uiPriority w:val="99"/>
    <w:rsid w:val="006558C1"/>
  </w:style>
  <w:style w:type="paragraph" w:styleId="Revision">
    <w:name w:val="Revision"/>
    <w:hidden/>
    <w:uiPriority w:val="99"/>
    <w:semiHidden/>
    <w:rsid w:val="00111341"/>
    <w:pPr>
      <w:spacing w:after="0" w:line="240" w:lineRule="auto"/>
    </w:pPr>
  </w:style>
  <w:style w:type="paragraph" w:styleId="NormalWeb">
    <w:name w:val="Normal (Web)"/>
    <w:basedOn w:val="Normal"/>
    <w:uiPriority w:val="99"/>
    <w:rsid w:val="00536A05"/>
    <w:pPr>
      <w:suppressAutoHyphens/>
      <w:spacing w:before="280" w:after="280" w:line="240" w:lineRule="auto"/>
    </w:pPr>
    <w:rPr>
      <w:rFonts w:ascii="Times New Roman" w:eastAsia="Calibri" w:hAnsi="Times New Roman" w:cs="Times New Roman"/>
      <w:sz w:val="24"/>
      <w:szCs w:val="24"/>
      <w:lang w:eastAsia="zh-CN"/>
    </w:rPr>
  </w:style>
  <w:style w:type="paragraph" w:styleId="FootnoteText">
    <w:name w:val="footnote text"/>
    <w:basedOn w:val="Normal"/>
    <w:link w:val="FootnoteTextChar"/>
    <w:uiPriority w:val="99"/>
    <w:unhideWhenUsed/>
    <w:rsid w:val="00314C3C"/>
    <w:pPr>
      <w:spacing w:after="0" w:line="240" w:lineRule="auto"/>
    </w:pPr>
    <w:rPr>
      <w:sz w:val="24"/>
      <w:szCs w:val="24"/>
    </w:rPr>
  </w:style>
  <w:style w:type="character" w:customStyle="1" w:styleId="FootnoteTextChar">
    <w:name w:val="Footnote Text Char"/>
    <w:basedOn w:val="DefaultParagraphFont"/>
    <w:link w:val="FootnoteText"/>
    <w:uiPriority w:val="99"/>
    <w:rsid w:val="00314C3C"/>
    <w:rPr>
      <w:sz w:val="24"/>
      <w:szCs w:val="24"/>
    </w:rPr>
  </w:style>
  <w:style w:type="character" w:styleId="FootnoteReference">
    <w:name w:val="footnote reference"/>
    <w:basedOn w:val="DefaultParagraphFont"/>
    <w:uiPriority w:val="99"/>
    <w:unhideWhenUsed/>
    <w:rsid w:val="00314C3C"/>
    <w:rPr>
      <w:vertAlign w:val="superscript"/>
    </w:rPr>
  </w:style>
  <w:style w:type="paragraph" w:customStyle="1" w:styleId="paragraph">
    <w:name w:val="paragraph"/>
    <w:basedOn w:val="Normal"/>
    <w:rsid w:val="00B7750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B77503"/>
  </w:style>
  <w:style w:type="character" w:customStyle="1" w:styleId="eop">
    <w:name w:val="eop"/>
    <w:basedOn w:val="DefaultParagraphFont"/>
    <w:rsid w:val="00B77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1536">
      <w:bodyDiv w:val="1"/>
      <w:marLeft w:val="0"/>
      <w:marRight w:val="0"/>
      <w:marTop w:val="0"/>
      <w:marBottom w:val="0"/>
      <w:divBdr>
        <w:top w:val="none" w:sz="0" w:space="0" w:color="auto"/>
        <w:left w:val="none" w:sz="0" w:space="0" w:color="auto"/>
        <w:bottom w:val="none" w:sz="0" w:space="0" w:color="auto"/>
        <w:right w:val="none" w:sz="0" w:space="0" w:color="auto"/>
      </w:divBdr>
    </w:div>
    <w:div w:id="44379113">
      <w:bodyDiv w:val="1"/>
      <w:marLeft w:val="0"/>
      <w:marRight w:val="0"/>
      <w:marTop w:val="0"/>
      <w:marBottom w:val="0"/>
      <w:divBdr>
        <w:top w:val="none" w:sz="0" w:space="0" w:color="auto"/>
        <w:left w:val="none" w:sz="0" w:space="0" w:color="auto"/>
        <w:bottom w:val="none" w:sz="0" w:space="0" w:color="auto"/>
        <w:right w:val="none" w:sz="0" w:space="0" w:color="auto"/>
      </w:divBdr>
    </w:div>
    <w:div w:id="368457322">
      <w:bodyDiv w:val="1"/>
      <w:marLeft w:val="0"/>
      <w:marRight w:val="0"/>
      <w:marTop w:val="0"/>
      <w:marBottom w:val="0"/>
      <w:divBdr>
        <w:top w:val="none" w:sz="0" w:space="0" w:color="auto"/>
        <w:left w:val="none" w:sz="0" w:space="0" w:color="auto"/>
        <w:bottom w:val="none" w:sz="0" w:space="0" w:color="auto"/>
        <w:right w:val="none" w:sz="0" w:space="0" w:color="auto"/>
      </w:divBdr>
    </w:div>
    <w:div w:id="494995109">
      <w:bodyDiv w:val="1"/>
      <w:marLeft w:val="0"/>
      <w:marRight w:val="0"/>
      <w:marTop w:val="0"/>
      <w:marBottom w:val="0"/>
      <w:divBdr>
        <w:top w:val="none" w:sz="0" w:space="0" w:color="auto"/>
        <w:left w:val="none" w:sz="0" w:space="0" w:color="auto"/>
        <w:bottom w:val="none" w:sz="0" w:space="0" w:color="auto"/>
        <w:right w:val="none" w:sz="0" w:space="0" w:color="auto"/>
      </w:divBdr>
    </w:div>
    <w:div w:id="520627358">
      <w:bodyDiv w:val="1"/>
      <w:marLeft w:val="0"/>
      <w:marRight w:val="0"/>
      <w:marTop w:val="0"/>
      <w:marBottom w:val="0"/>
      <w:divBdr>
        <w:top w:val="none" w:sz="0" w:space="0" w:color="auto"/>
        <w:left w:val="none" w:sz="0" w:space="0" w:color="auto"/>
        <w:bottom w:val="none" w:sz="0" w:space="0" w:color="auto"/>
        <w:right w:val="none" w:sz="0" w:space="0" w:color="auto"/>
      </w:divBdr>
    </w:div>
    <w:div w:id="544871864">
      <w:bodyDiv w:val="1"/>
      <w:marLeft w:val="0"/>
      <w:marRight w:val="0"/>
      <w:marTop w:val="0"/>
      <w:marBottom w:val="0"/>
      <w:divBdr>
        <w:top w:val="none" w:sz="0" w:space="0" w:color="auto"/>
        <w:left w:val="none" w:sz="0" w:space="0" w:color="auto"/>
        <w:bottom w:val="none" w:sz="0" w:space="0" w:color="auto"/>
        <w:right w:val="none" w:sz="0" w:space="0" w:color="auto"/>
      </w:divBdr>
    </w:div>
    <w:div w:id="698354509">
      <w:bodyDiv w:val="1"/>
      <w:marLeft w:val="0"/>
      <w:marRight w:val="0"/>
      <w:marTop w:val="0"/>
      <w:marBottom w:val="0"/>
      <w:divBdr>
        <w:top w:val="none" w:sz="0" w:space="0" w:color="auto"/>
        <w:left w:val="none" w:sz="0" w:space="0" w:color="auto"/>
        <w:bottom w:val="none" w:sz="0" w:space="0" w:color="auto"/>
        <w:right w:val="none" w:sz="0" w:space="0" w:color="auto"/>
      </w:divBdr>
    </w:div>
    <w:div w:id="725372757">
      <w:bodyDiv w:val="1"/>
      <w:marLeft w:val="0"/>
      <w:marRight w:val="0"/>
      <w:marTop w:val="0"/>
      <w:marBottom w:val="0"/>
      <w:divBdr>
        <w:top w:val="none" w:sz="0" w:space="0" w:color="auto"/>
        <w:left w:val="none" w:sz="0" w:space="0" w:color="auto"/>
        <w:bottom w:val="none" w:sz="0" w:space="0" w:color="auto"/>
        <w:right w:val="none" w:sz="0" w:space="0" w:color="auto"/>
      </w:divBdr>
    </w:div>
    <w:div w:id="728654143">
      <w:bodyDiv w:val="1"/>
      <w:marLeft w:val="0"/>
      <w:marRight w:val="0"/>
      <w:marTop w:val="0"/>
      <w:marBottom w:val="0"/>
      <w:divBdr>
        <w:top w:val="none" w:sz="0" w:space="0" w:color="auto"/>
        <w:left w:val="none" w:sz="0" w:space="0" w:color="auto"/>
        <w:bottom w:val="none" w:sz="0" w:space="0" w:color="auto"/>
        <w:right w:val="none" w:sz="0" w:space="0" w:color="auto"/>
      </w:divBdr>
    </w:div>
    <w:div w:id="833184740">
      <w:bodyDiv w:val="1"/>
      <w:marLeft w:val="0"/>
      <w:marRight w:val="0"/>
      <w:marTop w:val="0"/>
      <w:marBottom w:val="0"/>
      <w:divBdr>
        <w:top w:val="none" w:sz="0" w:space="0" w:color="auto"/>
        <w:left w:val="none" w:sz="0" w:space="0" w:color="auto"/>
        <w:bottom w:val="none" w:sz="0" w:space="0" w:color="auto"/>
        <w:right w:val="none" w:sz="0" w:space="0" w:color="auto"/>
      </w:divBdr>
    </w:div>
    <w:div w:id="836726530">
      <w:bodyDiv w:val="1"/>
      <w:marLeft w:val="0"/>
      <w:marRight w:val="0"/>
      <w:marTop w:val="0"/>
      <w:marBottom w:val="0"/>
      <w:divBdr>
        <w:top w:val="none" w:sz="0" w:space="0" w:color="auto"/>
        <w:left w:val="none" w:sz="0" w:space="0" w:color="auto"/>
        <w:bottom w:val="none" w:sz="0" w:space="0" w:color="auto"/>
        <w:right w:val="none" w:sz="0" w:space="0" w:color="auto"/>
      </w:divBdr>
    </w:div>
    <w:div w:id="916402342">
      <w:bodyDiv w:val="1"/>
      <w:marLeft w:val="0"/>
      <w:marRight w:val="0"/>
      <w:marTop w:val="0"/>
      <w:marBottom w:val="0"/>
      <w:divBdr>
        <w:top w:val="none" w:sz="0" w:space="0" w:color="auto"/>
        <w:left w:val="none" w:sz="0" w:space="0" w:color="auto"/>
        <w:bottom w:val="none" w:sz="0" w:space="0" w:color="auto"/>
        <w:right w:val="none" w:sz="0" w:space="0" w:color="auto"/>
      </w:divBdr>
    </w:div>
    <w:div w:id="1149009000">
      <w:bodyDiv w:val="1"/>
      <w:marLeft w:val="0"/>
      <w:marRight w:val="0"/>
      <w:marTop w:val="0"/>
      <w:marBottom w:val="0"/>
      <w:divBdr>
        <w:top w:val="none" w:sz="0" w:space="0" w:color="auto"/>
        <w:left w:val="none" w:sz="0" w:space="0" w:color="auto"/>
        <w:bottom w:val="none" w:sz="0" w:space="0" w:color="auto"/>
        <w:right w:val="none" w:sz="0" w:space="0" w:color="auto"/>
      </w:divBdr>
      <w:divsChild>
        <w:div w:id="188420960">
          <w:marLeft w:val="0"/>
          <w:marRight w:val="0"/>
          <w:marTop w:val="0"/>
          <w:marBottom w:val="0"/>
          <w:divBdr>
            <w:top w:val="none" w:sz="0" w:space="0" w:color="auto"/>
            <w:left w:val="none" w:sz="0" w:space="0" w:color="auto"/>
            <w:bottom w:val="none" w:sz="0" w:space="0" w:color="auto"/>
            <w:right w:val="none" w:sz="0" w:space="0" w:color="auto"/>
          </w:divBdr>
        </w:div>
        <w:div w:id="1315715285">
          <w:marLeft w:val="0"/>
          <w:marRight w:val="0"/>
          <w:marTop w:val="0"/>
          <w:marBottom w:val="0"/>
          <w:divBdr>
            <w:top w:val="none" w:sz="0" w:space="0" w:color="auto"/>
            <w:left w:val="none" w:sz="0" w:space="0" w:color="auto"/>
            <w:bottom w:val="none" w:sz="0" w:space="0" w:color="auto"/>
            <w:right w:val="none" w:sz="0" w:space="0" w:color="auto"/>
          </w:divBdr>
        </w:div>
        <w:div w:id="1804616401">
          <w:marLeft w:val="0"/>
          <w:marRight w:val="0"/>
          <w:marTop w:val="0"/>
          <w:marBottom w:val="0"/>
          <w:divBdr>
            <w:top w:val="none" w:sz="0" w:space="0" w:color="auto"/>
            <w:left w:val="none" w:sz="0" w:space="0" w:color="auto"/>
            <w:bottom w:val="none" w:sz="0" w:space="0" w:color="auto"/>
            <w:right w:val="none" w:sz="0" w:space="0" w:color="auto"/>
          </w:divBdr>
        </w:div>
        <w:div w:id="1458448077">
          <w:marLeft w:val="0"/>
          <w:marRight w:val="0"/>
          <w:marTop w:val="0"/>
          <w:marBottom w:val="0"/>
          <w:divBdr>
            <w:top w:val="none" w:sz="0" w:space="0" w:color="auto"/>
            <w:left w:val="none" w:sz="0" w:space="0" w:color="auto"/>
            <w:bottom w:val="none" w:sz="0" w:space="0" w:color="auto"/>
            <w:right w:val="none" w:sz="0" w:space="0" w:color="auto"/>
          </w:divBdr>
        </w:div>
        <w:div w:id="667907082">
          <w:marLeft w:val="0"/>
          <w:marRight w:val="0"/>
          <w:marTop w:val="0"/>
          <w:marBottom w:val="0"/>
          <w:divBdr>
            <w:top w:val="none" w:sz="0" w:space="0" w:color="auto"/>
            <w:left w:val="none" w:sz="0" w:space="0" w:color="auto"/>
            <w:bottom w:val="none" w:sz="0" w:space="0" w:color="auto"/>
            <w:right w:val="none" w:sz="0" w:space="0" w:color="auto"/>
          </w:divBdr>
        </w:div>
      </w:divsChild>
    </w:div>
    <w:div w:id="1222786326">
      <w:bodyDiv w:val="1"/>
      <w:marLeft w:val="0"/>
      <w:marRight w:val="0"/>
      <w:marTop w:val="0"/>
      <w:marBottom w:val="0"/>
      <w:divBdr>
        <w:top w:val="none" w:sz="0" w:space="0" w:color="auto"/>
        <w:left w:val="none" w:sz="0" w:space="0" w:color="auto"/>
        <w:bottom w:val="none" w:sz="0" w:space="0" w:color="auto"/>
        <w:right w:val="none" w:sz="0" w:space="0" w:color="auto"/>
      </w:divBdr>
    </w:div>
    <w:div w:id="1377003061">
      <w:bodyDiv w:val="1"/>
      <w:marLeft w:val="0"/>
      <w:marRight w:val="0"/>
      <w:marTop w:val="0"/>
      <w:marBottom w:val="0"/>
      <w:divBdr>
        <w:top w:val="none" w:sz="0" w:space="0" w:color="auto"/>
        <w:left w:val="none" w:sz="0" w:space="0" w:color="auto"/>
        <w:bottom w:val="none" w:sz="0" w:space="0" w:color="auto"/>
        <w:right w:val="none" w:sz="0" w:space="0" w:color="auto"/>
      </w:divBdr>
    </w:div>
    <w:div w:id="1435251506">
      <w:bodyDiv w:val="1"/>
      <w:marLeft w:val="0"/>
      <w:marRight w:val="0"/>
      <w:marTop w:val="0"/>
      <w:marBottom w:val="0"/>
      <w:divBdr>
        <w:top w:val="none" w:sz="0" w:space="0" w:color="auto"/>
        <w:left w:val="none" w:sz="0" w:space="0" w:color="auto"/>
        <w:bottom w:val="none" w:sz="0" w:space="0" w:color="auto"/>
        <w:right w:val="none" w:sz="0" w:space="0" w:color="auto"/>
      </w:divBdr>
      <w:divsChild>
        <w:div w:id="1111434335">
          <w:marLeft w:val="0"/>
          <w:marRight w:val="0"/>
          <w:marTop w:val="0"/>
          <w:marBottom w:val="0"/>
          <w:divBdr>
            <w:top w:val="none" w:sz="0" w:space="0" w:color="auto"/>
            <w:left w:val="none" w:sz="0" w:space="0" w:color="auto"/>
            <w:bottom w:val="none" w:sz="0" w:space="0" w:color="auto"/>
            <w:right w:val="none" w:sz="0" w:space="0" w:color="auto"/>
          </w:divBdr>
        </w:div>
        <w:div w:id="1875998537">
          <w:marLeft w:val="0"/>
          <w:marRight w:val="0"/>
          <w:marTop w:val="0"/>
          <w:marBottom w:val="0"/>
          <w:divBdr>
            <w:top w:val="none" w:sz="0" w:space="0" w:color="auto"/>
            <w:left w:val="none" w:sz="0" w:space="0" w:color="auto"/>
            <w:bottom w:val="none" w:sz="0" w:space="0" w:color="auto"/>
            <w:right w:val="none" w:sz="0" w:space="0" w:color="auto"/>
          </w:divBdr>
        </w:div>
      </w:divsChild>
    </w:div>
    <w:div w:id="1481729473">
      <w:bodyDiv w:val="1"/>
      <w:marLeft w:val="0"/>
      <w:marRight w:val="0"/>
      <w:marTop w:val="0"/>
      <w:marBottom w:val="0"/>
      <w:divBdr>
        <w:top w:val="none" w:sz="0" w:space="0" w:color="auto"/>
        <w:left w:val="none" w:sz="0" w:space="0" w:color="auto"/>
        <w:bottom w:val="none" w:sz="0" w:space="0" w:color="auto"/>
        <w:right w:val="none" w:sz="0" w:space="0" w:color="auto"/>
      </w:divBdr>
    </w:div>
    <w:div w:id="1604414770">
      <w:bodyDiv w:val="1"/>
      <w:marLeft w:val="0"/>
      <w:marRight w:val="0"/>
      <w:marTop w:val="0"/>
      <w:marBottom w:val="0"/>
      <w:divBdr>
        <w:top w:val="none" w:sz="0" w:space="0" w:color="auto"/>
        <w:left w:val="none" w:sz="0" w:space="0" w:color="auto"/>
        <w:bottom w:val="none" w:sz="0" w:space="0" w:color="auto"/>
        <w:right w:val="none" w:sz="0" w:space="0" w:color="auto"/>
      </w:divBdr>
    </w:div>
    <w:div w:id="1673097845">
      <w:bodyDiv w:val="1"/>
      <w:marLeft w:val="0"/>
      <w:marRight w:val="0"/>
      <w:marTop w:val="0"/>
      <w:marBottom w:val="0"/>
      <w:divBdr>
        <w:top w:val="none" w:sz="0" w:space="0" w:color="auto"/>
        <w:left w:val="none" w:sz="0" w:space="0" w:color="auto"/>
        <w:bottom w:val="none" w:sz="0" w:space="0" w:color="auto"/>
        <w:right w:val="none" w:sz="0" w:space="0" w:color="auto"/>
      </w:divBdr>
    </w:div>
    <w:div w:id="1769156687">
      <w:bodyDiv w:val="1"/>
      <w:marLeft w:val="0"/>
      <w:marRight w:val="0"/>
      <w:marTop w:val="0"/>
      <w:marBottom w:val="0"/>
      <w:divBdr>
        <w:top w:val="none" w:sz="0" w:space="0" w:color="auto"/>
        <w:left w:val="none" w:sz="0" w:space="0" w:color="auto"/>
        <w:bottom w:val="none" w:sz="0" w:space="0" w:color="auto"/>
        <w:right w:val="none" w:sz="0" w:space="0" w:color="auto"/>
      </w:divBdr>
    </w:div>
    <w:div w:id="1827361196">
      <w:bodyDiv w:val="1"/>
      <w:marLeft w:val="0"/>
      <w:marRight w:val="0"/>
      <w:marTop w:val="0"/>
      <w:marBottom w:val="0"/>
      <w:divBdr>
        <w:top w:val="none" w:sz="0" w:space="0" w:color="auto"/>
        <w:left w:val="none" w:sz="0" w:space="0" w:color="auto"/>
        <w:bottom w:val="none" w:sz="0" w:space="0" w:color="auto"/>
        <w:right w:val="none" w:sz="0" w:space="0" w:color="auto"/>
      </w:divBdr>
    </w:div>
    <w:div w:id="2098987230">
      <w:bodyDiv w:val="1"/>
      <w:marLeft w:val="0"/>
      <w:marRight w:val="0"/>
      <w:marTop w:val="0"/>
      <w:marBottom w:val="0"/>
      <w:divBdr>
        <w:top w:val="none" w:sz="0" w:space="0" w:color="auto"/>
        <w:left w:val="none" w:sz="0" w:space="0" w:color="auto"/>
        <w:bottom w:val="none" w:sz="0" w:space="0" w:color="auto"/>
        <w:right w:val="none" w:sz="0" w:space="0" w:color="auto"/>
      </w:divBdr>
    </w:div>
    <w:div w:id="2108038989">
      <w:bodyDiv w:val="1"/>
      <w:marLeft w:val="0"/>
      <w:marRight w:val="0"/>
      <w:marTop w:val="0"/>
      <w:marBottom w:val="0"/>
      <w:divBdr>
        <w:top w:val="none" w:sz="0" w:space="0" w:color="auto"/>
        <w:left w:val="none" w:sz="0" w:space="0" w:color="auto"/>
        <w:bottom w:val="none" w:sz="0" w:space="0" w:color="auto"/>
        <w:right w:val="none" w:sz="0" w:space="0" w:color="auto"/>
      </w:divBdr>
    </w:div>
    <w:div w:id="214638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wa.co.nz/news-publications/media-cent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wa.co.nz/our-science/climate/publications/all/cu"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F7231-C7FC-451E-87C3-0D3E1043C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2227</Words>
  <Characters>12695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NIWA</Company>
  <LinksUpToDate>false</LinksUpToDate>
  <CharactersWithSpaces>14893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Georgina Griffiths</dc:creator>
  <cp:lastModifiedBy>Ben Noll</cp:lastModifiedBy>
  <cp:revision>6</cp:revision>
  <cp:lastPrinted>2016-07-31T21:36:00Z</cp:lastPrinted>
  <dcterms:created xsi:type="dcterms:W3CDTF">2017-02-28T23:22:00Z</dcterms:created>
  <dcterms:modified xsi:type="dcterms:W3CDTF">2017-03-01T01:00:00Z</dcterms:modified>
</cp:coreProperties>
</file>