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8B" w:rsidRDefault="005E5B8B" w:rsidP="0093268C">
      <w:pPr>
        <w:spacing w:line="360" w:lineRule="auto"/>
        <w:rPr>
          <w:b/>
          <w:sz w:val="24"/>
          <w:szCs w:val="24"/>
        </w:rPr>
      </w:pPr>
      <w:r w:rsidRPr="0093268C">
        <w:rPr>
          <w:b/>
          <w:sz w:val="24"/>
          <w:szCs w:val="24"/>
        </w:rPr>
        <w:t xml:space="preserve">Background </w:t>
      </w:r>
    </w:p>
    <w:p w:rsidR="0093268C" w:rsidRPr="005E5B8B" w:rsidRDefault="0093268C" w:rsidP="005E5B8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E5B8B">
        <w:rPr>
          <w:b/>
          <w:sz w:val="24"/>
          <w:szCs w:val="24"/>
        </w:rPr>
        <w:t xml:space="preserve">East Coast LAB </w:t>
      </w:r>
      <w:r w:rsidR="00B442EC" w:rsidRPr="005E5B8B">
        <w:rPr>
          <w:b/>
          <w:sz w:val="24"/>
          <w:szCs w:val="24"/>
        </w:rPr>
        <w:t xml:space="preserve">(Life at the </w:t>
      </w:r>
      <w:r w:rsidR="005E5B8B" w:rsidRPr="005E5B8B">
        <w:rPr>
          <w:b/>
          <w:sz w:val="24"/>
          <w:szCs w:val="24"/>
        </w:rPr>
        <w:t>Boundary</w:t>
      </w:r>
      <w:r w:rsidR="00B442EC" w:rsidRPr="005E5B8B">
        <w:rPr>
          <w:b/>
          <w:sz w:val="24"/>
          <w:szCs w:val="24"/>
        </w:rPr>
        <w:t xml:space="preserve">) project </w:t>
      </w:r>
    </w:p>
    <w:p w:rsidR="00B00060" w:rsidRPr="00B00060" w:rsidRDefault="00B442EC" w:rsidP="00B000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Off the</w:t>
      </w:r>
      <w:r w:rsidRPr="00B00060">
        <w:rPr>
          <w:sz w:val="24"/>
          <w:szCs w:val="24"/>
        </w:rPr>
        <w:t xml:space="preserve"> </w:t>
      </w:r>
      <w:r w:rsidR="00B00060" w:rsidRPr="00B00060">
        <w:rPr>
          <w:sz w:val="24"/>
          <w:szCs w:val="24"/>
        </w:rPr>
        <w:t xml:space="preserve">East Coast of New Zealand’s North Island </w:t>
      </w:r>
      <w:r>
        <w:rPr>
          <w:sz w:val="24"/>
          <w:szCs w:val="24"/>
        </w:rPr>
        <w:t>lies</w:t>
      </w:r>
      <w:r w:rsidR="00B00060" w:rsidRPr="00B00060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Hikurangi</w:t>
      </w:r>
      <w:proofErr w:type="spellEnd"/>
      <w:r>
        <w:rPr>
          <w:sz w:val="24"/>
          <w:szCs w:val="24"/>
        </w:rPr>
        <w:t xml:space="preserve"> plate boundary</w:t>
      </w:r>
      <w:r w:rsidR="00B00060" w:rsidRPr="00B00060">
        <w:rPr>
          <w:sz w:val="24"/>
          <w:szCs w:val="24"/>
        </w:rPr>
        <w:t xml:space="preserve">.  Living on this boundary where the earth is constantly changing means communities can be affected by a number of natural hazards such as earthquakes and tsunami. </w:t>
      </w:r>
    </w:p>
    <w:p w:rsidR="00B00060" w:rsidRDefault="00B00060" w:rsidP="00B00060">
      <w:pPr>
        <w:spacing w:line="360" w:lineRule="auto"/>
        <w:rPr>
          <w:sz w:val="24"/>
          <w:szCs w:val="24"/>
        </w:rPr>
      </w:pPr>
      <w:r w:rsidRPr="00B00060">
        <w:rPr>
          <w:sz w:val="24"/>
          <w:szCs w:val="24"/>
        </w:rPr>
        <w:t>East Coast LAB</w:t>
      </w:r>
      <w:r>
        <w:rPr>
          <w:sz w:val="24"/>
          <w:szCs w:val="24"/>
        </w:rPr>
        <w:t xml:space="preserve"> (life at the Boundary)</w:t>
      </w:r>
      <w:r w:rsidRPr="00B00060">
        <w:rPr>
          <w:sz w:val="24"/>
          <w:szCs w:val="24"/>
        </w:rPr>
        <w:t xml:space="preserve"> aims to improve the resilience of communities on the </w:t>
      </w:r>
      <w:r w:rsidR="00B442EC">
        <w:rPr>
          <w:sz w:val="24"/>
          <w:szCs w:val="24"/>
        </w:rPr>
        <w:t>E</w:t>
      </w:r>
      <w:r w:rsidRPr="00B00060">
        <w:rPr>
          <w:sz w:val="24"/>
          <w:szCs w:val="24"/>
        </w:rPr>
        <w:t xml:space="preserve">ast </w:t>
      </w:r>
      <w:r w:rsidR="00B442EC">
        <w:rPr>
          <w:sz w:val="24"/>
          <w:szCs w:val="24"/>
        </w:rPr>
        <w:t>C</w:t>
      </w:r>
      <w:r w:rsidRPr="00B00060">
        <w:rPr>
          <w:sz w:val="24"/>
          <w:szCs w:val="24"/>
        </w:rPr>
        <w:t xml:space="preserve">oast of the </w:t>
      </w:r>
      <w:r>
        <w:rPr>
          <w:sz w:val="24"/>
          <w:szCs w:val="24"/>
        </w:rPr>
        <w:t>N</w:t>
      </w:r>
      <w:r w:rsidRPr="00B00060">
        <w:rPr>
          <w:sz w:val="24"/>
          <w:szCs w:val="24"/>
        </w:rPr>
        <w:t xml:space="preserve">orth </w:t>
      </w:r>
      <w:r>
        <w:rPr>
          <w:sz w:val="24"/>
          <w:szCs w:val="24"/>
        </w:rPr>
        <w:t>I</w:t>
      </w:r>
      <w:r w:rsidRPr="00B00060">
        <w:rPr>
          <w:sz w:val="24"/>
          <w:szCs w:val="24"/>
        </w:rPr>
        <w:t xml:space="preserve">sland to natural hazards associated with the </w:t>
      </w:r>
      <w:proofErr w:type="spellStart"/>
      <w:r w:rsidR="00B442EC">
        <w:rPr>
          <w:sz w:val="24"/>
          <w:szCs w:val="24"/>
        </w:rPr>
        <w:t>Hikurgani</w:t>
      </w:r>
      <w:proofErr w:type="spellEnd"/>
      <w:r w:rsidR="00B442EC">
        <w:rPr>
          <w:sz w:val="24"/>
          <w:szCs w:val="24"/>
        </w:rPr>
        <w:t xml:space="preserve"> </w:t>
      </w:r>
      <w:r w:rsidRPr="00B00060">
        <w:rPr>
          <w:sz w:val="24"/>
          <w:szCs w:val="24"/>
        </w:rPr>
        <w:t>plate boundary &amp; living life on the coast. These hazards pose a significant to risk to the four regions the project covers – Gisborne, Hawke’s Bay, Manawatu/Wanganui and Wellington</w:t>
      </w:r>
      <w:r w:rsidR="00B442EC">
        <w:rPr>
          <w:sz w:val="24"/>
          <w:szCs w:val="24"/>
        </w:rPr>
        <w:t xml:space="preserve">. </w:t>
      </w:r>
    </w:p>
    <w:p w:rsidR="00B442EC" w:rsidRPr="00B00060" w:rsidRDefault="00B442EC" w:rsidP="00B00060">
      <w:pPr>
        <w:spacing w:line="360" w:lineRule="auto"/>
        <w:rPr>
          <w:sz w:val="24"/>
          <w:szCs w:val="24"/>
        </w:rPr>
      </w:pPr>
      <w:r w:rsidRPr="00B442EC">
        <w:rPr>
          <w:sz w:val="24"/>
          <w:szCs w:val="24"/>
        </w:rPr>
        <w:t xml:space="preserve">The Hikurangi plate boundary is New Zealand’s least understood, but potentially its largest, source of hazard. </w:t>
      </w:r>
      <w:r>
        <w:rPr>
          <w:sz w:val="24"/>
          <w:szCs w:val="24"/>
        </w:rPr>
        <w:t xml:space="preserve">This plate boundary has the potentially to </w:t>
      </w:r>
      <w:r w:rsidRPr="00B442EC">
        <w:rPr>
          <w:sz w:val="24"/>
          <w:szCs w:val="24"/>
        </w:rPr>
        <w:t xml:space="preserve">produce </w:t>
      </w:r>
      <w:r w:rsidR="005E5B8B">
        <w:rPr>
          <w:sz w:val="24"/>
          <w:szCs w:val="24"/>
        </w:rPr>
        <w:t>large</w:t>
      </w:r>
      <w:r w:rsidRPr="00B442EC">
        <w:rPr>
          <w:sz w:val="24"/>
          <w:szCs w:val="24"/>
        </w:rPr>
        <w:t xml:space="preserve"> earthquakes and tsunami, as demonstrated by the 2011 Magnitude 9.0 earthquake offshore </w:t>
      </w:r>
      <w:r>
        <w:rPr>
          <w:sz w:val="24"/>
          <w:szCs w:val="24"/>
        </w:rPr>
        <w:t xml:space="preserve">of </w:t>
      </w:r>
      <w:r w:rsidRPr="00B442EC">
        <w:rPr>
          <w:sz w:val="24"/>
          <w:szCs w:val="24"/>
        </w:rPr>
        <w:t>northern Japan.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E5B8B" w:rsidRDefault="005E5B8B" w:rsidP="00B442EC">
      <w:pPr>
        <w:spacing w:line="360" w:lineRule="auto"/>
        <w:rPr>
          <w:sz w:val="24"/>
          <w:szCs w:val="24"/>
        </w:rPr>
      </w:pPr>
      <w:r w:rsidRPr="0093268C">
        <w:rPr>
          <w:sz w:val="24"/>
          <w:szCs w:val="24"/>
        </w:rPr>
        <w:t>The US National Science Foundation has selected the Hikurangi plate boundary as one of three places in the world where a large amount of research effort and money will be spent on understanding subduction plate boundary phenomena over the next decade.</w:t>
      </w:r>
      <w:r w:rsidRPr="003B1E9B">
        <w:rPr>
          <w:sz w:val="24"/>
          <w:szCs w:val="24"/>
        </w:rPr>
        <w:t xml:space="preserve"> </w:t>
      </w:r>
    </w:p>
    <w:p w:rsidR="00B442EC" w:rsidRDefault="00B00060" w:rsidP="00B442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project will</w:t>
      </w:r>
      <w:r w:rsidR="00070A01" w:rsidRPr="0093268C">
        <w:rPr>
          <w:sz w:val="24"/>
          <w:szCs w:val="24"/>
        </w:rPr>
        <w:t xml:space="preserve"> leverage off</w:t>
      </w:r>
      <w:r w:rsidR="005E5B8B">
        <w:rPr>
          <w:sz w:val="24"/>
          <w:szCs w:val="24"/>
        </w:rPr>
        <w:t xml:space="preserve"> this research as well as</w:t>
      </w:r>
      <w:r w:rsidR="003B1E9B">
        <w:rPr>
          <w:sz w:val="24"/>
          <w:szCs w:val="24"/>
        </w:rPr>
        <w:t xml:space="preserve"> national research being carried out by </w:t>
      </w:r>
      <w:r w:rsidR="009E1D79">
        <w:rPr>
          <w:sz w:val="24"/>
          <w:szCs w:val="24"/>
        </w:rPr>
        <w:t>GNS Science, NIWA</w:t>
      </w:r>
      <w:r w:rsidR="003B1E9B">
        <w:rPr>
          <w:sz w:val="24"/>
          <w:szCs w:val="24"/>
        </w:rPr>
        <w:t xml:space="preserve"> and </w:t>
      </w:r>
      <w:r w:rsidR="009E1D79">
        <w:rPr>
          <w:sz w:val="24"/>
          <w:szCs w:val="24"/>
        </w:rPr>
        <w:t xml:space="preserve">an array of </w:t>
      </w:r>
      <w:r w:rsidR="003B1E9B">
        <w:rPr>
          <w:sz w:val="24"/>
          <w:szCs w:val="24"/>
        </w:rPr>
        <w:t xml:space="preserve">Universities </w:t>
      </w:r>
      <w:r w:rsidR="00070A01" w:rsidRPr="0093268C">
        <w:rPr>
          <w:sz w:val="24"/>
          <w:szCs w:val="24"/>
        </w:rPr>
        <w:t xml:space="preserve">occurring on the East Coast of New Zealand over the next few years. </w:t>
      </w:r>
      <w:r w:rsidR="005E5B8B">
        <w:rPr>
          <w:sz w:val="24"/>
          <w:szCs w:val="24"/>
        </w:rPr>
        <w:t xml:space="preserve">Science investment for both national and internal research totals </w:t>
      </w:r>
      <w:r w:rsidR="005E5B8B" w:rsidRPr="0093268C">
        <w:rPr>
          <w:sz w:val="24"/>
          <w:szCs w:val="24"/>
        </w:rPr>
        <w:t>around $</w:t>
      </w:r>
      <w:r w:rsidR="005E5B8B">
        <w:rPr>
          <w:sz w:val="24"/>
          <w:szCs w:val="24"/>
        </w:rPr>
        <w:t>30-</w:t>
      </w:r>
      <w:r w:rsidR="005E5B8B" w:rsidRPr="0093268C">
        <w:rPr>
          <w:sz w:val="24"/>
          <w:szCs w:val="24"/>
        </w:rPr>
        <w:t>40m</w:t>
      </w:r>
      <w:r w:rsidR="005E5B8B">
        <w:rPr>
          <w:sz w:val="24"/>
          <w:szCs w:val="24"/>
        </w:rPr>
        <w:t xml:space="preserve">. </w:t>
      </w:r>
    </w:p>
    <w:p w:rsidR="00B442EC" w:rsidRPr="0093268C" w:rsidRDefault="00B442EC" w:rsidP="00B442EC">
      <w:pPr>
        <w:spacing w:line="360" w:lineRule="auto"/>
        <w:rPr>
          <w:sz w:val="24"/>
          <w:szCs w:val="24"/>
        </w:rPr>
      </w:pPr>
      <w:r w:rsidRPr="0093268C">
        <w:rPr>
          <w:sz w:val="24"/>
          <w:szCs w:val="24"/>
        </w:rPr>
        <w:t>Th</w:t>
      </w:r>
      <w:r>
        <w:rPr>
          <w:sz w:val="24"/>
          <w:szCs w:val="24"/>
        </w:rPr>
        <w:t>is research will</w:t>
      </w:r>
      <w:r w:rsidRPr="0093268C">
        <w:rPr>
          <w:sz w:val="24"/>
          <w:szCs w:val="24"/>
        </w:rPr>
        <w:t xml:space="preserve"> to assist the international Earth science community find answers to the many outstanding questions about why subduction zones behave the way they do.</w:t>
      </w:r>
      <w:r w:rsidR="005E5B8B">
        <w:rPr>
          <w:sz w:val="24"/>
          <w:szCs w:val="24"/>
        </w:rPr>
        <w:t xml:space="preserve"> </w:t>
      </w:r>
      <w:r w:rsidR="005E5B8B" w:rsidRPr="005E5B8B">
        <w:rPr>
          <w:sz w:val="24"/>
          <w:szCs w:val="24"/>
        </w:rPr>
        <w:t>East Coast LAB (Life at the Boundary) will be provid</w:t>
      </w:r>
      <w:r w:rsidR="005E5B8B">
        <w:rPr>
          <w:sz w:val="24"/>
          <w:szCs w:val="24"/>
        </w:rPr>
        <w:t>e</w:t>
      </w:r>
      <w:r w:rsidR="005E5B8B" w:rsidRPr="005E5B8B">
        <w:rPr>
          <w:sz w:val="24"/>
          <w:szCs w:val="24"/>
        </w:rPr>
        <w:t xml:space="preserve"> opportunities to learn more about this research over the next five years. </w:t>
      </w:r>
      <w:r w:rsidR="005E5B8B">
        <w:rPr>
          <w:sz w:val="24"/>
          <w:szCs w:val="24"/>
        </w:rPr>
        <w:t xml:space="preserve">Communities can visit the virtual LAB </w:t>
      </w:r>
      <w:hyperlink r:id="rId5" w:history="1">
        <w:r w:rsidR="005E5B8B" w:rsidRPr="005E5B8B">
          <w:rPr>
            <w:rStyle w:val="Hyperlink"/>
            <w:sz w:val="24"/>
            <w:szCs w:val="24"/>
          </w:rPr>
          <w:t>www.eastcoast</w:t>
        </w:r>
        <w:r w:rsidR="005E5B8B" w:rsidRPr="00933490">
          <w:rPr>
            <w:rStyle w:val="Hyperlink"/>
            <w:sz w:val="24"/>
            <w:szCs w:val="24"/>
          </w:rPr>
          <w:t>lab.org.nz</w:t>
        </w:r>
      </w:hyperlink>
      <w:r w:rsidR="005E5B8B">
        <w:rPr>
          <w:sz w:val="24"/>
          <w:szCs w:val="24"/>
        </w:rPr>
        <w:t xml:space="preserve"> or visit the LAB at the National Aquarium to learn more about natural hazards and discover what scientists are trying to uncover</w:t>
      </w:r>
    </w:p>
    <w:p w:rsidR="00070A01" w:rsidRDefault="005E5B8B" w:rsidP="0093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</w:t>
      </w:r>
      <w:r w:rsidR="00B442EC">
        <w:rPr>
          <w:sz w:val="24"/>
          <w:szCs w:val="24"/>
        </w:rPr>
        <w:t xml:space="preserve"> project wants to encourage </w:t>
      </w:r>
      <w:r>
        <w:rPr>
          <w:sz w:val="24"/>
          <w:szCs w:val="24"/>
        </w:rPr>
        <w:t>communities</w:t>
      </w:r>
      <w:r w:rsidR="00B442EC">
        <w:rPr>
          <w:sz w:val="24"/>
          <w:szCs w:val="24"/>
        </w:rPr>
        <w:t xml:space="preserve"> to become engage and participate in this science so that they understand the risks associated with living life at the boundary.</w:t>
      </w:r>
      <w:r>
        <w:rPr>
          <w:sz w:val="24"/>
          <w:szCs w:val="24"/>
        </w:rPr>
        <w:t xml:space="preserve"> </w:t>
      </w:r>
      <w:r w:rsidR="00B00060">
        <w:rPr>
          <w:sz w:val="24"/>
          <w:szCs w:val="24"/>
        </w:rPr>
        <w:t xml:space="preserve">The ultimate goal is to make East Coast </w:t>
      </w:r>
      <w:r w:rsidR="00070A01" w:rsidRPr="0093268C">
        <w:rPr>
          <w:sz w:val="24"/>
          <w:szCs w:val="24"/>
        </w:rPr>
        <w:t xml:space="preserve">communities more aware of the risks, how to prepare </w:t>
      </w:r>
      <w:r w:rsidR="00070A01" w:rsidRPr="0093268C">
        <w:rPr>
          <w:sz w:val="24"/>
          <w:szCs w:val="24"/>
        </w:rPr>
        <w:lastRenderedPageBreak/>
        <w:t>and respond to hazard events such as earthquakes or tsunami and in the event of a natural hazard continue to thrive.</w:t>
      </w:r>
    </w:p>
    <w:p w:rsidR="00D44383" w:rsidRDefault="00D44383" w:rsidP="0093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22 September is the official launch of the East Coast LAB, a multi-agency project which includes: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GNS Science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National Institute of Water &amp; Atmospheric Research (NIWA)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Natural Hazards Research Platform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University of Auckland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Massey University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5E5B8B">
        <w:rPr>
          <w:sz w:val="24"/>
          <w:szCs w:val="24"/>
        </w:rPr>
        <w:t>QuakeCoRE</w:t>
      </w:r>
      <w:proofErr w:type="spellEnd"/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Ministry of Civil Defence &amp; Emergency Management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Earthquake Commission (EQC)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Gisborne District Council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Hawke’s Bay Regional Council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Hawke’s Bay Civil Defence Emergency Management Group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Napier City Council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8B">
        <w:rPr>
          <w:sz w:val="24"/>
          <w:szCs w:val="24"/>
        </w:rPr>
        <w:t>National Aquarium of New Zealand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5E5B8B">
        <w:rPr>
          <w:sz w:val="24"/>
          <w:szCs w:val="24"/>
        </w:rPr>
        <w:t>Manawatu</w:t>
      </w:r>
      <w:proofErr w:type="spellEnd"/>
      <w:r w:rsidRPr="005E5B8B">
        <w:rPr>
          <w:sz w:val="24"/>
          <w:szCs w:val="24"/>
        </w:rPr>
        <w:t>-Wanganui Civil Defence Emergency Management Group</w:t>
      </w:r>
    </w:p>
    <w:p w:rsidR="003B1E9B" w:rsidRPr="005E5B8B" w:rsidRDefault="003B1E9B" w:rsidP="005E5B8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E5B8B">
        <w:rPr>
          <w:sz w:val="24"/>
          <w:szCs w:val="24"/>
        </w:rPr>
        <w:t>Greater Wellington Regional Council</w:t>
      </w:r>
    </w:p>
    <w:p w:rsidR="00105AEF" w:rsidRDefault="00105AEF" w:rsidP="0093268C">
      <w:pPr>
        <w:spacing w:line="360" w:lineRule="auto"/>
        <w:rPr>
          <w:b/>
          <w:sz w:val="24"/>
          <w:szCs w:val="24"/>
        </w:rPr>
      </w:pPr>
      <w:r w:rsidRPr="00105AEF">
        <w:rPr>
          <w:b/>
          <w:sz w:val="24"/>
          <w:szCs w:val="24"/>
        </w:rPr>
        <w:t>Research projects underway or about to get underway</w:t>
      </w:r>
    </w:p>
    <w:p w:rsidR="00B442EC" w:rsidRPr="00B442EC" w:rsidRDefault="00B442EC" w:rsidP="0093268C">
      <w:pPr>
        <w:spacing w:line="360" w:lineRule="auto"/>
        <w:rPr>
          <w:sz w:val="24"/>
          <w:szCs w:val="24"/>
        </w:rPr>
      </w:pPr>
      <w:r w:rsidRPr="00B442EC">
        <w:rPr>
          <w:sz w:val="24"/>
          <w:szCs w:val="24"/>
        </w:rPr>
        <w:t>Last week it was announced by Science and Innovation Minister Steven Joyce that $6.5 million is being invested in scientific research to learn more about Hikurangi subduction earthquakes and slip behaviour at the plate boundary off the East Coast of New Zealand’s North Island.</w:t>
      </w:r>
      <w:r w:rsidR="005E5B8B">
        <w:rPr>
          <w:sz w:val="24"/>
          <w:szCs w:val="24"/>
        </w:rPr>
        <w:t xml:space="preserve"> </w:t>
      </w:r>
      <w:r w:rsidR="005E5B8B" w:rsidRPr="005E5B8B">
        <w:rPr>
          <w:sz w:val="24"/>
          <w:szCs w:val="24"/>
        </w:rPr>
        <w:t>The research will be carried out by a multidisciplinary team of leading New Zealand and international geoscientists</w:t>
      </w:r>
    </w:p>
    <w:p w:rsidR="00D44383" w:rsidRPr="005E5B8B" w:rsidRDefault="00D44383" w:rsidP="005E5B8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E5B8B">
        <w:rPr>
          <w:b/>
          <w:sz w:val="24"/>
          <w:szCs w:val="24"/>
        </w:rPr>
        <w:t>The virtual LAB online – www.eastcoastlab.org.nz</w:t>
      </w:r>
    </w:p>
    <w:p w:rsidR="00D44383" w:rsidRPr="00D44383" w:rsidRDefault="00D44383" w:rsidP="0093268C">
      <w:pPr>
        <w:spacing w:line="360" w:lineRule="auto"/>
        <w:rPr>
          <w:sz w:val="24"/>
          <w:szCs w:val="24"/>
        </w:rPr>
      </w:pPr>
      <w:r w:rsidRPr="00D44383">
        <w:rPr>
          <w:sz w:val="24"/>
          <w:szCs w:val="24"/>
        </w:rPr>
        <w:t xml:space="preserve">A website where East Coast communities </w:t>
      </w:r>
      <w:r w:rsidR="005E5B8B">
        <w:rPr>
          <w:sz w:val="24"/>
          <w:szCs w:val="24"/>
        </w:rPr>
        <w:t>discover</w:t>
      </w:r>
      <w:r w:rsidR="009E1D79" w:rsidRPr="00B00060">
        <w:rPr>
          <w:sz w:val="24"/>
          <w:szCs w:val="24"/>
        </w:rPr>
        <w:t xml:space="preserve"> more about </w:t>
      </w:r>
      <w:r w:rsidR="009E1D79">
        <w:rPr>
          <w:sz w:val="24"/>
          <w:szCs w:val="24"/>
        </w:rPr>
        <w:t>earthquake, tsunami and volcanic eruptions</w:t>
      </w:r>
      <w:r w:rsidR="009E1D79" w:rsidRPr="00B00060">
        <w:rPr>
          <w:sz w:val="24"/>
          <w:szCs w:val="24"/>
        </w:rPr>
        <w:t xml:space="preserve"> &amp; how they affect us</w:t>
      </w:r>
      <w:bookmarkStart w:id="0" w:name="_GoBack"/>
      <w:bookmarkEnd w:id="0"/>
      <w:r w:rsidR="00FA7D3A">
        <w:rPr>
          <w:sz w:val="24"/>
          <w:szCs w:val="24"/>
        </w:rPr>
        <w:t>, explore</w:t>
      </w:r>
      <w:r w:rsidR="005E5B8B">
        <w:rPr>
          <w:sz w:val="24"/>
          <w:szCs w:val="24"/>
        </w:rPr>
        <w:t xml:space="preserve"> the</w:t>
      </w:r>
      <w:r w:rsidRPr="00D44383">
        <w:rPr>
          <w:sz w:val="24"/>
          <w:szCs w:val="24"/>
        </w:rPr>
        <w:t xml:space="preserve"> science that is happening right now and take part in natural hazard science.</w:t>
      </w:r>
    </w:p>
    <w:p w:rsidR="0093268C" w:rsidRPr="005E5B8B" w:rsidRDefault="0093268C" w:rsidP="005E5B8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E5B8B">
        <w:rPr>
          <w:b/>
          <w:sz w:val="24"/>
          <w:szCs w:val="24"/>
        </w:rPr>
        <w:t>The LAB at the National Aquarium of N</w:t>
      </w:r>
      <w:r w:rsidR="005E5B8B">
        <w:rPr>
          <w:b/>
          <w:sz w:val="24"/>
          <w:szCs w:val="24"/>
        </w:rPr>
        <w:t xml:space="preserve">ew </w:t>
      </w:r>
      <w:r w:rsidR="005E5B8B" w:rsidRPr="005E5B8B">
        <w:rPr>
          <w:b/>
          <w:sz w:val="24"/>
          <w:szCs w:val="24"/>
        </w:rPr>
        <w:t>Z</w:t>
      </w:r>
      <w:r w:rsidR="005E5B8B">
        <w:rPr>
          <w:b/>
          <w:sz w:val="24"/>
          <w:szCs w:val="24"/>
        </w:rPr>
        <w:t>ealand</w:t>
      </w:r>
    </w:p>
    <w:p w:rsidR="00B00060" w:rsidRPr="00B00060" w:rsidRDefault="00B00060" w:rsidP="00B00060">
      <w:pPr>
        <w:spacing w:line="360" w:lineRule="auto"/>
        <w:rPr>
          <w:sz w:val="24"/>
          <w:szCs w:val="24"/>
        </w:rPr>
      </w:pPr>
      <w:r w:rsidRPr="00B00060">
        <w:rPr>
          <w:sz w:val="24"/>
          <w:szCs w:val="24"/>
        </w:rPr>
        <w:lastRenderedPageBreak/>
        <w:t xml:space="preserve">The LAB, a natural hazards learning space at the National Aquarium is the focal point of the project, aptly situated at the heart of the East Coast. Here, visitors can come </w:t>
      </w:r>
      <w:r w:rsidR="008A618D">
        <w:rPr>
          <w:sz w:val="24"/>
          <w:szCs w:val="24"/>
        </w:rPr>
        <w:t>and</w:t>
      </w:r>
      <w:r w:rsidR="008A618D" w:rsidRPr="00B00060">
        <w:rPr>
          <w:sz w:val="24"/>
          <w:szCs w:val="24"/>
        </w:rPr>
        <w:t xml:space="preserve"> </w:t>
      </w:r>
      <w:r w:rsidRPr="00B00060">
        <w:rPr>
          <w:sz w:val="24"/>
          <w:szCs w:val="24"/>
        </w:rPr>
        <w:t xml:space="preserve">learn more about </w:t>
      </w:r>
      <w:r>
        <w:rPr>
          <w:sz w:val="24"/>
          <w:szCs w:val="24"/>
        </w:rPr>
        <w:t>earthquake, tsunami and volcanic eruptions</w:t>
      </w:r>
      <w:r w:rsidRPr="00B00060">
        <w:rPr>
          <w:sz w:val="24"/>
          <w:szCs w:val="24"/>
        </w:rPr>
        <w:t xml:space="preserve"> &amp; how they affect us.</w:t>
      </w:r>
    </w:p>
    <w:p w:rsidR="00B00060" w:rsidRDefault="00B00060" w:rsidP="0093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Visitors to the </w:t>
      </w:r>
      <w:r w:rsidR="008A618D">
        <w:rPr>
          <w:sz w:val="24"/>
          <w:szCs w:val="24"/>
        </w:rPr>
        <w:t>A</w:t>
      </w:r>
      <w:r>
        <w:rPr>
          <w:sz w:val="24"/>
          <w:szCs w:val="24"/>
        </w:rPr>
        <w:t xml:space="preserve">quarium will be able to enter the LAB and discover how tsunami are created by watching a wave tank demonstration, see the latest </w:t>
      </w:r>
      <w:r w:rsidR="00D44383">
        <w:rPr>
          <w:sz w:val="24"/>
          <w:szCs w:val="24"/>
        </w:rPr>
        <w:t>earthquakes</w:t>
      </w:r>
      <w:r>
        <w:rPr>
          <w:sz w:val="24"/>
          <w:szCs w:val="24"/>
        </w:rPr>
        <w:t xml:space="preserve"> that have hit New Zealand, time themselves practicing a “</w:t>
      </w:r>
      <w:r w:rsidR="0074414E">
        <w:rPr>
          <w:sz w:val="24"/>
          <w:szCs w:val="24"/>
        </w:rPr>
        <w:t>Drop, Cover</w:t>
      </w:r>
      <w:r>
        <w:rPr>
          <w:sz w:val="24"/>
          <w:szCs w:val="24"/>
        </w:rPr>
        <w:t xml:space="preserve">, Hold” drill and </w:t>
      </w:r>
      <w:r w:rsidR="008A618D">
        <w:rPr>
          <w:sz w:val="24"/>
          <w:szCs w:val="24"/>
        </w:rPr>
        <w:t xml:space="preserve">take </w:t>
      </w:r>
      <w:r>
        <w:rPr>
          <w:sz w:val="24"/>
          <w:szCs w:val="24"/>
        </w:rPr>
        <w:t xml:space="preserve">part </w:t>
      </w:r>
      <w:r w:rsidR="008A618D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some </w:t>
      </w:r>
      <w:r w:rsidR="008A618D">
        <w:rPr>
          <w:sz w:val="24"/>
          <w:szCs w:val="24"/>
        </w:rPr>
        <w:t xml:space="preserve">of </w:t>
      </w:r>
      <w:r>
        <w:rPr>
          <w:sz w:val="24"/>
          <w:szCs w:val="24"/>
        </w:rPr>
        <w:t>the science projects going on.</w:t>
      </w:r>
    </w:p>
    <w:p w:rsidR="0093268C" w:rsidRPr="005E5B8B" w:rsidRDefault="00E045E7" w:rsidP="005E5B8B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E5B8B">
        <w:rPr>
          <w:b/>
          <w:sz w:val="24"/>
          <w:szCs w:val="24"/>
        </w:rPr>
        <w:t xml:space="preserve">Life at the Boundary </w:t>
      </w:r>
      <w:r w:rsidR="0093268C" w:rsidRPr="005E5B8B">
        <w:rPr>
          <w:b/>
          <w:sz w:val="24"/>
          <w:szCs w:val="24"/>
        </w:rPr>
        <w:t>education programme</w:t>
      </w:r>
    </w:p>
    <w:p w:rsidR="00B00060" w:rsidRPr="00B00060" w:rsidRDefault="00B00060" w:rsidP="00B000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students can v</w:t>
      </w:r>
      <w:r w:rsidRPr="00B00060">
        <w:rPr>
          <w:sz w:val="24"/>
          <w:szCs w:val="24"/>
        </w:rPr>
        <w:t>isit the LAB as part of the Life at the Boundary education programme</w:t>
      </w:r>
      <w:r>
        <w:rPr>
          <w:sz w:val="24"/>
          <w:szCs w:val="24"/>
        </w:rPr>
        <w:t xml:space="preserve"> to:</w:t>
      </w:r>
    </w:p>
    <w:p w:rsidR="00B00060" w:rsidRPr="00B00060" w:rsidRDefault="00B00060" w:rsidP="00B000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00060">
        <w:rPr>
          <w:sz w:val="24"/>
          <w:szCs w:val="24"/>
        </w:rPr>
        <w:t xml:space="preserve">Learn </w:t>
      </w:r>
      <w:r w:rsidR="008A618D">
        <w:rPr>
          <w:sz w:val="24"/>
          <w:szCs w:val="24"/>
        </w:rPr>
        <w:t>all about the earth’s structure, earthquake, tsunami and volcanic eruptions and being prepared</w:t>
      </w:r>
    </w:p>
    <w:p w:rsidR="00B00060" w:rsidRDefault="00B00060" w:rsidP="00B000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00060">
        <w:rPr>
          <w:sz w:val="24"/>
          <w:szCs w:val="24"/>
        </w:rPr>
        <w:t xml:space="preserve">Become a scientists </w:t>
      </w:r>
      <w:r w:rsidR="008A618D">
        <w:rPr>
          <w:sz w:val="24"/>
          <w:szCs w:val="24"/>
        </w:rPr>
        <w:t xml:space="preserve">themselves and </w:t>
      </w:r>
      <w:r w:rsidRPr="00B00060">
        <w:rPr>
          <w:sz w:val="24"/>
          <w:szCs w:val="24"/>
        </w:rPr>
        <w:t xml:space="preserve">create </w:t>
      </w:r>
      <w:r>
        <w:rPr>
          <w:sz w:val="24"/>
          <w:szCs w:val="24"/>
        </w:rPr>
        <w:t xml:space="preserve">their very own </w:t>
      </w:r>
      <w:r w:rsidR="008A618D">
        <w:rPr>
          <w:sz w:val="24"/>
          <w:szCs w:val="24"/>
        </w:rPr>
        <w:t xml:space="preserve">tsunami and </w:t>
      </w:r>
      <w:r>
        <w:rPr>
          <w:sz w:val="24"/>
          <w:szCs w:val="24"/>
        </w:rPr>
        <w:t>volcanic eruption</w:t>
      </w:r>
    </w:p>
    <w:p w:rsidR="00B00060" w:rsidRPr="00B00060" w:rsidRDefault="00B00060" w:rsidP="00B0006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00060">
        <w:rPr>
          <w:sz w:val="24"/>
          <w:szCs w:val="24"/>
        </w:rPr>
        <w:t xml:space="preserve">See how quickly </w:t>
      </w:r>
      <w:r>
        <w:rPr>
          <w:sz w:val="24"/>
          <w:szCs w:val="24"/>
        </w:rPr>
        <w:t>they can</w:t>
      </w:r>
      <w:r w:rsidRPr="00B00060">
        <w:rPr>
          <w:sz w:val="24"/>
          <w:szCs w:val="24"/>
        </w:rPr>
        <w:t xml:space="preserve"> </w:t>
      </w:r>
      <w:r>
        <w:rPr>
          <w:sz w:val="24"/>
          <w:szCs w:val="24"/>
        </w:rPr>
        <w:t>“Drop C</w:t>
      </w:r>
      <w:r w:rsidRPr="00B00060">
        <w:rPr>
          <w:sz w:val="24"/>
          <w:szCs w:val="24"/>
        </w:rPr>
        <w:t xml:space="preserve">over </w:t>
      </w:r>
      <w:r>
        <w:rPr>
          <w:sz w:val="24"/>
          <w:szCs w:val="24"/>
        </w:rPr>
        <w:t>H</w:t>
      </w:r>
      <w:r w:rsidRPr="00B00060">
        <w:rPr>
          <w:sz w:val="24"/>
          <w:szCs w:val="24"/>
        </w:rPr>
        <w:t>old</w:t>
      </w:r>
      <w:r>
        <w:rPr>
          <w:sz w:val="24"/>
          <w:szCs w:val="24"/>
        </w:rPr>
        <w:t>” with their t</w:t>
      </w:r>
      <w:r w:rsidRPr="00B00060">
        <w:rPr>
          <w:sz w:val="24"/>
          <w:szCs w:val="24"/>
        </w:rPr>
        <w:t xml:space="preserve">ime </w:t>
      </w:r>
      <w:r>
        <w:rPr>
          <w:sz w:val="24"/>
          <w:szCs w:val="24"/>
        </w:rPr>
        <w:t xml:space="preserve">entered into </w:t>
      </w:r>
      <w:r w:rsidRPr="00B00060">
        <w:rPr>
          <w:sz w:val="24"/>
          <w:szCs w:val="24"/>
        </w:rPr>
        <w:t>the Drop Cover Hold Records book!</w:t>
      </w:r>
    </w:p>
    <w:sectPr w:rsidR="00B00060" w:rsidRPr="00B00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28C4"/>
    <w:multiLevelType w:val="hybridMultilevel"/>
    <w:tmpl w:val="3CD883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2712"/>
    <w:multiLevelType w:val="hybridMultilevel"/>
    <w:tmpl w:val="3E92F1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7BB0"/>
    <w:multiLevelType w:val="hybridMultilevel"/>
    <w:tmpl w:val="A11EA9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35BB"/>
    <w:multiLevelType w:val="hybridMultilevel"/>
    <w:tmpl w:val="2416D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01"/>
    <w:rsid w:val="00013BF9"/>
    <w:rsid w:val="00060521"/>
    <w:rsid w:val="00070A01"/>
    <w:rsid w:val="00105AEF"/>
    <w:rsid w:val="001F0E07"/>
    <w:rsid w:val="003B1E9B"/>
    <w:rsid w:val="005E5B8B"/>
    <w:rsid w:val="0074414E"/>
    <w:rsid w:val="008A618D"/>
    <w:rsid w:val="0093268C"/>
    <w:rsid w:val="009E1D79"/>
    <w:rsid w:val="00B00060"/>
    <w:rsid w:val="00B442EC"/>
    <w:rsid w:val="00BC608C"/>
    <w:rsid w:val="00D44383"/>
    <w:rsid w:val="00DD1D7E"/>
    <w:rsid w:val="00DD2EC2"/>
    <w:rsid w:val="00E045E7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EACC4-D159-4F37-B36E-6066D7FF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442EC"/>
  </w:style>
  <w:style w:type="paragraph" w:styleId="ListParagraph">
    <w:name w:val="List Paragraph"/>
    <w:basedOn w:val="Normal"/>
    <w:uiPriority w:val="34"/>
    <w:qFormat/>
    <w:rsid w:val="005E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tcoastlab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helens</dc:creator>
  <cp:keywords/>
  <dc:description/>
  <cp:lastModifiedBy>helens</cp:lastModifiedBy>
  <cp:revision>6</cp:revision>
  <dcterms:created xsi:type="dcterms:W3CDTF">2016-09-18T22:01:00Z</dcterms:created>
  <dcterms:modified xsi:type="dcterms:W3CDTF">2016-09-21T21:27:00Z</dcterms:modified>
</cp:coreProperties>
</file>