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A78DB2" w14:textId="7088B866" w:rsidR="00010A2D" w:rsidRDefault="00010A2D">
      <w:r>
        <w:rPr>
          <w:noProof/>
          <w:lang w:eastAsia="en-NZ"/>
        </w:rPr>
        <mc:AlternateContent>
          <mc:Choice Requires="wps">
            <w:drawing>
              <wp:anchor distT="0" distB="0" distL="114300" distR="114300" simplePos="0" relativeHeight="251669504"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111341" w:rsidRDefault="00111341"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111341" w:rsidRDefault="00111341"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00CF6847">
        <w:tc>
          <w:tcPr>
            <w:tcW w:w="9242" w:type="dxa"/>
            <w:shd w:val="clear" w:color="auto" w:fill="C6D9F1" w:themeFill="text2" w:themeFillTint="33"/>
          </w:tcPr>
          <w:p w14:paraId="199378F6" w14:textId="0BDBB9FF" w:rsidR="006D4A85" w:rsidRDefault="00824454" w:rsidP="00671CA3">
            <w:pPr>
              <w:spacing w:before="40" w:after="40"/>
            </w:pPr>
            <w:r>
              <w:rPr>
                <w:b/>
              </w:rPr>
              <w:t xml:space="preserve">January </w:t>
            </w:r>
            <w:r w:rsidR="00870DFD">
              <w:rPr>
                <w:b/>
              </w:rPr>
              <w:t>–</w:t>
            </w:r>
            <w:r w:rsidR="00262A00">
              <w:rPr>
                <w:b/>
              </w:rPr>
              <w:t xml:space="preserve"> </w:t>
            </w:r>
            <w:r>
              <w:rPr>
                <w:b/>
              </w:rPr>
              <w:t>March</w:t>
            </w:r>
            <w:r w:rsidR="006E40E9">
              <w:rPr>
                <w:b/>
              </w:rPr>
              <w:t xml:space="preserve"> </w:t>
            </w:r>
            <w:r w:rsidR="00B67E77">
              <w:rPr>
                <w:b/>
              </w:rPr>
              <w:t>201</w:t>
            </w:r>
            <w:r w:rsidR="005B2F44">
              <w:rPr>
                <w:b/>
              </w:rPr>
              <w:t>6</w:t>
            </w:r>
            <w:r w:rsidR="00530321">
              <w:tab/>
            </w:r>
            <w:r w:rsidR="00530321">
              <w:tab/>
            </w:r>
            <w:r w:rsidR="00530321">
              <w:tab/>
            </w:r>
            <w:r w:rsidR="00530321">
              <w:tab/>
              <w:t xml:space="preserve">  </w:t>
            </w:r>
            <w:r w:rsidR="00C373F3">
              <w:t xml:space="preserve">  </w:t>
            </w:r>
            <w:r w:rsidR="0031319A">
              <w:t xml:space="preserve">                                                </w:t>
            </w:r>
            <w:r w:rsidR="00262A00">
              <w:t xml:space="preserve"> </w:t>
            </w:r>
            <w:r w:rsidR="005A1251">
              <w:t>Issued</w:t>
            </w:r>
            <w:r w:rsidR="00955527">
              <w:t xml:space="preserve">: </w:t>
            </w:r>
            <w:r w:rsidR="00671CA3">
              <w:t>8</w:t>
            </w:r>
            <w:r w:rsidR="00CC02B8">
              <w:t xml:space="preserve"> </w:t>
            </w:r>
            <w:r w:rsidR="00671CA3">
              <w:t>January</w:t>
            </w:r>
            <w:r w:rsidR="00473189">
              <w:t xml:space="preserve"> </w:t>
            </w:r>
            <w:r w:rsidR="00E9570F">
              <w:t>201</w:t>
            </w:r>
            <w:r w:rsidR="00671CA3">
              <w:t>6</w:t>
            </w:r>
          </w:p>
        </w:tc>
      </w:tr>
    </w:tbl>
    <w:p w14:paraId="2621D793" w14:textId="5863B1EA" w:rsidR="00536FD0" w:rsidRDefault="00305E33">
      <w:r w:rsidRPr="00292248">
        <w:t xml:space="preserve">Hold mouse over links and press </w:t>
      </w:r>
      <w:r w:rsidRPr="00292248">
        <w:rPr>
          <w:b/>
        </w:rPr>
        <w:t>ctrl + left click</w:t>
      </w:r>
      <w:r w:rsidRPr="00292248">
        <w:t xml:space="preserve"> to jump</w:t>
      </w:r>
      <w:r>
        <w:t xml:space="preserve"> to the information you require</w:t>
      </w:r>
      <w:r w:rsidR="00FA5589">
        <w:t>:</w:t>
      </w:r>
    </w:p>
    <w:p w14:paraId="22BF74C3" w14:textId="777FDEDD" w:rsidR="00EA5B29" w:rsidRDefault="00FC4AD1" w:rsidP="00EA5B29">
      <w:pPr>
        <w:spacing w:after="0"/>
        <w:rPr>
          <w:rStyle w:val="Hyperlink"/>
        </w:rPr>
      </w:pPr>
      <w:hyperlink w:anchor="overview" w:history="1">
        <w:r w:rsidR="00487DEF" w:rsidRPr="002405AB">
          <w:rPr>
            <w:rStyle w:val="Hyperlink"/>
          </w:rPr>
          <w:t>Overview</w:t>
        </w:r>
      </w:hyperlink>
      <w:r w:rsidR="006C0B56">
        <w:br/>
      </w:r>
      <w:r w:rsidR="00B00D52">
        <w:rPr>
          <w:b/>
        </w:rPr>
        <w:br/>
      </w:r>
      <w:r w:rsidR="006C0B56" w:rsidRPr="006C0B56">
        <w:rPr>
          <w:b/>
        </w:rPr>
        <w:t>Regional predictions for the next three months:</w:t>
      </w:r>
      <w:r w:rsidR="006C0B56">
        <w:br/>
      </w:r>
      <w:hyperlink w:anchor="nthldauckwaikbop" w:history="1">
        <w:r w:rsidR="006C0B56" w:rsidRPr="00B00D52">
          <w:rPr>
            <w:rStyle w:val="Hyperlink"/>
          </w:rPr>
          <w:t>Northland, Auckland, Waikato, Bay of Plenty</w:t>
        </w:r>
      </w:hyperlink>
    </w:p>
    <w:p w14:paraId="2C135C66" w14:textId="5B2D0B18" w:rsidR="00EA5B29" w:rsidRDefault="00FC4AD1" w:rsidP="00EA5B29">
      <w:pPr>
        <w:spacing w:after="0"/>
        <w:rPr>
          <w:rStyle w:val="Hyperlink"/>
        </w:rPr>
      </w:pPr>
      <w:hyperlink w:anchor="centnitarwangmanwel" w:tooltip="Central North Island" w:history="1">
        <w:r w:rsidR="00EA5B29" w:rsidRPr="00EA5B29">
          <w:rPr>
            <w:rStyle w:val="Hyperlink"/>
          </w:rPr>
          <w:t xml:space="preserve">Central North Island, </w:t>
        </w:r>
        <w:r w:rsidR="00EA5B29">
          <w:rPr>
            <w:rStyle w:val="Hyperlink"/>
          </w:rPr>
          <w:t xml:space="preserve">Taranaki, </w:t>
        </w:r>
        <w:r w:rsidR="00EA5B29" w:rsidRPr="00EA5B29">
          <w:rPr>
            <w:rStyle w:val="Hyperlink"/>
          </w:rPr>
          <w:t>Wanganui, Manawatu, Wellington</w:t>
        </w:r>
      </w:hyperlink>
    </w:p>
    <w:p w14:paraId="7B57D9B2" w14:textId="42A8A775" w:rsidR="006C0B56" w:rsidRPr="00083E47" w:rsidRDefault="00FC4AD1">
      <w:pPr>
        <w:rPr>
          <w:color w:val="0000FF" w:themeColor="hyperlink"/>
          <w:u w:val="single"/>
        </w:rPr>
      </w:pPr>
      <w:hyperlink w:anchor="gishbwair" w:history="1">
        <w:r w:rsidR="006C0B56" w:rsidRPr="00B00D52">
          <w:rPr>
            <w:rStyle w:val="Hyperlink"/>
          </w:rPr>
          <w:t>Gisborne, Hawke’s Bay, Wairarapa</w:t>
        </w:r>
      </w:hyperlink>
      <w:r w:rsidR="006C0B56" w:rsidRPr="00083E47">
        <w:rPr>
          <w:rStyle w:val="Hyperlink"/>
        </w:rPr>
        <w:br/>
      </w:r>
      <w:hyperlink w:anchor="nelsmarlbull" w:history="1">
        <w:r w:rsidR="006C0B56" w:rsidRPr="00B00D52">
          <w:rPr>
            <w:rStyle w:val="Hyperlink"/>
          </w:rPr>
          <w:t>Nelson, Marlborough, Buller</w:t>
        </w:r>
      </w:hyperlink>
      <w:r w:rsidR="006C0B56" w:rsidRPr="00083E47">
        <w:rPr>
          <w:rStyle w:val="Hyperlink"/>
        </w:rPr>
        <w:br/>
      </w:r>
      <w:hyperlink w:anchor="wcalpsfooteotag" w:tooltip="West Coast, Alps and foothills, inland Otago and Southland" w:history="1">
        <w:r w:rsidR="00EA5B29" w:rsidRPr="00EA5B29">
          <w:rPr>
            <w:rStyle w:val="Hyperlink"/>
          </w:rPr>
          <w:t>West Coast, Alps and foothills, inland Otago and Southland</w:t>
        </w:r>
      </w:hyperlink>
      <w:r w:rsidR="006C0B56" w:rsidRPr="00083E47">
        <w:rPr>
          <w:rStyle w:val="Hyperlink"/>
        </w:rPr>
        <w:br/>
      </w:r>
      <w:hyperlink w:anchor="coastcanteotag" w:history="1">
        <w:r w:rsidR="006C0B56" w:rsidRPr="00B00D52">
          <w:rPr>
            <w:rStyle w:val="Hyperlink"/>
          </w:rPr>
          <w:t>Coastal Canterbury, east Otago</w:t>
        </w:r>
      </w:hyperlink>
      <w:r w:rsidR="006C0B56" w:rsidRPr="00083E47">
        <w:rPr>
          <w:rStyle w:val="Hyperlink"/>
        </w:rPr>
        <w:br/>
      </w:r>
      <w:hyperlink w:anchor="background" w:history="1">
        <w:r w:rsidR="006C0B56" w:rsidRPr="00B00D52">
          <w:rPr>
            <w:rStyle w:val="Hyperlink"/>
          </w:rPr>
          <w:t>Background</w:t>
        </w:r>
      </w:hyperlink>
      <w:r w:rsidR="006C0B56" w:rsidRPr="00083E47">
        <w:rPr>
          <w:rStyle w:val="Hyperlink"/>
        </w:rPr>
        <w:br/>
      </w:r>
      <w:hyperlink w:anchor="contacts" w:history="1">
        <w:r w:rsidR="006C0B56" w:rsidRPr="00B00D52">
          <w:rPr>
            <w:rStyle w:val="Hyperlink"/>
          </w:rPr>
          <w:t>Contacts</w:t>
        </w:r>
      </w:hyperlink>
      <w:r w:rsidR="006C0B56">
        <w:br/>
      </w:r>
      <w:hyperlink w:anchor="notes" w:history="1">
        <w:r w:rsidR="006C0B56" w:rsidRPr="00B00D52">
          <w:rPr>
            <w:rStyle w:val="Hyperlink"/>
          </w:rPr>
          <w:t>Notes to reporters and editors</w:t>
        </w:r>
      </w:hyperlink>
      <w:r w:rsidR="002C5588">
        <w:br/>
      </w:r>
    </w:p>
    <w:p w14:paraId="744783D0" w14:textId="5635D5D2" w:rsidR="001C5577" w:rsidRPr="00521CA1" w:rsidRDefault="00A2669B" w:rsidP="00C91878">
      <w:pPr>
        <w:tabs>
          <w:tab w:val="center" w:pos="4513"/>
        </w:tabs>
        <w:rPr>
          <w:color w:val="1F497D" w:themeColor="text2"/>
          <w:sz w:val="36"/>
          <w:szCs w:val="36"/>
        </w:rPr>
      </w:pPr>
      <w:bookmarkStart w:id="1" w:name="summary"/>
      <w:r>
        <w:rPr>
          <w:color w:val="1F497D" w:themeColor="text2"/>
          <w:sz w:val="36"/>
          <w:szCs w:val="36"/>
        </w:rPr>
        <w:t xml:space="preserve">NIWA Outlook: </w:t>
      </w:r>
      <w:r w:rsidR="009D276E">
        <w:rPr>
          <w:color w:val="1F497D" w:themeColor="text2"/>
          <w:sz w:val="36"/>
          <w:szCs w:val="36"/>
        </w:rPr>
        <w:t>January</w:t>
      </w:r>
      <w:r w:rsidR="005B2F44">
        <w:rPr>
          <w:color w:val="1F497D" w:themeColor="text2"/>
          <w:sz w:val="36"/>
          <w:szCs w:val="36"/>
        </w:rPr>
        <w:t xml:space="preserve"> </w:t>
      </w:r>
      <w:r w:rsidR="00A90E04">
        <w:rPr>
          <w:color w:val="1F497D" w:themeColor="text2"/>
          <w:sz w:val="36"/>
          <w:szCs w:val="36"/>
        </w:rPr>
        <w:t>-</w:t>
      </w:r>
      <w:r w:rsidR="00D720FF">
        <w:rPr>
          <w:color w:val="1F497D" w:themeColor="text2"/>
          <w:sz w:val="36"/>
          <w:szCs w:val="36"/>
        </w:rPr>
        <w:t xml:space="preserve"> March</w:t>
      </w:r>
      <w:r w:rsidR="00A90E04">
        <w:rPr>
          <w:color w:val="1F497D" w:themeColor="text2"/>
          <w:sz w:val="36"/>
          <w:szCs w:val="36"/>
        </w:rPr>
        <w:t xml:space="preserve"> </w:t>
      </w:r>
      <w:r w:rsidR="00B67E77">
        <w:rPr>
          <w:color w:val="1F497D" w:themeColor="text2"/>
          <w:sz w:val="36"/>
          <w:szCs w:val="36"/>
        </w:rPr>
        <w:t>201</w:t>
      </w:r>
      <w:r w:rsidR="005B2F44">
        <w:rPr>
          <w:color w:val="1F497D" w:themeColor="text2"/>
          <w:sz w:val="36"/>
          <w:szCs w:val="36"/>
        </w:rPr>
        <w:t>6</w:t>
      </w:r>
    </w:p>
    <w:p w14:paraId="5A711328" w14:textId="1242F556" w:rsidR="00073003" w:rsidRPr="00B00D52" w:rsidRDefault="00073003" w:rsidP="00073003">
      <w:pPr>
        <w:rPr>
          <w:color w:val="1F497D" w:themeColor="text2"/>
          <w:sz w:val="28"/>
          <w:szCs w:val="28"/>
        </w:rPr>
      </w:pPr>
      <w:bookmarkStart w:id="2" w:name="overview"/>
      <w:bookmarkEnd w:id="1"/>
      <w:bookmarkEnd w:id="2"/>
      <w:r>
        <w:rPr>
          <w:color w:val="1F497D" w:themeColor="text2"/>
          <w:sz w:val="28"/>
          <w:szCs w:val="28"/>
        </w:rPr>
        <w:t>Overview</w:t>
      </w:r>
    </w:p>
    <w:p w14:paraId="41EE64A7" w14:textId="0F8D8E0E" w:rsidR="00574EDE" w:rsidRPr="00DF6BDF" w:rsidRDefault="00912E50" w:rsidP="00262A00">
      <w:pPr>
        <w:rPr>
          <w:color w:val="FF0000"/>
          <w:szCs w:val="24"/>
        </w:rPr>
      </w:pPr>
      <w:r>
        <w:rPr>
          <w:szCs w:val="24"/>
        </w:rPr>
        <w:t>Strong</w:t>
      </w:r>
      <w:r w:rsidRPr="001D6931">
        <w:rPr>
          <w:szCs w:val="24"/>
        </w:rPr>
        <w:t xml:space="preserve"> El Niño conditions</w:t>
      </w:r>
      <w:r w:rsidR="00410968">
        <w:rPr>
          <w:szCs w:val="24"/>
        </w:rPr>
        <w:t xml:space="preserve"> continued to dominate the t</w:t>
      </w:r>
      <w:r>
        <w:rPr>
          <w:szCs w:val="24"/>
        </w:rPr>
        <w:t>ropical Pacific during December 2015.</w:t>
      </w:r>
      <w:r w:rsidRPr="001D6931">
        <w:rPr>
          <w:szCs w:val="24"/>
        </w:rPr>
        <w:t xml:space="preserve"> </w:t>
      </w:r>
      <w:r w:rsidR="00F83414">
        <w:rPr>
          <w:szCs w:val="24"/>
        </w:rPr>
        <w:t>S</w:t>
      </w:r>
      <w:r w:rsidR="00D720FF">
        <w:rPr>
          <w:szCs w:val="24"/>
        </w:rPr>
        <w:t>ea surface temperature</w:t>
      </w:r>
      <w:r w:rsidRPr="001D6931">
        <w:rPr>
          <w:szCs w:val="24"/>
        </w:rPr>
        <w:t xml:space="preserve"> anomalies in the central and eastern Pacific </w:t>
      </w:r>
      <w:r>
        <w:rPr>
          <w:szCs w:val="24"/>
        </w:rPr>
        <w:t>have weakened slightly</w:t>
      </w:r>
      <w:r w:rsidR="00BA61CD">
        <w:rPr>
          <w:szCs w:val="24"/>
        </w:rPr>
        <w:t>,</w:t>
      </w:r>
      <w:r>
        <w:rPr>
          <w:szCs w:val="24"/>
        </w:rPr>
        <w:t xml:space="preserve"> but still exceed </w:t>
      </w:r>
      <w:r w:rsidRPr="001D6931">
        <w:rPr>
          <w:szCs w:val="24"/>
        </w:rPr>
        <w:t>+2</w:t>
      </w:r>
      <w:r w:rsidRPr="001D6931">
        <w:rPr>
          <w:szCs w:val="24"/>
          <w:vertAlign w:val="superscript"/>
        </w:rPr>
        <w:t>o</w:t>
      </w:r>
      <w:r w:rsidRPr="001D6931">
        <w:rPr>
          <w:szCs w:val="24"/>
        </w:rPr>
        <w:t>C</w:t>
      </w:r>
      <w:r>
        <w:rPr>
          <w:szCs w:val="24"/>
        </w:rPr>
        <w:t xml:space="preserve">. The SOI is weakly negative at -0.6 for </w:t>
      </w:r>
      <w:r w:rsidR="00D720FF">
        <w:rPr>
          <w:szCs w:val="24"/>
        </w:rPr>
        <w:t>the month of December;</w:t>
      </w:r>
      <w:r>
        <w:rPr>
          <w:szCs w:val="24"/>
        </w:rPr>
        <w:t xml:space="preserve"> however</w:t>
      </w:r>
      <w:r w:rsidR="00D720FF">
        <w:rPr>
          <w:szCs w:val="24"/>
        </w:rPr>
        <w:t>,</w:t>
      </w:r>
      <w:r>
        <w:rPr>
          <w:szCs w:val="24"/>
        </w:rPr>
        <w:t xml:space="preserve"> strong</w:t>
      </w:r>
      <w:r w:rsidRPr="001D6931">
        <w:rPr>
          <w:szCs w:val="24"/>
        </w:rPr>
        <w:t xml:space="preserve"> westerly wind anomalies (weaker easterly trade-winds) </w:t>
      </w:r>
      <w:r>
        <w:rPr>
          <w:szCs w:val="24"/>
        </w:rPr>
        <w:t>continue to affect the western and central Pacific</w:t>
      </w:r>
      <w:r w:rsidRPr="001D6931">
        <w:rPr>
          <w:szCs w:val="24"/>
        </w:rPr>
        <w:t>.</w:t>
      </w:r>
      <w:r w:rsidR="00262A00">
        <w:rPr>
          <w:szCs w:val="24"/>
        </w:rPr>
        <w:t xml:space="preserve"> </w:t>
      </w:r>
      <w:r w:rsidR="00DF6BDF">
        <w:rPr>
          <w:szCs w:val="24"/>
        </w:rPr>
        <w:t>Several ENSO indicators showed a weakening in the last two weeks, raising the possibility that El Niño could have reac</w:t>
      </w:r>
      <w:r w:rsidR="00D720FF">
        <w:rPr>
          <w:szCs w:val="24"/>
        </w:rPr>
        <w:t>hed its peak at the end of 2015. H</w:t>
      </w:r>
      <w:r w:rsidR="00DF6BDF">
        <w:rPr>
          <w:szCs w:val="24"/>
        </w:rPr>
        <w:t>owever</w:t>
      </w:r>
      <w:r w:rsidR="00D720FF">
        <w:rPr>
          <w:szCs w:val="24"/>
        </w:rPr>
        <w:t>,</w:t>
      </w:r>
      <w:r w:rsidR="00DF6BDF">
        <w:rPr>
          <w:szCs w:val="24"/>
        </w:rPr>
        <w:t xml:space="preserve"> the current event is expected to remain in the strong category for the next three months, and the impacts of El Niño on New Zealand’s climate </w:t>
      </w:r>
      <w:r w:rsidR="003816E9">
        <w:rPr>
          <w:szCs w:val="24"/>
        </w:rPr>
        <w:t>will lik</w:t>
      </w:r>
      <w:r w:rsidR="00157063">
        <w:rPr>
          <w:szCs w:val="24"/>
        </w:rPr>
        <w:t>ely</w:t>
      </w:r>
      <w:r w:rsidR="00DF6BDF">
        <w:rPr>
          <w:szCs w:val="24"/>
        </w:rPr>
        <w:t xml:space="preserve"> persist into autumn.  </w:t>
      </w:r>
    </w:p>
    <w:p w14:paraId="0E548816" w14:textId="448F6496" w:rsidR="003F0BC9" w:rsidRDefault="00BA61CD" w:rsidP="00574EDE">
      <w:pPr>
        <w:rPr>
          <w:szCs w:val="24"/>
        </w:rPr>
      </w:pPr>
      <w:r>
        <w:rPr>
          <w:szCs w:val="24"/>
        </w:rPr>
        <w:t>I</w:t>
      </w:r>
      <w:r w:rsidR="003F0BC9" w:rsidRPr="001D6931">
        <w:rPr>
          <w:szCs w:val="24"/>
        </w:rPr>
        <w:t xml:space="preserve">nternational guidance indicates that El Niño </w:t>
      </w:r>
      <w:r w:rsidR="003F0BC9">
        <w:rPr>
          <w:szCs w:val="24"/>
        </w:rPr>
        <w:t>conditions will continue</w:t>
      </w:r>
      <w:r w:rsidR="003F0BC9" w:rsidRPr="001D6931">
        <w:rPr>
          <w:szCs w:val="24"/>
        </w:rPr>
        <w:t xml:space="preserve"> (100% probability) over the next three months</w:t>
      </w:r>
      <w:r w:rsidR="003F0BC9">
        <w:rPr>
          <w:szCs w:val="24"/>
        </w:rPr>
        <w:t xml:space="preserve"> (January – March 2016) and will rapidly decay </w:t>
      </w:r>
      <w:r w:rsidR="00BB337B">
        <w:rPr>
          <w:szCs w:val="24"/>
        </w:rPr>
        <w:t>thereafter</w:t>
      </w:r>
      <w:r w:rsidR="003F0BC9">
        <w:rPr>
          <w:szCs w:val="24"/>
        </w:rPr>
        <w:t>, with a return to normal conditions or a transition to La Niña conditions by July – September 2016.</w:t>
      </w:r>
    </w:p>
    <w:p w14:paraId="1573CB07" w14:textId="572B8439" w:rsidR="00574EDE" w:rsidRDefault="00574EDE" w:rsidP="00574EDE">
      <w:pPr>
        <w:rPr>
          <w:color w:val="FF0000"/>
          <w:szCs w:val="24"/>
        </w:rPr>
      </w:pPr>
      <w:r w:rsidRPr="00984269">
        <w:t xml:space="preserve">For </w:t>
      </w:r>
      <w:r w:rsidR="00CB7B98">
        <w:t>January</w:t>
      </w:r>
      <w:r w:rsidRPr="00984269">
        <w:t xml:space="preserve"> - </w:t>
      </w:r>
      <w:r w:rsidR="009E0A14">
        <w:t>March</w:t>
      </w:r>
      <w:r w:rsidRPr="00984269">
        <w:t xml:space="preserve"> 2016, </w:t>
      </w:r>
      <w:r w:rsidR="00E71F29" w:rsidRPr="00984269">
        <w:t xml:space="preserve">above normal pressure is forecast to the north of New Zealand, while below normal pressure is </w:t>
      </w:r>
      <w:r w:rsidR="00E71F29">
        <w:t>expected</w:t>
      </w:r>
      <w:r w:rsidR="00E71F29" w:rsidRPr="00984269">
        <w:t xml:space="preserve"> to the south of the country.  This circulation pattern is likely to be accompanied by anomalous westerly</w:t>
      </w:r>
      <w:r w:rsidR="00E71F29">
        <w:t xml:space="preserve"> wind flows – a signature consistent with</w:t>
      </w:r>
      <w:r w:rsidR="00E71F29" w:rsidRPr="00984269">
        <w:t xml:space="preserve"> El Niño</w:t>
      </w:r>
      <w:r w:rsidRPr="00984269">
        <w:t>.</w:t>
      </w:r>
    </w:p>
    <w:p w14:paraId="164075A8" w14:textId="77777777" w:rsidR="00574EDE" w:rsidRDefault="00574EDE" w:rsidP="00FB1047">
      <w:pPr>
        <w:rPr>
          <w:color w:val="1F497D" w:themeColor="text2"/>
          <w:sz w:val="28"/>
          <w:szCs w:val="28"/>
        </w:rPr>
      </w:pPr>
    </w:p>
    <w:p w14:paraId="04DD102B" w14:textId="3C53D32C" w:rsidR="00FB1047" w:rsidRPr="00B00D52" w:rsidRDefault="00073003" w:rsidP="00FB1047">
      <w:pPr>
        <w:rPr>
          <w:color w:val="1F497D" w:themeColor="text2"/>
          <w:sz w:val="28"/>
          <w:szCs w:val="28"/>
        </w:rPr>
      </w:pPr>
      <w:r>
        <w:rPr>
          <w:color w:val="1F497D" w:themeColor="text2"/>
          <w:sz w:val="28"/>
          <w:szCs w:val="28"/>
        </w:rPr>
        <w:lastRenderedPageBreak/>
        <w:t>Outlook Summary</w:t>
      </w:r>
    </w:p>
    <w:p w14:paraId="567402E3" w14:textId="1E3C73E2" w:rsidR="0055711D" w:rsidRPr="0055711D" w:rsidRDefault="003957C3" w:rsidP="0055711D">
      <w:pPr>
        <w:pStyle w:val="NormalWeb"/>
        <w:rPr>
          <w:rFonts w:asciiTheme="minorHAnsi" w:hAnsiTheme="minorHAnsi"/>
          <w:color w:val="000000"/>
          <w:sz w:val="22"/>
          <w:szCs w:val="22"/>
        </w:rPr>
      </w:pPr>
      <w:r>
        <w:rPr>
          <w:rFonts w:asciiTheme="minorHAnsi" w:hAnsiTheme="minorHAnsi"/>
          <w:color w:val="000000"/>
          <w:sz w:val="22"/>
          <w:szCs w:val="22"/>
        </w:rPr>
        <w:t>January</w:t>
      </w:r>
      <w:r w:rsidR="0055711D" w:rsidRPr="0055711D">
        <w:rPr>
          <w:rFonts w:asciiTheme="minorHAnsi" w:hAnsiTheme="minorHAnsi"/>
          <w:color w:val="000000"/>
          <w:sz w:val="22"/>
          <w:szCs w:val="22"/>
        </w:rPr>
        <w:t xml:space="preserve"> - </w:t>
      </w:r>
      <w:r>
        <w:rPr>
          <w:rFonts w:asciiTheme="minorHAnsi" w:hAnsiTheme="minorHAnsi"/>
          <w:color w:val="000000"/>
          <w:sz w:val="22"/>
          <w:szCs w:val="22"/>
        </w:rPr>
        <w:t>March</w:t>
      </w:r>
      <w:r w:rsidR="0055711D" w:rsidRPr="0055711D">
        <w:rPr>
          <w:rFonts w:asciiTheme="minorHAnsi" w:hAnsiTheme="minorHAnsi"/>
          <w:color w:val="000000"/>
          <w:sz w:val="22"/>
          <w:szCs w:val="22"/>
        </w:rPr>
        <w:t xml:space="preserve"> 2016 temperatures are most likely (45% chance) to be </w:t>
      </w:r>
      <w:r w:rsidR="00B82F20">
        <w:rPr>
          <w:rFonts w:asciiTheme="minorHAnsi" w:hAnsiTheme="minorHAnsi"/>
          <w:color w:val="000000"/>
          <w:sz w:val="22"/>
          <w:szCs w:val="22"/>
        </w:rPr>
        <w:t>above</w:t>
      </w:r>
      <w:r w:rsidR="0055711D" w:rsidRPr="0055711D">
        <w:rPr>
          <w:rFonts w:asciiTheme="minorHAnsi" w:hAnsiTheme="minorHAnsi"/>
          <w:color w:val="000000"/>
          <w:sz w:val="22"/>
          <w:szCs w:val="22"/>
        </w:rPr>
        <w:t xml:space="preserve"> average for the </w:t>
      </w:r>
      <w:r w:rsidR="00B82F20">
        <w:rPr>
          <w:rFonts w:asciiTheme="minorHAnsi" w:hAnsiTheme="minorHAnsi"/>
          <w:color w:val="000000"/>
          <w:sz w:val="22"/>
          <w:szCs w:val="22"/>
        </w:rPr>
        <w:t>east</w:t>
      </w:r>
      <w:r w:rsidR="0055711D" w:rsidRPr="0055711D">
        <w:rPr>
          <w:rFonts w:asciiTheme="minorHAnsi" w:hAnsiTheme="minorHAnsi"/>
          <w:color w:val="000000"/>
          <w:sz w:val="22"/>
          <w:szCs w:val="22"/>
        </w:rPr>
        <w:t xml:space="preserve"> of the North Island</w:t>
      </w:r>
      <w:r w:rsidR="00DC6632">
        <w:rPr>
          <w:rFonts w:asciiTheme="minorHAnsi" w:hAnsiTheme="minorHAnsi"/>
          <w:color w:val="000000"/>
          <w:sz w:val="22"/>
          <w:szCs w:val="22"/>
        </w:rPr>
        <w:t>.</w:t>
      </w:r>
      <w:r w:rsidR="0055711D" w:rsidRPr="0055711D">
        <w:rPr>
          <w:rFonts w:asciiTheme="minorHAnsi" w:hAnsiTheme="minorHAnsi"/>
          <w:color w:val="000000"/>
          <w:sz w:val="22"/>
          <w:szCs w:val="22"/>
        </w:rPr>
        <w:t>  Temperatures are about equally likely to be near average (</w:t>
      </w:r>
      <w:r w:rsidR="00DB0292">
        <w:rPr>
          <w:rFonts w:asciiTheme="minorHAnsi" w:hAnsiTheme="minorHAnsi"/>
          <w:color w:val="000000"/>
          <w:sz w:val="22"/>
          <w:szCs w:val="22"/>
        </w:rPr>
        <w:t>35</w:t>
      </w:r>
      <w:r w:rsidR="0055711D" w:rsidRPr="0055711D">
        <w:rPr>
          <w:rFonts w:asciiTheme="minorHAnsi" w:hAnsiTheme="minorHAnsi"/>
          <w:color w:val="000000"/>
          <w:sz w:val="22"/>
          <w:szCs w:val="22"/>
        </w:rPr>
        <w:t xml:space="preserve">% chance) or </w:t>
      </w:r>
      <w:r w:rsidR="00DB0292">
        <w:rPr>
          <w:rFonts w:asciiTheme="minorHAnsi" w:hAnsiTheme="minorHAnsi"/>
          <w:color w:val="000000"/>
          <w:sz w:val="22"/>
          <w:szCs w:val="22"/>
        </w:rPr>
        <w:t>above</w:t>
      </w:r>
      <w:r w:rsidR="0055711D" w:rsidRPr="0055711D">
        <w:rPr>
          <w:rFonts w:asciiTheme="minorHAnsi" w:hAnsiTheme="minorHAnsi"/>
          <w:color w:val="000000"/>
          <w:sz w:val="22"/>
          <w:szCs w:val="22"/>
        </w:rPr>
        <w:t xml:space="preserve"> </w:t>
      </w:r>
      <w:r w:rsidR="001F3715">
        <w:rPr>
          <w:rFonts w:asciiTheme="minorHAnsi" w:hAnsiTheme="minorHAnsi"/>
          <w:color w:val="000000"/>
          <w:sz w:val="22"/>
          <w:szCs w:val="22"/>
        </w:rPr>
        <w:t>average</w:t>
      </w:r>
      <w:r w:rsidR="00DF0F8E">
        <w:rPr>
          <w:rFonts w:asciiTheme="minorHAnsi" w:hAnsiTheme="minorHAnsi"/>
          <w:color w:val="000000"/>
          <w:sz w:val="22"/>
          <w:szCs w:val="22"/>
        </w:rPr>
        <w:t xml:space="preserve"> (40</w:t>
      </w:r>
      <w:r w:rsidR="0055711D" w:rsidRPr="0055711D">
        <w:rPr>
          <w:rFonts w:asciiTheme="minorHAnsi" w:hAnsiTheme="minorHAnsi"/>
          <w:color w:val="000000"/>
          <w:sz w:val="22"/>
          <w:szCs w:val="22"/>
        </w:rPr>
        <w:t>% chance) for all remaining regions of the country.</w:t>
      </w:r>
    </w:p>
    <w:p w14:paraId="3B9FA4AC" w14:textId="3AF70D41" w:rsidR="0055711D" w:rsidRPr="0055711D" w:rsidRDefault="00E86725" w:rsidP="0055711D">
      <w:pPr>
        <w:pStyle w:val="NormalWeb"/>
        <w:rPr>
          <w:rFonts w:asciiTheme="minorHAnsi" w:hAnsiTheme="minorHAnsi"/>
          <w:color w:val="000000"/>
          <w:sz w:val="22"/>
          <w:szCs w:val="22"/>
        </w:rPr>
      </w:pPr>
      <w:r>
        <w:rPr>
          <w:rFonts w:asciiTheme="minorHAnsi" w:hAnsiTheme="minorHAnsi"/>
          <w:color w:val="000000"/>
          <w:sz w:val="22"/>
          <w:szCs w:val="22"/>
        </w:rPr>
        <w:t>January</w:t>
      </w:r>
      <w:r w:rsidRPr="0055711D">
        <w:rPr>
          <w:rFonts w:asciiTheme="minorHAnsi" w:hAnsiTheme="minorHAnsi"/>
          <w:color w:val="000000"/>
          <w:sz w:val="22"/>
          <w:szCs w:val="22"/>
        </w:rPr>
        <w:t xml:space="preserve"> - </w:t>
      </w:r>
      <w:r>
        <w:rPr>
          <w:rFonts w:asciiTheme="minorHAnsi" w:hAnsiTheme="minorHAnsi"/>
          <w:color w:val="000000"/>
          <w:sz w:val="22"/>
          <w:szCs w:val="22"/>
        </w:rPr>
        <w:t>March</w:t>
      </w:r>
      <w:r w:rsidRPr="0055711D">
        <w:rPr>
          <w:rFonts w:asciiTheme="minorHAnsi" w:hAnsiTheme="minorHAnsi"/>
          <w:color w:val="000000"/>
          <w:sz w:val="22"/>
          <w:szCs w:val="22"/>
        </w:rPr>
        <w:t xml:space="preserve"> 2016 </w:t>
      </w:r>
      <w:r w:rsidR="0055711D" w:rsidRPr="0055711D">
        <w:rPr>
          <w:rFonts w:asciiTheme="minorHAnsi" w:hAnsiTheme="minorHAnsi"/>
          <w:color w:val="000000"/>
          <w:sz w:val="22"/>
          <w:szCs w:val="22"/>
        </w:rPr>
        <w:t>rainfall is most likely (45%</w:t>
      </w:r>
      <w:r w:rsidR="004D6572">
        <w:rPr>
          <w:rFonts w:asciiTheme="minorHAnsi" w:hAnsiTheme="minorHAnsi"/>
          <w:color w:val="000000"/>
          <w:sz w:val="22"/>
          <w:szCs w:val="22"/>
        </w:rPr>
        <w:t xml:space="preserve"> chance</w:t>
      </w:r>
      <w:r w:rsidR="0055711D" w:rsidRPr="0055711D">
        <w:rPr>
          <w:rFonts w:asciiTheme="minorHAnsi" w:hAnsiTheme="minorHAnsi"/>
          <w:color w:val="000000"/>
          <w:sz w:val="22"/>
          <w:szCs w:val="22"/>
        </w:rPr>
        <w:t>) to be below normal for the north of the North Island. Seasonal rainfall totals are about equally likely to be near normal (35-40% chance) or below normal (35-40% chance) for</w:t>
      </w:r>
      <w:r w:rsidR="009154B9">
        <w:rPr>
          <w:rFonts w:asciiTheme="minorHAnsi" w:hAnsiTheme="minorHAnsi"/>
          <w:color w:val="000000"/>
          <w:sz w:val="22"/>
          <w:szCs w:val="22"/>
        </w:rPr>
        <w:t xml:space="preserve"> </w:t>
      </w:r>
      <w:r w:rsidR="00023F5E">
        <w:rPr>
          <w:rFonts w:asciiTheme="minorHAnsi" w:hAnsiTheme="minorHAnsi"/>
          <w:color w:val="000000"/>
          <w:sz w:val="22"/>
          <w:szCs w:val="22"/>
        </w:rPr>
        <w:t xml:space="preserve">the </w:t>
      </w:r>
      <w:r w:rsidR="009154B9">
        <w:rPr>
          <w:rFonts w:asciiTheme="minorHAnsi" w:hAnsiTheme="minorHAnsi"/>
          <w:color w:val="000000"/>
          <w:sz w:val="22"/>
          <w:szCs w:val="22"/>
        </w:rPr>
        <w:t xml:space="preserve">remaining regions of the North Island and the </w:t>
      </w:r>
      <w:r w:rsidR="0029689E">
        <w:rPr>
          <w:rFonts w:asciiTheme="minorHAnsi" w:hAnsiTheme="minorHAnsi"/>
          <w:color w:val="000000"/>
          <w:sz w:val="22"/>
          <w:szCs w:val="22"/>
        </w:rPr>
        <w:t>north and east of the South Island</w:t>
      </w:r>
      <w:r w:rsidR="0055711D" w:rsidRPr="0055711D">
        <w:rPr>
          <w:rFonts w:asciiTheme="minorHAnsi" w:hAnsiTheme="minorHAnsi"/>
          <w:color w:val="000000"/>
          <w:sz w:val="22"/>
          <w:szCs w:val="22"/>
        </w:rPr>
        <w:t>.</w:t>
      </w:r>
      <w:r w:rsidR="007E3F29">
        <w:rPr>
          <w:rFonts w:asciiTheme="minorHAnsi" w:hAnsiTheme="minorHAnsi"/>
          <w:color w:val="000000"/>
          <w:sz w:val="22"/>
          <w:szCs w:val="22"/>
        </w:rPr>
        <w:t xml:space="preserve"> January</w:t>
      </w:r>
      <w:r w:rsidR="007E3F29" w:rsidRPr="0055711D">
        <w:rPr>
          <w:rFonts w:asciiTheme="minorHAnsi" w:hAnsiTheme="minorHAnsi"/>
          <w:color w:val="000000"/>
          <w:sz w:val="22"/>
          <w:szCs w:val="22"/>
        </w:rPr>
        <w:t xml:space="preserve"> - </w:t>
      </w:r>
      <w:r w:rsidR="007E3F29">
        <w:rPr>
          <w:rFonts w:asciiTheme="minorHAnsi" w:hAnsiTheme="minorHAnsi"/>
          <w:color w:val="000000"/>
          <w:sz w:val="22"/>
          <w:szCs w:val="22"/>
        </w:rPr>
        <w:t>March</w:t>
      </w:r>
      <w:r w:rsidR="007E3F29" w:rsidRPr="0055711D">
        <w:rPr>
          <w:rFonts w:asciiTheme="minorHAnsi" w:hAnsiTheme="minorHAnsi"/>
          <w:color w:val="000000"/>
          <w:sz w:val="22"/>
          <w:szCs w:val="22"/>
        </w:rPr>
        <w:t xml:space="preserve"> 2016 rainfall</w:t>
      </w:r>
      <w:r w:rsidR="007E3F29">
        <w:rPr>
          <w:rFonts w:asciiTheme="minorHAnsi" w:hAnsiTheme="minorHAnsi"/>
          <w:color w:val="000000"/>
          <w:sz w:val="22"/>
          <w:szCs w:val="22"/>
        </w:rPr>
        <w:t xml:space="preserve"> is most likely </w:t>
      </w:r>
      <w:r w:rsidR="0055498B">
        <w:rPr>
          <w:rFonts w:asciiTheme="minorHAnsi" w:hAnsiTheme="minorHAnsi"/>
          <w:color w:val="000000"/>
          <w:sz w:val="22"/>
          <w:szCs w:val="22"/>
        </w:rPr>
        <w:t>(45</w:t>
      </w:r>
      <w:r w:rsidR="0055498B" w:rsidRPr="0055711D">
        <w:rPr>
          <w:rFonts w:asciiTheme="minorHAnsi" w:hAnsiTheme="minorHAnsi"/>
          <w:color w:val="000000"/>
          <w:sz w:val="22"/>
          <w:szCs w:val="22"/>
        </w:rPr>
        <w:t>%</w:t>
      </w:r>
      <w:r w:rsidR="00653B1D">
        <w:rPr>
          <w:rFonts w:asciiTheme="minorHAnsi" w:hAnsiTheme="minorHAnsi"/>
          <w:color w:val="000000"/>
          <w:sz w:val="22"/>
          <w:szCs w:val="22"/>
        </w:rPr>
        <w:t xml:space="preserve"> chance) to b</w:t>
      </w:r>
      <w:r w:rsidR="0055498B">
        <w:rPr>
          <w:rFonts w:asciiTheme="minorHAnsi" w:hAnsiTheme="minorHAnsi"/>
          <w:color w:val="000000"/>
          <w:sz w:val="22"/>
          <w:szCs w:val="22"/>
        </w:rPr>
        <w:t xml:space="preserve">e above normal </w:t>
      </w:r>
      <w:r w:rsidR="00974D88">
        <w:rPr>
          <w:rFonts w:asciiTheme="minorHAnsi" w:hAnsiTheme="minorHAnsi"/>
          <w:color w:val="000000"/>
          <w:sz w:val="22"/>
          <w:szCs w:val="22"/>
        </w:rPr>
        <w:t>for</w:t>
      </w:r>
      <w:r w:rsidR="0055498B">
        <w:rPr>
          <w:rFonts w:asciiTheme="minorHAnsi" w:hAnsiTheme="minorHAnsi"/>
          <w:color w:val="000000"/>
          <w:sz w:val="22"/>
          <w:szCs w:val="22"/>
        </w:rPr>
        <w:t xml:space="preserve"> the west of the South Island.</w:t>
      </w:r>
    </w:p>
    <w:p w14:paraId="389B7060" w14:textId="5DC2B6E3" w:rsidR="0055711D" w:rsidRPr="00E42CB4" w:rsidRDefault="00E86725" w:rsidP="0055711D">
      <w:pPr>
        <w:pStyle w:val="NormalWeb"/>
        <w:rPr>
          <w:rFonts w:asciiTheme="minorHAnsi" w:hAnsiTheme="minorHAnsi"/>
          <w:color w:val="000000"/>
          <w:sz w:val="22"/>
          <w:szCs w:val="22"/>
        </w:rPr>
      </w:pPr>
      <w:r w:rsidRPr="00E42CB4">
        <w:rPr>
          <w:rFonts w:asciiTheme="minorHAnsi" w:hAnsiTheme="minorHAnsi"/>
          <w:color w:val="000000"/>
          <w:sz w:val="22"/>
          <w:szCs w:val="22"/>
        </w:rPr>
        <w:t xml:space="preserve">January - March 2016 </w:t>
      </w:r>
      <w:r w:rsidR="00502177" w:rsidRPr="00E42CB4">
        <w:rPr>
          <w:rFonts w:asciiTheme="minorHAnsi" w:hAnsiTheme="minorHAnsi"/>
          <w:color w:val="000000"/>
          <w:sz w:val="22"/>
          <w:szCs w:val="22"/>
        </w:rPr>
        <w:t xml:space="preserve">soil moisture levels are most likely to be in the below normal range (45-55% chance) for the north and east of </w:t>
      </w:r>
      <w:r w:rsidR="00B4184D" w:rsidRPr="00E42CB4">
        <w:rPr>
          <w:rFonts w:asciiTheme="minorHAnsi" w:hAnsiTheme="minorHAnsi"/>
          <w:color w:val="000000"/>
          <w:sz w:val="22"/>
          <w:szCs w:val="22"/>
        </w:rPr>
        <w:t>both Islands</w:t>
      </w:r>
      <w:r w:rsidR="00BE6D78" w:rsidRPr="00E42CB4">
        <w:rPr>
          <w:rFonts w:asciiTheme="minorHAnsi" w:hAnsiTheme="minorHAnsi"/>
          <w:color w:val="000000"/>
          <w:sz w:val="22"/>
          <w:szCs w:val="22"/>
        </w:rPr>
        <w:t>.</w:t>
      </w:r>
      <w:r w:rsidR="00497C87" w:rsidRPr="00E42CB4">
        <w:rPr>
          <w:rFonts w:asciiTheme="minorHAnsi" w:hAnsiTheme="minorHAnsi"/>
          <w:color w:val="000000"/>
          <w:sz w:val="22"/>
          <w:szCs w:val="22"/>
        </w:rPr>
        <w:t xml:space="preserve"> </w:t>
      </w:r>
      <w:r w:rsidR="002C3FDB" w:rsidRPr="00E42CB4">
        <w:rPr>
          <w:rFonts w:asciiTheme="minorHAnsi" w:hAnsiTheme="minorHAnsi"/>
          <w:color w:val="000000"/>
          <w:sz w:val="22"/>
          <w:szCs w:val="22"/>
        </w:rPr>
        <w:t>Soil moisture levels are equally likely to be normal (40% chance) or below normal (40% chance) in the west of the North Island.</w:t>
      </w:r>
      <w:r w:rsidR="005C6513" w:rsidRPr="00E42CB4">
        <w:rPr>
          <w:rFonts w:asciiTheme="minorHAnsi" w:hAnsiTheme="minorHAnsi"/>
          <w:color w:val="000000"/>
          <w:sz w:val="22"/>
          <w:szCs w:val="22"/>
        </w:rPr>
        <w:t xml:space="preserve"> </w:t>
      </w:r>
      <w:r w:rsidR="00D0155D" w:rsidRPr="00E42CB4">
        <w:rPr>
          <w:rFonts w:asciiTheme="minorHAnsi" w:hAnsiTheme="minorHAnsi"/>
          <w:color w:val="000000"/>
          <w:sz w:val="22"/>
          <w:szCs w:val="22"/>
        </w:rPr>
        <w:t xml:space="preserve">In the west of the South Island, soil moisture levels are about equally likely to be in the above normal range (40% chance) or normal range (35% chance). </w:t>
      </w:r>
      <w:r w:rsidR="00583894" w:rsidRPr="00E42CB4">
        <w:rPr>
          <w:rFonts w:asciiTheme="minorHAnsi" w:hAnsiTheme="minorHAnsi"/>
          <w:color w:val="000000"/>
          <w:sz w:val="22"/>
          <w:szCs w:val="22"/>
        </w:rPr>
        <w:t xml:space="preserve"> </w:t>
      </w:r>
    </w:p>
    <w:p w14:paraId="01A93F2F" w14:textId="6A58CC3A" w:rsidR="002F4E0C" w:rsidRPr="009B0D99" w:rsidRDefault="00E86725" w:rsidP="0055711D">
      <w:pPr>
        <w:pStyle w:val="NormalWeb"/>
        <w:rPr>
          <w:rFonts w:asciiTheme="minorHAnsi" w:hAnsiTheme="minorHAnsi"/>
        </w:rPr>
      </w:pPr>
      <w:r w:rsidRPr="009B0D99">
        <w:rPr>
          <w:rFonts w:asciiTheme="minorHAnsi" w:hAnsiTheme="minorHAnsi"/>
          <w:color w:val="000000"/>
          <w:sz w:val="22"/>
          <w:szCs w:val="22"/>
        </w:rPr>
        <w:t xml:space="preserve">January - March 2016 </w:t>
      </w:r>
      <w:r w:rsidR="0055711D" w:rsidRPr="009B0D99">
        <w:rPr>
          <w:rFonts w:asciiTheme="minorHAnsi" w:hAnsiTheme="minorHAnsi"/>
          <w:color w:val="000000"/>
          <w:sz w:val="22"/>
          <w:szCs w:val="22"/>
        </w:rPr>
        <w:t xml:space="preserve">river flows are </w:t>
      </w:r>
      <w:r w:rsidR="00080A85" w:rsidRPr="009B0D99">
        <w:rPr>
          <w:rFonts w:asciiTheme="minorHAnsi" w:hAnsiTheme="minorHAnsi"/>
          <w:color w:val="000000"/>
          <w:sz w:val="22"/>
          <w:szCs w:val="22"/>
        </w:rPr>
        <w:t>most likely to be in the below normal range</w:t>
      </w:r>
      <w:r w:rsidR="0012587D" w:rsidRPr="009B0D99">
        <w:rPr>
          <w:rFonts w:asciiTheme="minorHAnsi" w:hAnsiTheme="minorHAnsi"/>
          <w:color w:val="000000"/>
          <w:sz w:val="22"/>
          <w:szCs w:val="22"/>
        </w:rPr>
        <w:t xml:space="preserve"> (45-50% chance)</w:t>
      </w:r>
      <w:r w:rsidR="00080A85" w:rsidRPr="009B0D99">
        <w:rPr>
          <w:rFonts w:asciiTheme="minorHAnsi" w:hAnsiTheme="minorHAnsi"/>
          <w:color w:val="000000"/>
          <w:sz w:val="22"/>
          <w:szCs w:val="22"/>
        </w:rPr>
        <w:t xml:space="preserve"> in the north of the North Island and the north and east of the South Island</w:t>
      </w:r>
      <w:r w:rsidR="0052662D" w:rsidRPr="009B0D99">
        <w:rPr>
          <w:rFonts w:asciiTheme="minorHAnsi" w:hAnsiTheme="minorHAnsi"/>
          <w:color w:val="000000"/>
          <w:sz w:val="22"/>
          <w:szCs w:val="22"/>
        </w:rPr>
        <w:t xml:space="preserve">. </w:t>
      </w:r>
      <w:r w:rsidR="00CA503F" w:rsidRPr="009B0D99">
        <w:rPr>
          <w:rFonts w:asciiTheme="minorHAnsi" w:hAnsiTheme="minorHAnsi"/>
          <w:color w:val="000000"/>
          <w:sz w:val="22"/>
          <w:szCs w:val="22"/>
        </w:rPr>
        <w:t xml:space="preserve">River flows are equally likely to be in the normal </w:t>
      </w:r>
      <w:r w:rsidR="00A42026" w:rsidRPr="009B0D99">
        <w:rPr>
          <w:rFonts w:asciiTheme="minorHAnsi" w:hAnsiTheme="minorHAnsi"/>
          <w:color w:val="000000"/>
          <w:sz w:val="22"/>
          <w:szCs w:val="22"/>
        </w:rPr>
        <w:t xml:space="preserve">range (40% chance) </w:t>
      </w:r>
      <w:r w:rsidR="00CA503F" w:rsidRPr="009B0D99">
        <w:rPr>
          <w:rFonts w:asciiTheme="minorHAnsi" w:hAnsiTheme="minorHAnsi"/>
          <w:color w:val="000000"/>
          <w:sz w:val="22"/>
          <w:szCs w:val="22"/>
        </w:rPr>
        <w:t>or below normal range</w:t>
      </w:r>
      <w:r w:rsidR="00D720FF">
        <w:rPr>
          <w:rFonts w:asciiTheme="minorHAnsi" w:hAnsiTheme="minorHAnsi"/>
          <w:color w:val="000000"/>
          <w:sz w:val="22"/>
          <w:szCs w:val="22"/>
        </w:rPr>
        <w:t xml:space="preserve"> </w:t>
      </w:r>
      <w:r w:rsidR="005836B4" w:rsidRPr="009B0D99">
        <w:rPr>
          <w:rFonts w:asciiTheme="minorHAnsi" w:hAnsiTheme="minorHAnsi"/>
          <w:color w:val="000000"/>
          <w:sz w:val="22"/>
          <w:szCs w:val="22"/>
        </w:rPr>
        <w:t>(40% chance)</w:t>
      </w:r>
      <w:r w:rsidR="00CA503F" w:rsidRPr="009B0D99">
        <w:rPr>
          <w:rFonts w:asciiTheme="minorHAnsi" w:hAnsiTheme="minorHAnsi"/>
          <w:color w:val="000000"/>
          <w:sz w:val="22"/>
          <w:szCs w:val="22"/>
        </w:rPr>
        <w:t xml:space="preserve"> for the west and east of the North Island.</w:t>
      </w:r>
      <w:r w:rsidR="001B3758" w:rsidRPr="009B0D99">
        <w:rPr>
          <w:rFonts w:asciiTheme="minorHAnsi" w:hAnsiTheme="minorHAnsi"/>
          <w:color w:val="000000"/>
          <w:sz w:val="22"/>
          <w:szCs w:val="22"/>
        </w:rPr>
        <w:t xml:space="preserve"> For the west of the South Island, river flows are about equally likely to be in the above normal range (40% chance) or normal range (35% chance).</w:t>
      </w:r>
    </w:p>
    <w:p w14:paraId="2F47D42C" w14:textId="75316CEB" w:rsidR="00BB7911" w:rsidRPr="00BB7911" w:rsidRDefault="00BB7911">
      <w:pPr>
        <w:rPr>
          <w:color w:val="1F497D" w:themeColor="text2"/>
          <w:sz w:val="28"/>
          <w:szCs w:val="28"/>
        </w:rPr>
      </w:pPr>
      <w:r w:rsidRPr="00BB7911">
        <w:rPr>
          <w:color w:val="1F497D" w:themeColor="text2"/>
          <w:sz w:val="28"/>
          <w:szCs w:val="28"/>
        </w:rPr>
        <w:t xml:space="preserve">Regional predictions for the </w:t>
      </w:r>
      <w:r w:rsidR="005A6065">
        <w:rPr>
          <w:color w:val="1F497D" w:themeColor="text2"/>
          <w:sz w:val="28"/>
          <w:szCs w:val="28"/>
        </w:rPr>
        <w:t>January</w:t>
      </w:r>
      <w:r w:rsidR="00F0677C">
        <w:rPr>
          <w:color w:val="1F497D" w:themeColor="text2"/>
          <w:sz w:val="28"/>
          <w:szCs w:val="28"/>
        </w:rPr>
        <w:t xml:space="preserve"> - </w:t>
      </w:r>
      <w:r w:rsidR="0041071F">
        <w:rPr>
          <w:color w:val="1F497D" w:themeColor="text2"/>
          <w:sz w:val="28"/>
          <w:szCs w:val="28"/>
        </w:rPr>
        <w:t>March</w:t>
      </w:r>
      <w:r w:rsidR="00F0677C">
        <w:rPr>
          <w:color w:val="1F497D" w:themeColor="text2"/>
          <w:sz w:val="28"/>
          <w:szCs w:val="28"/>
        </w:rPr>
        <w:t xml:space="preserve"> 2016</w:t>
      </w:r>
      <w:r w:rsidR="00D72A45">
        <w:rPr>
          <w:color w:val="1F497D" w:themeColor="text2"/>
          <w:sz w:val="28"/>
          <w:szCs w:val="28"/>
        </w:rPr>
        <w:t xml:space="preserve"> season</w:t>
      </w:r>
    </w:p>
    <w:p w14:paraId="71A376A5" w14:textId="69A75B16" w:rsidR="00BB7911" w:rsidRPr="00BB7911" w:rsidRDefault="00BB7911">
      <w:pPr>
        <w:rPr>
          <w:b/>
        </w:rPr>
      </w:pPr>
      <w:bookmarkStart w:id="3" w:name="nthldauckwaikbop"/>
      <w:bookmarkEnd w:id="3"/>
      <w:r w:rsidRPr="00BB7911">
        <w:rPr>
          <w:b/>
        </w:rPr>
        <w:t>Northland, Auckland, Waikato, Bay of Plenty</w:t>
      </w:r>
    </w:p>
    <w:p w14:paraId="08825D44" w14:textId="22F052C5" w:rsidR="00D72A45" w:rsidRPr="00BF0B54" w:rsidRDefault="0066436B" w:rsidP="00D72A45">
      <w:r w:rsidRPr="00BF0B54">
        <w:t xml:space="preserve">The table below shows the probabilities (or percent chances) for each of </w:t>
      </w:r>
      <w:r w:rsidRPr="00BF0B54">
        <w:rPr>
          <w:u w:val="single"/>
        </w:rPr>
        <w:t>three categories</w:t>
      </w:r>
      <w:r w:rsidRPr="00BF0B54">
        <w:t xml:space="preserve">: above average, near average, and below average. In the absence of any forecast guidance there would be an equal likelihood (33% chance) of the outcome being in any one of the three categories. </w:t>
      </w:r>
      <w:r w:rsidRPr="00BF0B54">
        <w:rPr>
          <w:rFonts w:eastAsia="Times New Roman" w:cs="Tahoma"/>
        </w:rPr>
        <w:t xml:space="preserve">Forecast information from </w:t>
      </w:r>
      <w:r w:rsidR="001F4C07" w:rsidRPr="00BF0B54">
        <w:rPr>
          <w:rFonts w:eastAsia="Times New Roman" w:cs="Tahoma"/>
        </w:rPr>
        <w:t>local and global</w:t>
      </w:r>
      <w:r w:rsidRPr="00BF0B54">
        <w:rPr>
          <w:rFonts w:eastAsia="Times New Roman" w:cs="Tahoma"/>
        </w:rPr>
        <w:t xml:space="preserve"> guidance models is used to indicate the deviation from equal chance expected for the coming </w:t>
      </w:r>
      <w:r w:rsidRPr="00BF0B54">
        <w:t xml:space="preserve">three month period, with the following outcomes the </w:t>
      </w:r>
      <w:r w:rsidRPr="00BF0B54">
        <w:rPr>
          <w:i/>
          <w:iCs/>
        </w:rPr>
        <w:t>most likely</w:t>
      </w:r>
      <w:r w:rsidRPr="00BF0B54">
        <w:t xml:space="preserve"> (but not certain) for this region:</w:t>
      </w:r>
      <w:r w:rsidR="00D72A45" w:rsidRPr="00BF0B54">
        <w:t xml:space="preserve"> </w:t>
      </w:r>
    </w:p>
    <w:p w14:paraId="184E3218" w14:textId="5B1B864C" w:rsidR="00F0677C" w:rsidRPr="0093157F" w:rsidRDefault="00F0677C" w:rsidP="00F0677C">
      <w:pPr>
        <w:pStyle w:val="ListParagraph"/>
        <w:numPr>
          <w:ilvl w:val="0"/>
          <w:numId w:val="2"/>
        </w:numPr>
        <w:rPr>
          <w:szCs w:val="24"/>
        </w:rPr>
      </w:pPr>
      <w:r w:rsidRPr="0093157F">
        <w:rPr>
          <w:szCs w:val="24"/>
        </w:rPr>
        <w:t xml:space="preserve">Temperatures are </w:t>
      </w:r>
      <w:r w:rsidR="001A4DBC">
        <w:rPr>
          <w:szCs w:val="24"/>
        </w:rPr>
        <w:t>about equally</w:t>
      </w:r>
      <w:r w:rsidR="0055711D">
        <w:rPr>
          <w:szCs w:val="24"/>
        </w:rPr>
        <w:t xml:space="preserve"> </w:t>
      </w:r>
      <w:r w:rsidRPr="0093157F">
        <w:rPr>
          <w:szCs w:val="24"/>
        </w:rPr>
        <w:t xml:space="preserve">likely to be </w:t>
      </w:r>
      <w:r w:rsidR="001A4DBC">
        <w:rPr>
          <w:szCs w:val="24"/>
        </w:rPr>
        <w:t>above</w:t>
      </w:r>
      <w:r w:rsidRPr="0093157F">
        <w:rPr>
          <w:szCs w:val="24"/>
        </w:rPr>
        <w:t xml:space="preserve"> </w:t>
      </w:r>
      <w:r w:rsidR="001A4DBC">
        <w:rPr>
          <w:szCs w:val="24"/>
        </w:rPr>
        <w:t>average (40</w:t>
      </w:r>
      <w:r>
        <w:rPr>
          <w:szCs w:val="24"/>
        </w:rPr>
        <w:t>% chance)</w:t>
      </w:r>
      <w:r w:rsidR="001A4DBC">
        <w:rPr>
          <w:szCs w:val="24"/>
        </w:rPr>
        <w:t xml:space="preserve"> or average (35% chance)</w:t>
      </w:r>
      <w:r>
        <w:rPr>
          <w:szCs w:val="24"/>
        </w:rPr>
        <w:t>.</w:t>
      </w:r>
    </w:p>
    <w:p w14:paraId="1BF05679" w14:textId="6EE524CD" w:rsidR="00F0677C" w:rsidRDefault="00F0677C" w:rsidP="00F0677C">
      <w:pPr>
        <w:pStyle w:val="ListParagraph"/>
        <w:numPr>
          <w:ilvl w:val="0"/>
          <w:numId w:val="2"/>
        </w:numPr>
        <w:rPr>
          <w:szCs w:val="24"/>
        </w:rPr>
      </w:pPr>
      <w:r w:rsidRPr="00FD3F99">
        <w:rPr>
          <w:szCs w:val="24"/>
        </w:rPr>
        <w:t xml:space="preserve">Rainfall totals are most likely to be </w:t>
      </w:r>
      <w:r>
        <w:rPr>
          <w:szCs w:val="24"/>
        </w:rPr>
        <w:t>below</w:t>
      </w:r>
      <w:r w:rsidRPr="00FD3F99">
        <w:rPr>
          <w:szCs w:val="24"/>
        </w:rPr>
        <w:t xml:space="preserve"> normal </w:t>
      </w:r>
      <w:r>
        <w:rPr>
          <w:szCs w:val="24"/>
        </w:rPr>
        <w:t>(45% chance)</w:t>
      </w:r>
      <w:r w:rsidRPr="00FD3F99">
        <w:rPr>
          <w:szCs w:val="24"/>
        </w:rPr>
        <w:t>.</w:t>
      </w:r>
    </w:p>
    <w:p w14:paraId="40098A07" w14:textId="3A5168C3" w:rsidR="00931437" w:rsidRPr="009521DA" w:rsidRDefault="00F0677C" w:rsidP="00931437">
      <w:pPr>
        <w:pStyle w:val="ListParagraph"/>
        <w:numPr>
          <w:ilvl w:val="0"/>
          <w:numId w:val="2"/>
        </w:numPr>
      </w:pPr>
      <w:r w:rsidRPr="009521DA">
        <w:rPr>
          <w:szCs w:val="24"/>
        </w:rPr>
        <w:t>S</w:t>
      </w:r>
      <w:r w:rsidR="006233D9" w:rsidRPr="009521DA">
        <w:rPr>
          <w:szCs w:val="24"/>
        </w:rPr>
        <w:t xml:space="preserve">oil moisture levels </w:t>
      </w:r>
      <w:r w:rsidR="00931437" w:rsidRPr="009521DA">
        <w:rPr>
          <w:szCs w:val="24"/>
        </w:rPr>
        <w:t>and river flows are most likely to be below normal (50-55% chance).</w:t>
      </w:r>
      <w:r w:rsidR="00931437" w:rsidRPr="009521DA">
        <w:t xml:space="preserve"> </w:t>
      </w:r>
    </w:p>
    <w:p w14:paraId="019C636B" w14:textId="3A32A67C" w:rsidR="00BB7911" w:rsidRDefault="00BB7911" w:rsidP="00931437">
      <w:pPr>
        <w:ind w:left="36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00A2669B">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00C823B1" w:rsidP="00C823B1">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645238FB" w14:textId="77777777" w:rsidR="00C823B1" w:rsidRPr="00C823B1" w:rsidRDefault="00C823B1" w:rsidP="00C823B1">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160DF22" w14:textId="77777777" w:rsidR="00C823B1" w:rsidRPr="00C823B1" w:rsidRDefault="00C823B1" w:rsidP="00C823B1">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C5CEF0C" w14:textId="77777777" w:rsidR="00C823B1" w:rsidRPr="00C823B1" w:rsidRDefault="00C823B1" w:rsidP="00C823B1">
            <w:pPr>
              <w:spacing w:before="40" w:after="40"/>
              <w:jc w:val="center"/>
              <w:rPr>
                <w:color w:val="FFFFFF" w:themeColor="background1"/>
              </w:rPr>
            </w:pPr>
            <w:r w:rsidRPr="00C823B1">
              <w:rPr>
                <w:color w:val="FFFFFF" w:themeColor="background1"/>
              </w:rPr>
              <w:t>River flows</w:t>
            </w:r>
          </w:p>
        </w:tc>
      </w:tr>
      <w:tr w:rsidR="00A50EBD" w14:paraId="5894102D" w14:textId="77777777" w:rsidTr="00A2669B">
        <w:tc>
          <w:tcPr>
            <w:tcW w:w="1802" w:type="dxa"/>
            <w:shd w:val="clear" w:color="auto" w:fill="95B3D7" w:themeFill="accent1" w:themeFillTint="99"/>
          </w:tcPr>
          <w:p w14:paraId="6DD7524F" w14:textId="77777777" w:rsidR="00A50EBD" w:rsidRPr="00C823B1" w:rsidRDefault="00A50EBD" w:rsidP="00A50EBD">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787D9CED" w14:textId="52872E22" w:rsidR="00A50EBD" w:rsidRPr="008A7988" w:rsidRDefault="000B0B6F" w:rsidP="00F0677C">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5FA3699" w14:textId="03E83AF2" w:rsidR="00A50EBD" w:rsidRPr="008A7988" w:rsidRDefault="00F0677C" w:rsidP="00A50EBD">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6B0D40DB" w14:textId="42711221" w:rsidR="00A50EBD" w:rsidRPr="00267511" w:rsidRDefault="00944A4F" w:rsidP="00A50EBD">
            <w:pPr>
              <w:spacing w:before="40" w:after="40"/>
              <w:jc w:val="center"/>
              <w:rPr>
                <w:color w:val="1F497D" w:themeColor="text2"/>
              </w:rPr>
            </w:pPr>
            <w:r>
              <w:rPr>
                <w:color w:val="1F497D" w:themeColor="text2"/>
              </w:rPr>
              <w:t>15</w:t>
            </w:r>
          </w:p>
        </w:tc>
        <w:tc>
          <w:tcPr>
            <w:tcW w:w="1791" w:type="dxa"/>
            <w:shd w:val="clear" w:color="auto" w:fill="B8CCE4" w:themeFill="accent1" w:themeFillTint="66"/>
          </w:tcPr>
          <w:p w14:paraId="767DF104" w14:textId="50846B11" w:rsidR="00A50EBD" w:rsidRPr="00267511" w:rsidRDefault="00944A4F" w:rsidP="00A50EBD">
            <w:pPr>
              <w:spacing w:before="40" w:after="40"/>
              <w:jc w:val="center"/>
              <w:rPr>
                <w:color w:val="1F497D" w:themeColor="text2"/>
              </w:rPr>
            </w:pPr>
            <w:r>
              <w:rPr>
                <w:color w:val="1F497D" w:themeColor="text2"/>
              </w:rPr>
              <w:t>20</w:t>
            </w:r>
          </w:p>
        </w:tc>
      </w:tr>
      <w:tr w:rsidR="00A50EBD" w14:paraId="33106339" w14:textId="77777777" w:rsidTr="00A2669B">
        <w:tc>
          <w:tcPr>
            <w:tcW w:w="1802" w:type="dxa"/>
            <w:shd w:val="clear" w:color="auto" w:fill="95B3D7" w:themeFill="accent1" w:themeFillTint="99"/>
          </w:tcPr>
          <w:p w14:paraId="433D7393" w14:textId="77777777" w:rsidR="00A50EBD" w:rsidRPr="00C823B1" w:rsidRDefault="00A50EBD" w:rsidP="00A50EBD">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2787B774" w14:textId="7858941D" w:rsidR="00A50EBD" w:rsidRPr="008A7988" w:rsidRDefault="000B0B6F" w:rsidP="00F0677C">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1C95A9F2" w14:textId="1DFFFFB4" w:rsidR="00A50EBD" w:rsidRPr="008A7988" w:rsidRDefault="00A50EBD" w:rsidP="00A50EBD">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34A5635C" w14:textId="7229A377" w:rsidR="00A50EBD" w:rsidRPr="00267511" w:rsidRDefault="00944A4F" w:rsidP="00A50EBD">
            <w:pPr>
              <w:spacing w:before="40" w:after="40"/>
              <w:jc w:val="center"/>
              <w:rPr>
                <w:color w:val="1F497D" w:themeColor="text2"/>
              </w:rPr>
            </w:pPr>
            <w:r>
              <w:rPr>
                <w:color w:val="1F497D" w:themeColor="text2"/>
              </w:rPr>
              <w:t>30</w:t>
            </w:r>
          </w:p>
        </w:tc>
        <w:tc>
          <w:tcPr>
            <w:tcW w:w="1791" w:type="dxa"/>
            <w:shd w:val="clear" w:color="auto" w:fill="B8CCE4" w:themeFill="accent1" w:themeFillTint="66"/>
          </w:tcPr>
          <w:p w14:paraId="47E18DF9" w14:textId="25809297" w:rsidR="00A50EBD" w:rsidRPr="00267511" w:rsidRDefault="00944A4F" w:rsidP="00A50EBD">
            <w:pPr>
              <w:spacing w:before="40" w:after="40"/>
              <w:jc w:val="center"/>
              <w:rPr>
                <w:color w:val="1F497D" w:themeColor="text2"/>
              </w:rPr>
            </w:pPr>
            <w:r>
              <w:rPr>
                <w:color w:val="1F497D" w:themeColor="text2"/>
              </w:rPr>
              <w:t>30</w:t>
            </w:r>
          </w:p>
        </w:tc>
      </w:tr>
      <w:tr w:rsidR="00A50EBD" w14:paraId="2481BA84" w14:textId="77777777" w:rsidTr="00A2669B">
        <w:tc>
          <w:tcPr>
            <w:tcW w:w="1802" w:type="dxa"/>
            <w:shd w:val="clear" w:color="auto" w:fill="95B3D7" w:themeFill="accent1" w:themeFillTint="99"/>
          </w:tcPr>
          <w:p w14:paraId="16BB4C6A" w14:textId="77777777" w:rsidR="00A50EBD" w:rsidRPr="00C823B1" w:rsidRDefault="00A50EBD" w:rsidP="00A50EBD">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2A6F35A8" w14:textId="58439FBE" w:rsidR="00A50EBD" w:rsidRPr="008A7988" w:rsidRDefault="000B0B6F" w:rsidP="00A50EBD">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076A3BE3" w14:textId="09979FF0" w:rsidR="00A50EBD" w:rsidRPr="008A7988" w:rsidRDefault="00F0677C" w:rsidP="00A50EBD">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11881C61" w14:textId="0B6D10C9" w:rsidR="00A50EBD" w:rsidRPr="00267511" w:rsidRDefault="00944A4F" w:rsidP="00A50EBD">
            <w:pPr>
              <w:spacing w:before="40" w:after="40"/>
              <w:jc w:val="center"/>
              <w:rPr>
                <w:color w:val="1F497D" w:themeColor="text2"/>
              </w:rPr>
            </w:pPr>
            <w:r>
              <w:rPr>
                <w:color w:val="1F497D" w:themeColor="text2"/>
              </w:rPr>
              <w:t>55</w:t>
            </w:r>
          </w:p>
        </w:tc>
        <w:tc>
          <w:tcPr>
            <w:tcW w:w="1791" w:type="dxa"/>
            <w:shd w:val="clear" w:color="auto" w:fill="B8CCE4" w:themeFill="accent1" w:themeFillTint="66"/>
          </w:tcPr>
          <w:p w14:paraId="2DB56F76" w14:textId="06D1463F" w:rsidR="00A50EBD" w:rsidRPr="00267511" w:rsidRDefault="00944A4F" w:rsidP="00A50EBD">
            <w:pPr>
              <w:spacing w:before="40" w:after="40"/>
              <w:jc w:val="center"/>
              <w:rPr>
                <w:color w:val="1F497D" w:themeColor="text2"/>
              </w:rPr>
            </w:pPr>
            <w:r>
              <w:rPr>
                <w:color w:val="1F497D" w:themeColor="text2"/>
              </w:rPr>
              <w:t>50</w:t>
            </w:r>
          </w:p>
        </w:tc>
      </w:tr>
    </w:tbl>
    <w:p w14:paraId="5DBF45F9" w14:textId="77777777" w:rsidR="00FD3F99" w:rsidRDefault="00FD3F99">
      <w:pPr>
        <w:rPr>
          <w:b/>
        </w:rPr>
      </w:pPr>
    </w:p>
    <w:p w14:paraId="1FDD19B8" w14:textId="13D317B0" w:rsidR="00BB7911" w:rsidRPr="007500C4" w:rsidRDefault="00986BB7">
      <w:pPr>
        <w:rPr>
          <w:b/>
        </w:rPr>
      </w:pPr>
      <w:bookmarkStart w:id="4" w:name="centnitarwangmanwel"/>
      <w:bookmarkEnd w:id="4"/>
      <w:r w:rsidRPr="00986BB7">
        <w:rPr>
          <w:b/>
        </w:rPr>
        <w:lastRenderedPageBreak/>
        <w:t>Central North Island, Taranaki, Wanganui, Manawatu, Wellington</w:t>
      </w:r>
    </w:p>
    <w:p w14:paraId="47BA2ACC" w14:textId="77777777" w:rsidR="007500C4" w:rsidRDefault="007500C4" w:rsidP="00C56CBC">
      <w:pPr>
        <w:spacing w:after="120"/>
      </w:pPr>
      <w:r>
        <w:t xml:space="preserve">Probabilities are assigned in three categories: above average, near average, and below average. </w:t>
      </w:r>
    </w:p>
    <w:p w14:paraId="2CD32E38" w14:textId="77777777" w:rsidR="00465AD9" w:rsidRPr="0093157F" w:rsidRDefault="00465AD9" w:rsidP="00465AD9">
      <w:pPr>
        <w:pStyle w:val="ListParagraph"/>
        <w:numPr>
          <w:ilvl w:val="0"/>
          <w:numId w:val="2"/>
        </w:numPr>
        <w:rPr>
          <w:szCs w:val="24"/>
        </w:rPr>
      </w:pPr>
      <w:r w:rsidRPr="0093157F">
        <w:rPr>
          <w:szCs w:val="24"/>
        </w:rPr>
        <w:t xml:space="preserve">Temperatures are </w:t>
      </w:r>
      <w:r>
        <w:rPr>
          <w:szCs w:val="24"/>
        </w:rPr>
        <w:t xml:space="preserve">about equally </w:t>
      </w:r>
      <w:r w:rsidRPr="0093157F">
        <w:rPr>
          <w:szCs w:val="24"/>
        </w:rPr>
        <w:t xml:space="preserve">likely to be </w:t>
      </w:r>
      <w:r>
        <w:rPr>
          <w:szCs w:val="24"/>
        </w:rPr>
        <w:t>above</w:t>
      </w:r>
      <w:r w:rsidRPr="0093157F">
        <w:rPr>
          <w:szCs w:val="24"/>
        </w:rPr>
        <w:t xml:space="preserve"> </w:t>
      </w:r>
      <w:r>
        <w:rPr>
          <w:szCs w:val="24"/>
        </w:rPr>
        <w:t>average (40% chance) or average (35% chance).</w:t>
      </w:r>
    </w:p>
    <w:p w14:paraId="07890382" w14:textId="3FBC2D0F" w:rsidR="00B44856" w:rsidRDefault="001E5D71" w:rsidP="00F641F4">
      <w:pPr>
        <w:pStyle w:val="ListParagraph"/>
        <w:numPr>
          <w:ilvl w:val="0"/>
          <w:numId w:val="2"/>
        </w:numPr>
        <w:rPr>
          <w:szCs w:val="24"/>
        </w:rPr>
      </w:pPr>
      <w:r w:rsidRPr="00FD3F99">
        <w:rPr>
          <w:szCs w:val="24"/>
        </w:rPr>
        <w:t>Rainfall totals</w:t>
      </w:r>
      <w:r w:rsidR="00F641F4" w:rsidRPr="00FD3F99">
        <w:rPr>
          <w:szCs w:val="24"/>
        </w:rPr>
        <w:t xml:space="preserve"> </w:t>
      </w:r>
      <w:r w:rsidR="00B44856" w:rsidRPr="00FD3F99">
        <w:rPr>
          <w:szCs w:val="24"/>
        </w:rPr>
        <w:t xml:space="preserve">are </w:t>
      </w:r>
      <w:r w:rsidR="003977E9">
        <w:rPr>
          <w:szCs w:val="24"/>
        </w:rPr>
        <w:t xml:space="preserve">about equally </w:t>
      </w:r>
      <w:r w:rsidR="00B44856" w:rsidRPr="00FD3F99">
        <w:rPr>
          <w:szCs w:val="24"/>
        </w:rPr>
        <w:t>likely to be near normal</w:t>
      </w:r>
      <w:r w:rsidR="001343B2">
        <w:rPr>
          <w:szCs w:val="24"/>
        </w:rPr>
        <w:t xml:space="preserve"> (40</w:t>
      </w:r>
      <w:r w:rsidR="003977E9">
        <w:rPr>
          <w:szCs w:val="24"/>
        </w:rPr>
        <w:t>%</w:t>
      </w:r>
      <w:r w:rsidR="0055711D">
        <w:rPr>
          <w:szCs w:val="24"/>
        </w:rPr>
        <w:t xml:space="preserve"> chance</w:t>
      </w:r>
      <w:r w:rsidR="003977E9">
        <w:rPr>
          <w:szCs w:val="24"/>
        </w:rPr>
        <w:t>) or below normal (</w:t>
      </w:r>
      <w:r w:rsidR="00CD32CF">
        <w:rPr>
          <w:szCs w:val="24"/>
        </w:rPr>
        <w:t>35</w:t>
      </w:r>
      <w:r w:rsidR="003977E9">
        <w:rPr>
          <w:szCs w:val="24"/>
        </w:rPr>
        <w:t>%</w:t>
      </w:r>
      <w:r w:rsidR="0055711D">
        <w:rPr>
          <w:szCs w:val="24"/>
        </w:rPr>
        <w:t xml:space="preserve"> chance</w:t>
      </w:r>
      <w:r w:rsidR="003977E9">
        <w:rPr>
          <w:szCs w:val="24"/>
        </w:rPr>
        <w:t>).</w:t>
      </w:r>
    </w:p>
    <w:p w14:paraId="47F3D7E7" w14:textId="62A219BF" w:rsidR="00F124DF" w:rsidRPr="00535DEC" w:rsidRDefault="00B44856" w:rsidP="00F641F4">
      <w:pPr>
        <w:pStyle w:val="ListParagraph"/>
        <w:numPr>
          <w:ilvl w:val="0"/>
          <w:numId w:val="2"/>
        </w:numPr>
        <w:rPr>
          <w:szCs w:val="24"/>
        </w:rPr>
      </w:pPr>
      <w:r w:rsidRPr="00535DEC">
        <w:rPr>
          <w:szCs w:val="24"/>
        </w:rPr>
        <w:t>S</w:t>
      </w:r>
      <w:r w:rsidR="00F641F4" w:rsidRPr="00535DEC">
        <w:rPr>
          <w:szCs w:val="24"/>
        </w:rPr>
        <w:t>oil moisture levels</w:t>
      </w:r>
      <w:r w:rsidR="000E2300" w:rsidRPr="00535DEC">
        <w:rPr>
          <w:szCs w:val="24"/>
        </w:rPr>
        <w:t xml:space="preserve"> </w:t>
      </w:r>
      <w:r w:rsidR="008C0F93" w:rsidRPr="00535DEC">
        <w:rPr>
          <w:szCs w:val="24"/>
        </w:rPr>
        <w:t>and river flows are equally likely to be</w:t>
      </w:r>
      <w:r w:rsidR="00AF60DB" w:rsidRPr="00535DEC">
        <w:rPr>
          <w:szCs w:val="24"/>
        </w:rPr>
        <w:t xml:space="preserve"> in the</w:t>
      </w:r>
      <w:r w:rsidR="008C0F93" w:rsidRPr="00535DEC">
        <w:rPr>
          <w:szCs w:val="24"/>
        </w:rPr>
        <w:t xml:space="preserve"> below normal</w:t>
      </w:r>
      <w:r w:rsidR="00AF60DB" w:rsidRPr="00535DEC">
        <w:rPr>
          <w:szCs w:val="24"/>
        </w:rPr>
        <w:t xml:space="preserve"> range</w:t>
      </w:r>
      <w:r w:rsidR="008C0F93" w:rsidRPr="00535DEC">
        <w:rPr>
          <w:szCs w:val="24"/>
        </w:rPr>
        <w:t xml:space="preserve"> (40% chance) or normal </w:t>
      </w:r>
      <w:r w:rsidR="00D43F70" w:rsidRPr="00535DEC">
        <w:rPr>
          <w:szCs w:val="24"/>
        </w:rPr>
        <w:t xml:space="preserve">range </w:t>
      </w:r>
      <w:r w:rsidR="008C0F93" w:rsidRPr="00535DEC">
        <w:rPr>
          <w:szCs w:val="24"/>
        </w:rPr>
        <w:t>(40% chance)</w:t>
      </w:r>
      <w:r w:rsidR="000253B2" w:rsidRPr="00535DEC">
        <w:rPr>
          <w:szCs w:val="24"/>
        </w:rPr>
        <w:t>.</w:t>
      </w:r>
    </w:p>
    <w:p w14:paraId="5C6E897E" w14:textId="59363C28"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005E5BBB">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00986BB7"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54CEFBE" w14:textId="77777777" w:rsidR="00986BB7" w:rsidRPr="00C823B1" w:rsidRDefault="00986BB7"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13961C33" w14:textId="77777777" w:rsidR="00986BB7" w:rsidRPr="00C823B1" w:rsidRDefault="00986BB7"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0C491A5" w14:textId="77777777" w:rsidR="00986BB7" w:rsidRPr="00C823B1" w:rsidRDefault="00986BB7" w:rsidP="002907BF">
            <w:pPr>
              <w:spacing w:before="40" w:after="40"/>
              <w:jc w:val="center"/>
              <w:rPr>
                <w:color w:val="FFFFFF" w:themeColor="background1"/>
              </w:rPr>
            </w:pPr>
            <w:r w:rsidRPr="00C823B1">
              <w:rPr>
                <w:color w:val="FFFFFF" w:themeColor="background1"/>
              </w:rPr>
              <w:t>River flows</w:t>
            </w:r>
          </w:p>
        </w:tc>
      </w:tr>
      <w:tr w:rsidR="009F51CF" w14:paraId="50878BCF" w14:textId="77777777" w:rsidTr="005E5BBB">
        <w:tc>
          <w:tcPr>
            <w:tcW w:w="1802" w:type="dxa"/>
            <w:shd w:val="clear" w:color="auto" w:fill="95B3D7" w:themeFill="accent1" w:themeFillTint="99"/>
          </w:tcPr>
          <w:p w14:paraId="6D6336C2" w14:textId="77777777" w:rsidR="009F51CF" w:rsidRPr="00C823B1" w:rsidRDefault="009F51CF"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238A807" w14:textId="0A551E1A" w:rsidR="009F51CF" w:rsidRPr="008A7988" w:rsidRDefault="00CB6055" w:rsidP="00F0677C">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292D3DC" w14:textId="027C8251" w:rsidR="009F51CF" w:rsidRPr="008A7988" w:rsidRDefault="003D03AC" w:rsidP="00F0677C">
            <w:pPr>
              <w:spacing w:before="40" w:after="40"/>
              <w:jc w:val="center"/>
              <w:rPr>
                <w:color w:val="1F497D" w:themeColor="text2"/>
              </w:rPr>
            </w:pPr>
            <w:r>
              <w:rPr>
                <w:color w:val="1F497D" w:themeColor="text2"/>
              </w:rPr>
              <w:t>2</w:t>
            </w:r>
            <w:r w:rsidR="00F0677C">
              <w:rPr>
                <w:color w:val="1F497D" w:themeColor="text2"/>
              </w:rPr>
              <w:t>5</w:t>
            </w:r>
          </w:p>
        </w:tc>
        <w:tc>
          <w:tcPr>
            <w:tcW w:w="1808" w:type="dxa"/>
            <w:shd w:val="clear" w:color="auto" w:fill="B8CCE4" w:themeFill="accent1" w:themeFillTint="66"/>
          </w:tcPr>
          <w:p w14:paraId="75D6650D" w14:textId="7640D1F0" w:rsidR="009F51CF" w:rsidRPr="00267511" w:rsidRDefault="007A18EE" w:rsidP="000717E2">
            <w:pPr>
              <w:tabs>
                <w:tab w:val="left" w:pos="620"/>
                <w:tab w:val="center" w:pos="796"/>
              </w:tabs>
              <w:spacing w:before="40" w:after="40"/>
              <w:rPr>
                <w:color w:val="1F497D" w:themeColor="text2"/>
              </w:rPr>
            </w:pPr>
            <w:r>
              <w:rPr>
                <w:color w:val="1F497D" w:themeColor="text2"/>
              </w:rPr>
              <w:tab/>
            </w:r>
            <w:r w:rsidR="008A1132">
              <w:rPr>
                <w:color w:val="1F497D" w:themeColor="text2"/>
              </w:rPr>
              <w:t xml:space="preserve"> </w:t>
            </w:r>
            <w:r w:rsidR="00F47E75">
              <w:rPr>
                <w:color w:val="1F497D" w:themeColor="text2"/>
              </w:rPr>
              <w:t>20</w:t>
            </w:r>
          </w:p>
        </w:tc>
        <w:tc>
          <w:tcPr>
            <w:tcW w:w="1791" w:type="dxa"/>
            <w:shd w:val="clear" w:color="auto" w:fill="B8CCE4" w:themeFill="accent1" w:themeFillTint="66"/>
          </w:tcPr>
          <w:p w14:paraId="3CEFA486" w14:textId="207DB475" w:rsidR="009F51CF" w:rsidRPr="00BA5A56" w:rsidRDefault="004D5B93" w:rsidP="00BA5A56">
            <w:pPr>
              <w:tabs>
                <w:tab w:val="left" w:pos="590"/>
                <w:tab w:val="center" w:pos="787"/>
              </w:tabs>
              <w:spacing w:before="40" w:after="40"/>
              <w:jc w:val="center"/>
              <w:rPr>
                <w:color w:val="1F497D" w:themeColor="text2"/>
              </w:rPr>
            </w:pPr>
            <w:r>
              <w:rPr>
                <w:color w:val="1F497D" w:themeColor="text2"/>
              </w:rPr>
              <w:t>20</w:t>
            </w:r>
          </w:p>
        </w:tc>
      </w:tr>
      <w:tr w:rsidR="009F51CF" w14:paraId="7DD3A47A" w14:textId="77777777" w:rsidTr="005E5BBB">
        <w:tc>
          <w:tcPr>
            <w:tcW w:w="1802" w:type="dxa"/>
            <w:shd w:val="clear" w:color="auto" w:fill="95B3D7" w:themeFill="accent1" w:themeFillTint="99"/>
          </w:tcPr>
          <w:p w14:paraId="7B0B69F3" w14:textId="77777777" w:rsidR="009F51CF" w:rsidRPr="00C823B1" w:rsidRDefault="009F51CF"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7FEC82BD" w14:textId="48523B61" w:rsidR="009F51CF" w:rsidRPr="008A7988" w:rsidRDefault="00CB6055" w:rsidP="00F0677C">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2F60896B" w14:textId="6CAFE91C" w:rsidR="009F51CF" w:rsidRPr="008A7988" w:rsidRDefault="003977E9"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258491FC" w14:textId="478FE494" w:rsidR="009F51CF" w:rsidRPr="00267511" w:rsidRDefault="00F47E75" w:rsidP="008847E5">
            <w:pPr>
              <w:tabs>
                <w:tab w:val="center" w:pos="796"/>
              </w:tabs>
              <w:spacing w:before="40" w:after="40"/>
              <w:jc w:val="center"/>
              <w:rPr>
                <w:color w:val="1F497D" w:themeColor="text2"/>
              </w:rPr>
            </w:pPr>
            <w:r>
              <w:rPr>
                <w:color w:val="1F497D" w:themeColor="text2"/>
              </w:rPr>
              <w:t>40</w:t>
            </w:r>
          </w:p>
        </w:tc>
        <w:tc>
          <w:tcPr>
            <w:tcW w:w="1791" w:type="dxa"/>
            <w:shd w:val="clear" w:color="auto" w:fill="B8CCE4" w:themeFill="accent1" w:themeFillTint="66"/>
          </w:tcPr>
          <w:p w14:paraId="69E1284B" w14:textId="3E9CCD53" w:rsidR="009F51CF" w:rsidRPr="00BA5A56" w:rsidRDefault="004D5B93" w:rsidP="003977E9">
            <w:pPr>
              <w:tabs>
                <w:tab w:val="left" w:pos="590"/>
                <w:tab w:val="center" w:pos="787"/>
              </w:tabs>
              <w:spacing w:before="40" w:after="40"/>
              <w:jc w:val="center"/>
              <w:rPr>
                <w:color w:val="1F497D" w:themeColor="text2"/>
              </w:rPr>
            </w:pPr>
            <w:r>
              <w:rPr>
                <w:color w:val="1F497D" w:themeColor="text2"/>
              </w:rPr>
              <w:t>40</w:t>
            </w:r>
          </w:p>
        </w:tc>
      </w:tr>
      <w:tr w:rsidR="009F51CF" w14:paraId="41FE675D" w14:textId="77777777" w:rsidTr="005E5BBB">
        <w:tc>
          <w:tcPr>
            <w:tcW w:w="1802" w:type="dxa"/>
            <w:shd w:val="clear" w:color="auto" w:fill="95B3D7" w:themeFill="accent1" w:themeFillTint="99"/>
          </w:tcPr>
          <w:p w14:paraId="3B59D75A" w14:textId="77777777" w:rsidR="009F51CF" w:rsidRPr="00C823B1" w:rsidRDefault="009F51CF"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00A77B6E" w14:textId="7D5F478D" w:rsidR="009F51CF" w:rsidRPr="008A7988" w:rsidRDefault="00CB6055" w:rsidP="00F8371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3436D55F" w14:textId="090BF9A9" w:rsidR="009F51CF" w:rsidRPr="008A7988" w:rsidRDefault="003977E9"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36A47003" w14:textId="31849D36" w:rsidR="009F51CF" w:rsidRPr="00267511" w:rsidRDefault="00F47E75" w:rsidP="00F83712">
            <w:pPr>
              <w:spacing w:before="40" w:after="40"/>
              <w:jc w:val="center"/>
              <w:rPr>
                <w:color w:val="1F497D" w:themeColor="text2"/>
              </w:rPr>
            </w:pPr>
            <w:r>
              <w:rPr>
                <w:color w:val="1F497D" w:themeColor="text2"/>
              </w:rPr>
              <w:t>40</w:t>
            </w:r>
          </w:p>
        </w:tc>
        <w:tc>
          <w:tcPr>
            <w:tcW w:w="1791" w:type="dxa"/>
            <w:shd w:val="clear" w:color="auto" w:fill="B8CCE4" w:themeFill="accent1" w:themeFillTint="66"/>
          </w:tcPr>
          <w:p w14:paraId="5D69E18B" w14:textId="55051253" w:rsidR="009F51CF" w:rsidRPr="00267511" w:rsidRDefault="004D5B93" w:rsidP="003977E9">
            <w:pPr>
              <w:spacing w:before="40" w:after="40"/>
              <w:jc w:val="center"/>
              <w:rPr>
                <w:color w:val="1F497D" w:themeColor="text2"/>
              </w:rPr>
            </w:pPr>
            <w:r>
              <w:rPr>
                <w:color w:val="1F497D" w:themeColor="text2"/>
              </w:rPr>
              <w:t>40</w:t>
            </w:r>
          </w:p>
        </w:tc>
      </w:tr>
    </w:tbl>
    <w:p w14:paraId="1F9D7524" w14:textId="77777777" w:rsidR="00851A2A" w:rsidRDefault="00851A2A">
      <w:pPr>
        <w:rPr>
          <w:b/>
        </w:rPr>
      </w:pPr>
    </w:p>
    <w:p w14:paraId="3515E989" w14:textId="77777777" w:rsidR="00986BB7" w:rsidRPr="00282FE0" w:rsidRDefault="00282FE0">
      <w:pPr>
        <w:rPr>
          <w:b/>
        </w:rPr>
      </w:pPr>
      <w:bookmarkStart w:id="5" w:name="gishbwair"/>
      <w:bookmarkEnd w:id="5"/>
      <w:r w:rsidRPr="00282FE0">
        <w:rPr>
          <w:b/>
        </w:rPr>
        <w:t>Gisborne, Hawke’s Bay, Wairarapa</w:t>
      </w:r>
    </w:p>
    <w:p w14:paraId="770D9C50" w14:textId="77777777" w:rsidR="007500C4" w:rsidRDefault="007500C4" w:rsidP="00C56CBC">
      <w:pPr>
        <w:spacing w:after="120"/>
      </w:pPr>
      <w:r>
        <w:t xml:space="preserve">Probabilities are assigned in three categories: above average, near average, and below average. </w:t>
      </w:r>
    </w:p>
    <w:p w14:paraId="703A0544" w14:textId="7B2F5E1C" w:rsidR="00975420" w:rsidRPr="0093157F" w:rsidRDefault="00975420" w:rsidP="00975420">
      <w:pPr>
        <w:pStyle w:val="ListParagraph"/>
        <w:numPr>
          <w:ilvl w:val="0"/>
          <w:numId w:val="2"/>
        </w:numPr>
        <w:rPr>
          <w:szCs w:val="24"/>
        </w:rPr>
      </w:pPr>
      <w:r w:rsidRPr="0093157F">
        <w:rPr>
          <w:szCs w:val="24"/>
        </w:rPr>
        <w:t xml:space="preserve">Temperatures are </w:t>
      </w:r>
      <w:r w:rsidR="00A50EBD">
        <w:rPr>
          <w:szCs w:val="24"/>
        </w:rPr>
        <w:t xml:space="preserve">most </w:t>
      </w:r>
      <w:r w:rsidRPr="0093157F">
        <w:rPr>
          <w:szCs w:val="24"/>
        </w:rPr>
        <w:t xml:space="preserve">likely </w:t>
      </w:r>
      <w:r w:rsidR="00EB2D33" w:rsidRPr="0093157F">
        <w:rPr>
          <w:szCs w:val="24"/>
        </w:rPr>
        <w:t xml:space="preserve">to be </w:t>
      </w:r>
      <w:r w:rsidR="00B717CA">
        <w:rPr>
          <w:szCs w:val="24"/>
        </w:rPr>
        <w:t>above</w:t>
      </w:r>
      <w:r w:rsidR="00A50EBD">
        <w:rPr>
          <w:szCs w:val="24"/>
        </w:rPr>
        <w:t xml:space="preserve"> </w:t>
      </w:r>
      <w:r w:rsidR="00EB2D33" w:rsidRPr="0093157F">
        <w:rPr>
          <w:szCs w:val="24"/>
        </w:rPr>
        <w:t xml:space="preserve">average </w:t>
      </w:r>
      <w:r w:rsidR="00A50EBD">
        <w:rPr>
          <w:szCs w:val="24"/>
        </w:rPr>
        <w:t>(45</w:t>
      </w:r>
      <w:r w:rsidR="007E45FA">
        <w:rPr>
          <w:szCs w:val="24"/>
        </w:rPr>
        <w:t>% chance)</w:t>
      </w:r>
      <w:r w:rsidRPr="0093157F">
        <w:rPr>
          <w:szCs w:val="24"/>
        </w:rPr>
        <w:t>.</w:t>
      </w:r>
    </w:p>
    <w:p w14:paraId="7226D1EF" w14:textId="06A0F086" w:rsidR="00B2609D" w:rsidRDefault="00B2609D" w:rsidP="00B2609D">
      <w:pPr>
        <w:pStyle w:val="ListParagraph"/>
        <w:numPr>
          <w:ilvl w:val="0"/>
          <w:numId w:val="2"/>
        </w:numPr>
        <w:rPr>
          <w:szCs w:val="24"/>
        </w:rPr>
      </w:pPr>
      <w:r w:rsidRPr="00FD3F99">
        <w:rPr>
          <w:szCs w:val="24"/>
        </w:rPr>
        <w:t xml:space="preserve">Rainfall totals are </w:t>
      </w:r>
      <w:r>
        <w:rPr>
          <w:szCs w:val="24"/>
        </w:rPr>
        <w:t xml:space="preserve">about equally </w:t>
      </w:r>
      <w:r w:rsidRPr="00FD3F99">
        <w:rPr>
          <w:szCs w:val="24"/>
        </w:rPr>
        <w:t xml:space="preserve">likely to be </w:t>
      </w:r>
      <w:r>
        <w:rPr>
          <w:szCs w:val="24"/>
        </w:rPr>
        <w:t>below</w:t>
      </w:r>
      <w:r w:rsidRPr="00FD3F99">
        <w:rPr>
          <w:szCs w:val="24"/>
        </w:rPr>
        <w:t xml:space="preserve"> normal</w:t>
      </w:r>
      <w:r>
        <w:rPr>
          <w:szCs w:val="24"/>
        </w:rPr>
        <w:t xml:space="preserve"> (40% chance) or </w:t>
      </w:r>
      <w:r w:rsidR="005B669B">
        <w:rPr>
          <w:szCs w:val="24"/>
        </w:rPr>
        <w:t>near</w:t>
      </w:r>
      <w:r>
        <w:rPr>
          <w:szCs w:val="24"/>
        </w:rPr>
        <w:t xml:space="preserve"> normal (35% chance).</w:t>
      </w:r>
    </w:p>
    <w:p w14:paraId="438AC934" w14:textId="72D9F34E" w:rsidR="00A50EBD" w:rsidRPr="0024458A" w:rsidRDefault="004D2321" w:rsidP="004D2321">
      <w:pPr>
        <w:pStyle w:val="ListParagraph"/>
        <w:numPr>
          <w:ilvl w:val="0"/>
          <w:numId w:val="2"/>
        </w:numPr>
        <w:rPr>
          <w:szCs w:val="24"/>
        </w:rPr>
      </w:pPr>
      <w:r w:rsidRPr="0024458A">
        <w:rPr>
          <w:szCs w:val="24"/>
        </w:rPr>
        <w:t xml:space="preserve">Soil moisture levels </w:t>
      </w:r>
      <w:r w:rsidR="00A50EBD" w:rsidRPr="0024458A">
        <w:rPr>
          <w:szCs w:val="24"/>
        </w:rPr>
        <w:t>are</w:t>
      </w:r>
      <w:r w:rsidR="00064ED9" w:rsidRPr="0024458A">
        <w:rPr>
          <w:szCs w:val="24"/>
        </w:rPr>
        <w:t xml:space="preserve"> most likely to be in the below normal range (45% chance)</w:t>
      </w:r>
      <w:r w:rsidR="00DD2C94" w:rsidRPr="0024458A">
        <w:rPr>
          <w:szCs w:val="24"/>
        </w:rPr>
        <w:t>.</w:t>
      </w:r>
      <w:r w:rsidR="00A50EBD" w:rsidRPr="0024458A">
        <w:rPr>
          <w:szCs w:val="24"/>
        </w:rPr>
        <w:t xml:space="preserve"> </w:t>
      </w:r>
    </w:p>
    <w:p w14:paraId="603EBB63" w14:textId="2968FC0C" w:rsidR="004D2321" w:rsidRPr="008B52FB" w:rsidRDefault="00A50EBD" w:rsidP="004D2321">
      <w:pPr>
        <w:pStyle w:val="ListParagraph"/>
        <w:numPr>
          <w:ilvl w:val="0"/>
          <w:numId w:val="2"/>
        </w:numPr>
        <w:rPr>
          <w:i/>
          <w:szCs w:val="24"/>
        </w:rPr>
      </w:pPr>
      <w:r w:rsidRPr="0009651F">
        <w:rPr>
          <w:szCs w:val="24"/>
        </w:rPr>
        <w:t>River flows</w:t>
      </w:r>
      <w:r w:rsidRPr="008B52FB">
        <w:rPr>
          <w:i/>
          <w:szCs w:val="24"/>
        </w:rPr>
        <w:t xml:space="preserve"> </w:t>
      </w:r>
      <w:r w:rsidR="0024458A" w:rsidRPr="00535DEC">
        <w:rPr>
          <w:szCs w:val="24"/>
        </w:rPr>
        <w:t>are equally likely to be in the below normal range (40% chance) or normal range (40% chance).</w:t>
      </w:r>
    </w:p>
    <w:p w14:paraId="4314348D" w14:textId="10AEAB0B"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00B46CF6">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00282FE0"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4947423A" w14:textId="77777777" w:rsidR="00282FE0" w:rsidRPr="00C823B1" w:rsidRDefault="00282FE0"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DC47879" w14:textId="77777777" w:rsidR="00282FE0" w:rsidRPr="00C823B1" w:rsidRDefault="00282FE0"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54E85CA" w14:textId="77777777" w:rsidR="00282FE0" w:rsidRPr="00C823B1" w:rsidRDefault="00282FE0" w:rsidP="002907BF">
            <w:pPr>
              <w:spacing w:before="40" w:after="40"/>
              <w:jc w:val="center"/>
              <w:rPr>
                <w:color w:val="FFFFFF" w:themeColor="background1"/>
              </w:rPr>
            </w:pPr>
            <w:r w:rsidRPr="00C823B1">
              <w:rPr>
                <w:color w:val="FFFFFF" w:themeColor="background1"/>
              </w:rPr>
              <w:t>River flows</w:t>
            </w:r>
          </w:p>
        </w:tc>
      </w:tr>
      <w:tr w:rsidR="00EB2D33" w14:paraId="468AF085" w14:textId="77777777" w:rsidTr="00B46CF6">
        <w:tc>
          <w:tcPr>
            <w:tcW w:w="1802" w:type="dxa"/>
            <w:shd w:val="clear" w:color="auto" w:fill="95B3D7" w:themeFill="accent1" w:themeFillTint="99"/>
          </w:tcPr>
          <w:p w14:paraId="3768DA7E" w14:textId="77777777" w:rsidR="00EB2D33" w:rsidRPr="00C823B1" w:rsidRDefault="00EB2D33" w:rsidP="005F2959">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4C92E8AB" w14:textId="66C75274" w:rsidR="00EB2D33" w:rsidRPr="008A7988" w:rsidRDefault="008C76C5" w:rsidP="005F2959">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3AF4BA3E" w14:textId="442A0C68" w:rsidR="00EB2D33" w:rsidRPr="008A7988" w:rsidRDefault="008C76C5" w:rsidP="005F2959">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5999B95C" w14:textId="720D0694" w:rsidR="00EB2D33" w:rsidRPr="00266933" w:rsidRDefault="007A18EE" w:rsidP="000717E2">
            <w:pPr>
              <w:tabs>
                <w:tab w:val="left" w:pos="670"/>
                <w:tab w:val="center" w:pos="796"/>
              </w:tabs>
              <w:spacing w:before="40" w:after="40"/>
              <w:rPr>
                <w:color w:val="1F497D" w:themeColor="text2"/>
              </w:rPr>
            </w:pPr>
            <w:r>
              <w:rPr>
                <w:color w:val="1F497D" w:themeColor="text2"/>
              </w:rPr>
              <w:tab/>
            </w:r>
            <w:r w:rsidR="009A13CB">
              <w:rPr>
                <w:color w:val="1F497D" w:themeColor="text2"/>
              </w:rPr>
              <w:t>20</w:t>
            </w:r>
          </w:p>
        </w:tc>
        <w:tc>
          <w:tcPr>
            <w:tcW w:w="1791" w:type="dxa"/>
            <w:shd w:val="clear" w:color="auto" w:fill="B8CCE4" w:themeFill="accent1" w:themeFillTint="66"/>
          </w:tcPr>
          <w:p w14:paraId="7968DA48" w14:textId="42901022" w:rsidR="00EB2D33" w:rsidRPr="00266933" w:rsidRDefault="00CC7BEC" w:rsidP="000717E2">
            <w:pPr>
              <w:tabs>
                <w:tab w:val="left" w:pos="670"/>
                <w:tab w:val="center" w:pos="787"/>
              </w:tabs>
              <w:spacing w:before="40" w:after="40"/>
              <w:rPr>
                <w:color w:val="1F497D" w:themeColor="text2"/>
              </w:rPr>
            </w:pPr>
            <w:r>
              <w:rPr>
                <w:color w:val="1F497D" w:themeColor="text2"/>
              </w:rPr>
              <w:tab/>
            </w:r>
            <w:r w:rsidR="00886E11">
              <w:rPr>
                <w:color w:val="1F497D" w:themeColor="text2"/>
              </w:rPr>
              <w:t>20</w:t>
            </w:r>
          </w:p>
        </w:tc>
      </w:tr>
      <w:tr w:rsidR="00EB2D33" w14:paraId="39D42332" w14:textId="77777777" w:rsidTr="00B46CF6">
        <w:tc>
          <w:tcPr>
            <w:tcW w:w="1802" w:type="dxa"/>
            <w:shd w:val="clear" w:color="auto" w:fill="95B3D7" w:themeFill="accent1" w:themeFillTint="99"/>
          </w:tcPr>
          <w:p w14:paraId="5B39FB9A" w14:textId="77777777" w:rsidR="00EB2D33" w:rsidRPr="00C823B1" w:rsidRDefault="00EB2D33" w:rsidP="005F2959">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A762241" w14:textId="3486EF54" w:rsidR="00EB2D33" w:rsidRPr="008A7988" w:rsidRDefault="008C76C5" w:rsidP="005F2959">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010CF341" w14:textId="1434AEFE" w:rsidR="00EB2D33" w:rsidRPr="008A7988" w:rsidRDefault="008C76C5" w:rsidP="005F2959">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68DCBDB5" w14:textId="0DEDACDB" w:rsidR="00EB2D33" w:rsidRPr="00266933" w:rsidRDefault="009A13CB" w:rsidP="005F2959">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7766B253" w14:textId="39002FCB" w:rsidR="00EB2D33" w:rsidRPr="00266933" w:rsidRDefault="00886E11" w:rsidP="0051217B">
            <w:pPr>
              <w:tabs>
                <w:tab w:val="left" w:pos="660"/>
                <w:tab w:val="center" w:pos="787"/>
              </w:tabs>
              <w:spacing w:before="40" w:after="40"/>
              <w:jc w:val="center"/>
              <w:rPr>
                <w:color w:val="1F497D" w:themeColor="text2"/>
              </w:rPr>
            </w:pPr>
            <w:r>
              <w:rPr>
                <w:color w:val="1F497D" w:themeColor="text2"/>
              </w:rPr>
              <w:t>40</w:t>
            </w:r>
          </w:p>
        </w:tc>
      </w:tr>
      <w:tr w:rsidR="00EB2D33" w14:paraId="60316043" w14:textId="77777777" w:rsidTr="00B46CF6">
        <w:tc>
          <w:tcPr>
            <w:tcW w:w="1802" w:type="dxa"/>
            <w:shd w:val="clear" w:color="auto" w:fill="95B3D7" w:themeFill="accent1" w:themeFillTint="99"/>
          </w:tcPr>
          <w:p w14:paraId="1A57178C" w14:textId="77777777" w:rsidR="00EB2D33" w:rsidRPr="00C823B1" w:rsidRDefault="00EB2D33" w:rsidP="005F2959">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A2F1C4B" w14:textId="30E96366" w:rsidR="00EB2D33" w:rsidRPr="008A7988" w:rsidRDefault="008C76C5" w:rsidP="005F2959">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C5D3932" w14:textId="2B2DB991" w:rsidR="00EB2D33" w:rsidRPr="008A7988" w:rsidRDefault="008C76C5"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F6805BC" w14:textId="18F1C3B5" w:rsidR="00EB2D33" w:rsidRPr="00266933" w:rsidRDefault="009A13CB" w:rsidP="003F4696">
            <w:pPr>
              <w:spacing w:before="40" w:after="40"/>
              <w:jc w:val="center"/>
              <w:rPr>
                <w:color w:val="1F497D" w:themeColor="text2"/>
              </w:rPr>
            </w:pPr>
            <w:r>
              <w:rPr>
                <w:color w:val="1F497D" w:themeColor="text2"/>
              </w:rPr>
              <w:t>45</w:t>
            </w:r>
          </w:p>
        </w:tc>
        <w:tc>
          <w:tcPr>
            <w:tcW w:w="1791" w:type="dxa"/>
            <w:shd w:val="clear" w:color="auto" w:fill="B8CCE4" w:themeFill="accent1" w:themeFillTint="66"/>
          </w:tcPr>
          <w:p w14:paraId="14B0DD95" w14:textId="5017B824" w:rsidR="00EB2D33" w:rsidRPr="00266933" w:rsidRDefault="00886E11" w:rsidP="0051217B">
            <w:pPr>
              <w:tabs>
                <w:tab w:val="left" w:pos="530"/>
                <w:tab w:val="center" w:pos="787"/>
              </w:tabs>
              <w:spacing w:before="40" w:after="40"/>
              <w:jc w:val="center"/>
              <w:rPr>
                <w:color w:val="1F497D" w:themeColor="text2"/>
              </w:rPr>
            </w:pPr>
            <w:r>
              <w:rPr>
                <w:color w:val="1F497D" w:themeColor="text2"/>
              </w:rPr>
              <w:t>40</w:t>
            </w:r>
          </w:p>
        </w:tc>
      </w:tr>
    </w:tbl>
    <w:p w14:paraId="278003CA" w14:textId="77777777" w:rsidR="00C56CBC" w:rsidRDefault="00C56CBC">
      <w:pPr>
        <w:rPr>
          <w:b/>
        </w:rPr>
      </w:pPr>
    </w:p>
    <w:p w14:paraId="6146E0F3" w14:textId="6D4E3E2A" w:rsidR="002907BF" w:rsidRPr="002907BF" w:rsidRDefault="002907BF">
      <w:pPr>
        <w:rPr>
          <w:b/>
        </w:rPr>
      </w:pPr>
      <w:bookmarkStart w:id="6" w:name="nelsmarlbull"/>
      <w:bookmarkEnd w:id="6"/>
      <w:r w:rsidRPr="002907BF">
        <w:rPr>
          <w:b/>
        </w:rPr>
        <w:t>Nelson, Marlborough, Buller</w:t>
      </w:r>
    </w:p>
    <w:p w14:paraId="64B0660D" w14:textId="77777777" w:rsidR="007500C4" w:rsidRDefault="007500C4" w:rsidP="008E30BD">
      <w:pPr>
        <w:spacing w:after="120"/>
      </w:pPr>
      <w:r>
        <w:t xml:space="preserve">Probabilities are assigned in three categories: above average, near average, and below average. </w:t>
      </w:r>
    </w:p>
    <w:p w14:paraId="7ECD62FF" w14:textId="078C1C62" w:rsidR="008A1132" w:rsidRPr="0093157F" w:rsidRDefault="008A1132" w:rsidP="008A1132">
      <w:pPr>
        <w:pStyle w:val="ListParagraph"/>
        <w:numPr>
          <w:ilvl w:val="0"/>
          <w:numId w:val="2"/>
        </w:numPr>
        <w:rPr>
          <w:szCs w:val="24"/>
        </w:rPr>
      </w:pPr>
      <w:r w:rsidRPr="0093157F">
        <w:rPr>
          <w:szCs w:val="24"/>
        </w:rPr>
        <w:t xml:space="preserve">Temperatures are </w:t>
      </w:r>
      <w:r w:rsidR="004F4A8E">
        <w:rPr>
          <w:szCs w:val="24"/>
        </w:rPr>
        <w:t>about equally</w:t>
      </w:r>
      <w:r w:rsidRPr="0093157F">
        <w:rPr>
          <w:szCs w:val="24"/>
        </w:rPr>
        <w:t xml:space="preserve"> likely to be </w:t>
      </w:r>
      <w:r w:rsidR="00F345BD">
        <w:rPr>
          <w:szCs w:val="24"/>
        </w:rPr>
        <w:t xml:space="preserve">above </w:t>
      </w:r>
      <w:r w:rsidRPr="0093157F">
        <w:rPr>
          <w:szCs w:val="24"/>
        </w:rPr>
        <w:t xml:space="preserve">average </w:t>
      </w:r>
      <w:r w:rsidR="004F4A8E">
        <w:rPr>
          <w:szCs w:val="24"/>
        </w:rPr>
        <w:t>(</w:t>
      </w:r>
      <w:r w:rsidR="0005449D">
        <w:rPr>
          <w:szCs w:val="24"/>
        </w:rPr>
        <w:t>40</w:t>
      </w:r>
      <w:r w:rsidR="00B44856">
        <w:rPr>
          <w:szCs w:val="24"/>
        </w:rPr>
        <w:t>% chance</w:t>
      </w:r>
      <w:r w:rsidR="00FE26D8">
        <w:rPr>
          <w:szCs w:val="24"/>
        </w:rPr>
        <w:t>)</w:t>
      </w:r>
      <w:r w:rsidR="004F4A8E">
        <w:rPr>
          <w:szCs w:val="24"/>
        </w:rPr>
        <w:t xml:space="preserve"> or average (</w:t>
      </w:r>
      <w:r w:rsidR="00305CA6">
        <w:rPr>
          <w:szCs w:val="24"/>
        </w:rPr>
        <w:t>35</w:t>
      </w:r>
      <w:r w:rsidR="004F4A8E">
        <w:rPr>
          <w:szCs w:val="24"/>
        </w:rPr>
        <w:t>%</w:t>
      </w:r>
      <w:r w:rsidR="0055711D">
        <w:rPr>
          <w:szCs w:val="24"/>
        </w:rPr>
        <w:t xml:space="preserve"> chance</w:t>
      </w:r>
      <w:r w:rsidR="004F4A8E">
        <w:rPr>
          <w:szCs w:val="24"/>
        </w:rPr>
        <w:t>).</w:t>
      </w:r>
    </w:p>
    <w:p w14:paraId="650D2F2B" w14:textId="2F9AF81B" w:rsidR="004010A8" w:rsidRPr="00644254" w:rsidRDefault="004010A8" w:rsidP="004010A8">
      <w:pPr>
        <w:pStyle w:val="ListParagraph"/>
        <w:numPr>
          <w:ilvl w:val="0"/>
          <w:numId w:val="2"/>
        </w:numPr>
        <w:rPr>
          <w:szCs w:val="24"/>
        </w:rPr>
      </w:pPr>
      <w:r w:rsidRPr="00644254">
        <w:rPr>
          <w:szCs w:val="24"/>
        </w:rPr>
        <w:t xml:space="preserve">Rainfall </w:t>
      </w:r>
      <w:r w:rsidR="004D2321">
        <w:rPr>
          <w:szCs w:val="24"/>
        </w:rPr>
        <w:t xml:space="preserve">totals are </w:t>
      </w:r>
      <w:r w:rsidR="008D2A40">
        <w:rPr>
          <w:szCs w:val="24"/>
        </w:rPr>
        <w:t xml:space="preserve">about </w:t>
      </w:r>
      <w:r w:rsidR="004F4A8E">
        <w:rPr>
          <w:szCs w:val="24"/>
        </w:rPr>
        <w:t xml:space="preserve">equally likely to be normal </w:t>
      </w:r>
      <w:r w:rsidR="0055711D">
        <w:rPr>
          <w:szCs w:val="24"/>
        </w:rPr>
        <w:t xml:space="preserve">(40% chance) </w:t>
      </w:r>
      <w:r w:rsidR="004F4A8E">
        <w:rPr>
          <w:szCs w:val="24"/>
        </w:rPr>
        <w:t>or below normal (</w:t>
      </w:r>
      <w:r w:rsidR="004F659F">
        <w:rPr>
          <w:szCs w:val="24"/>
        </w:rPr>
        <w:t>35</w:t>
      </w:r>
      <w:r w:rsidR="00B44856">
        <w:rPr>
          <w:szCs w:val="24"/>
        </w:rPr>
        <w:t>% chance)</w:t>
      </w:r>
      <w:r w:rsidR="004F4A8E">
        <w:rPr>
          <w:szCs w:val="24"/>
        </w:rPr>
        <w:t>.</w:t>
      </w:r>
    </w:p>
    <w:p w14:paraId="7B935593" w14:textId="5687EC6E" w:rsidR="004D2321" w:rsidRDefault="002353C1" w:rsidP="004F4A8E">
      <w:pPr>
        <w:pStyle w:val="ListParagraph"/>
        <w:numPr>
          <w:ilvl w:val="0"/>
          <w:numId w:val="2"/>
        </w:numPr>
      </w:pPr>
      <w:r w:rsidRPr="00644254">
        <w:rPr>
          <w:szCs w:val="24"/>
        </w:rPr>
        <w:t>S</w:t>
      </w:r>
      <w:r w:rsidR="00796900" w:rsidRPr="00644254">
        <w:rPr>
          <w:szCs w:val="24"/>
        </w:rPr>
        <w:t>oil moisture levels</w:t>
      </w:r>
      <w:r w:rsidR="003A6E3B">
        <w:rPr>
          <w:szCs w:val="24"/>
        </w:rPr>
        <w:t xml:space="preserve"> and river flows are most likely to be in the </w:t>
      </w:r>
      <w:r w:rsidR="00957F5A">
        <w:rPr>
          <w:szCs w:val="24"/>
        </w:rPr>
        <w:t>below normal range (45% cha</w:t>
      </w:r>
      <w:r w:rsidR="003A6E3B">
        <w:rPr>
          <w:szCs w:val="24"/>
        </w:rPr>
        <w:t>nce)</w:t>
      </w:r>
      <w:r w:rsidR="001F44A6">
        <w:rPr>
          <w:szCs w:val="24"/>
        </w:rPr>
        <w:t>.</w:t>
      </w:r>
    </w:p>
    <w:p w14:paraId="50F46936" w14:textId="17E476AD" w:rsidR="007500C4" w:rsidRDefault="007500C4" w:rsidP="00C56CBC">
      <w:pPr>
        <w:spacing w:after="120"/>
      </w:pPr>
      <w:r>
        <w:lastRenderedPageBreak/>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007D4E28">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005533BD"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70E0218D" w14:textId="77777777" w:rsidR="005533BD" w:rsidRPr="00C823B1" w:rsidRDefault="005533BD"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61741C40" w14:textId="77777777" w:rsidR="005533BD" w:rsidRPr="00C823B1" w:rsidRDefault="005533BD"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6CB12C" w14:textId="77777777" w:rsidR="005533BD" w:rsidRPr="00C823B1" w:rsidRDefault="005533BD" w:rsidP="00824BDC">
            <w:pPr>
              <w:spacing w:before="40" w:after="40"/>
              <w:jc w:val="center"/>
              <w:rPr>
                <w:color w:val="FFFFFF" w:themeColor="background1"/>
              </w:rPr>
            </w:pPr>
            <w:r w:rsidRPr="00C823B1">
              <w:rPr>
                <w:color w:val="FFFFFF" w:themeColor="background1"/>
              </w:rPr>
              <w:t>River flows</w:t>
            </w:r>
          </w:p>
        </w:tc>
      </w:tr>
      <w:tr w:rsidR="005C7D43" w14:paraId="52DD080D" w14:textId="77777777" w:rsidTr="007D4E28">
        <w:tc>
          <w:tcPr>
            <w:tcW w:w="1802" w:type="dxa"/>
            <w:shd w:val="clear" w:color="auto" w:fill="95B3D7" w:themeFill="accent1" w:themeFillTint="99"/>
          </w:tcPr>
          <w:p w14:paraId="21F5B9A2" w14:textId="77777777" w:rsidR="005C7D43" w:rsidRPr="00C823B1" w:rsidRDefault="005C7D43"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6ADF3B77" w14:textId="21CBB072" w:rsidR="005C7D43" w:rsidRPr="008A7988" w:rsidRDefault="005C7D43" w:rsidP="004F4A8E">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0F9263D" w14:textId="3DCDE484" w:rsidR="005C7D43" w:rsidRPr="008A7988" w:rsidRDefault="005C7D43" w:rsidP="00F83712">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413CBC1D" w14:textId="10BD9345" w:rsidR="005C7D43" w:rsidRPr="00625CC7" w:rsidRDefault="005C7D43" w:rsidP="00F83712">
            <w:pPr>
              <w:spacing w:before="40" w:after="40"/>
              <w:jc w:val="center"/>
              <w:rPr>
                <w:color w:val="1F497D" w:themeColor="text2"/>
              </w:rPr>
            </w:pPr>
            <w:r>
              <w:rPr>
                <w:color w:val="1F497D" w:themeColor="text2"/>
              </w:rPr>
              <w:t>20</w:t>
            </w:r>
          </w:p>
        </w:tc>
        <w:tc>
          <w:tcPr>
            <w:tcW w:w="1791" w:type="dxa"/>
            <w:shd w:val="clear" w:color="auto" w:fill="B8CCE4" w:themeFill="accent1" w:themeFillTint="66"/>
          </w:tcPr>
          <w:p w14:paraId="52098917" w14:textId="1EEF6947" w:rsidR="005C7D43" w:rsidRPr="00625CC7" w:rsidRDefault="005C7D43" w:rsidP="00591DD6">
            <w:pPr>
              <w:tabs>
                <w:tab w:val="left" w:pos="590"/>
                <w:tab w:val="left" w:pos="640"/>
                <w:tab w:val="center" w:pos="787"/>
                <w:tab w:val="center" w:pos="816"/>
              </w:tabs>
              <w:spacing w:before="40" w:after="40"/>
              <w:jc w:val="center"/>
              <w:rPr>
                <w:color w:val="1F497D" w:themeColor="text2"/>
              </w:rPr>
            </w:pPr>
            <w:r>
              <w:rPr>
                <w:color w:val="1F497D" w:themeColor="text2"/>
              </w:rPr>
              <w:t>20</w:t>
            </w:r>
          </w:p>
        </w:tc>
      </w:tr>
      <w:tr w:rsidR="005C7D43" w14:paraId="0078C34A" w14:textId="77777777" w:rsidTr="007D4E28">
        <w:tc>
          <w:tcPr>
            <w:tcW w:w="1802" w:type="dxa"/>
            <w:shd w:val="clear" w:color="auto" w:fill="95B3D7" w:themeFill="accent1" w:themeFillTint="99"/>
          </w:tcPr>
          <w:p w14:paraId="048ACC9E" w14:textId="77777777" w:rsidR="005C7D43" w:rsidRPr="00C823B1" w:rsidRDefault="005C7D43"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BD88078" w14:textId="703E518E" w:rsidR="005C7D43" w:rsidRPr="008A7988" w:rsidRDefault="005C7D43" w:rsidP="00F83712">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1BC568D7" w14:textId="069FDC2A" w:rsidR="005C7D43" w:rsidRPr="008A7988" w:rsidRDefault="005C7D43"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F53D37F" w14:textId="35FB9CDD" w:rsidR="005C7D43" w:rsidRPr="00625CC7" w:rsidRDefault="005C7D43" w:rsidP="004F4A8E">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DE5B5B5" w14:textId="61A6990A" w:rsidR="005C7D43" w:rsidRPr="00625CC7" w:rsidRDefault="005C7D43" w:rsidP="00591DD6">
            <w:pPr>
              <w:tabs>
                <w:tab w:val="left" w:pos="570"/>
                <w:tab w:val="center" w:pos="787"/>
              </w:tabs>
              <w:spacing w:before="40" w:after="40"/>
              <w:jc w:val="center"/>
              <w:rPr>
                <w:color w:val="1F497D" w:themeColor="text2"/>
              </w:rPr>
            </w:pPr>
            <w:r>
              <w:rPr>
                <w:color w:val="1F497D" w:themeColor="text2"/>
              </w:rPr>
              <w:t>35</w:t>
            </w:r>
          </w:p>
        </w:tc>
      </w:tr>
      <w:tr w:rsidR="005C7D43" w14:paraId="16FD1F3B" w14:textId="77777777" w:rsidTr="007D4E28">
        <w:tc>
          <w:tcPr>
            <w:tcW w:w="1802" w:type="dxa"/>
            <w:shd w:val="clear" w:color="auto" w:fill="95B3D7" w:themeFill="accent1" w:themeFillTint="99"/>
          </w:tcPr>
          <w:p w14:paraId="33E89BE4" w14:textId="6CC9F845" w:rsidR="005C7D43" w:rsidRPr="00C823B1" w:rsidRDefault="005C7D43"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7DB14188" w14:textId="1EC46AB5" w:rsidR="005C7D43" w:rsidRPr="008A7988" w:rsidRDefault="005C7D43" w:rsidP="008A113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42C0398" w14:textId="0F067AC0" w:rsidR="005C7D43" w:rsidRPr="008A7988" w:rsidRDefault="005C7D43"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77929FC7" w14:textId="5021A674" w:rsidR="005C7D43" w:rsidRPr="00625CC7" w:rsidRDefault="005C7D43" w:rsidP="004F4A8E">
            <w:pPr>
              <w:spacing w:before="40" w:after="40"/>
              <w:jc w:val="center"/>
              <w:rPr>
                <w:color w:val="1F497D" w:themeColor="text2"/>
              </w:rPr>
            </w:pPr>
            <w:r>
              <w:rPr>
                <w:color w:val="1F497D" w:themeColor="text2"/>
              </w:rPr>
              <w:t>45</w:t>
            </w:r>
          </w:p>
        </w:tc>
        <w:tc>
          <w:tcPr>
            <w:tcW w:w="1791" w:type="dxa"/>
            <w:shd w:val="clear" w:color="auto" w:fill="B8CCE4" w:themeFill="accent1" w:themeFillTint="66"/>
          </w:tcPr>
          <w:p w14:paraId="4F089306" w14:textId="4F4A0314" w:rsidR="005C7D43" w:rsidRPr="00625CC7" w:rsidRDefault="005C7D43" w:rsidP="00591DD6">
            <w:pPr>
              <w:tabs>
                <w:tab w:val="left" w:pos="650"/>
                <w:tab w:val="center" w:pos="787"/>
              </w:tabs>
              <w:spacing w:before="40" w:after="40"/>
              <w:jc w:val="center"/>
              <w:rPr>
                <w:color w:val="1F497D" w:themeColor="text2"/>
              </w:rPr>
            </w:pPr>
            <w:r>
              <w:rPr>
                <w:color w:val="1F497D" w:themeColor="text2"/>
              </w:rPr>
              <w:t>45</w:t>
            </w:r>
          </w:p>
        </w:tc>
      </w:tr>
    </w:tbl>
    <w:p w14:paraId="625ECA30" w14:textId="77777777" w:rsidR="00FC6852" w:rsidRDefault="00FC6852">
      <w:pPr>
        <w:rPr>
          <w:b/>
        </w:rPr>
      </w:pPr>
      <w:bookmarkStart w:id="7" w:name="wcalpsfooteotag"/>
      <w:bookmarkEnd w:id="7"/>
    </w:p>
    <w:p w14:paraId="3186DC2C" w14:textId="72DC9C89" w:rsidR="005533BD" w:rsidRPr="005B0F93" w:rsidRDefault="005B0F93">
      <w:pPr>
        <w:rPr>
          <w:b/>
        </w:rPr>
      </w:pPr>
      <w:r w:rsidRPr="005B0F93">
        <w:rPr>
          <w:b/>
        </w:rPr>
        <w:t>West Coast, Alps and foothills, inland Otago, Southland</w:t>
      </w:r>
    </w:p>
    <w:p w14:paraId="67E2618B" w14:textId="77777777" w:rsidR="007500C4" w:rsidRDefault="007500C4" w:rsidP="00F11A0E">
      <w:r>
        <w:t xml:space="preserve">Probabilities are assigned in three categories: above average, near average, and below average. </w:t>
      </w:r>
    </w:p>
    <w:p w14:paraId="6151D349" w14:textId="70B96FC9" w:rsidR="00712ADD" w:rsidRPr="0093157F" w:rsidRDefault="00357CFB" w:rsidP="00712ADD">
      <w:pPr>
        <w:pStyle w:val="ListParagraph"/>
        <w:numPr>
          <w:ilvl w:val="0"/>
          <w:numId w:val="2"/>
        </w:numPr>
        <w:rPr>
          <w:szCs w:val="24"/>
        </w:rPr>
      </w:pPr>
      <w:r w:rsidRPr="0093157F">
        <w:rPr>
          <w:szCs w:val="24"/>
        </w:rPr>
        <w:t xml:space="preserve">Temperatures are </w:t>
      </w:r>
      <w:r w:rsidR="00A973DE">
        <w:rPr>
          <w:szCs w:val="24"/>
        </w:rPr>
        <w:t xml:space="preserve">about equally likely to be </w:t>
      </w:r>
      <w:r w:rsidR="00131E61">
        <w:rPr>
          <w:szCs w:val="24"/>
        </w:rPr>
        <w:t>above</w:t>
      </w:r>
      <w:r w:rsidR="00A973DE">
        <w:rPr>
          <w:szCs w:val="24"/>
        </w:rPr>
        <w:t xml:space="preserve"> average (40% chance) or</w:t>
      </w:r>
      <w:r w:rsidRPr="0093157F">
        <w:rPr>
          <w:szCs w:val="24"/>
        </w:rPr>
        <w:t xml:space="preserve"> </w:t>
      </w:r>
      <w:r w:rsidR="008A1132" w:rsidRPr="0093157F">
        <w:rPr>
          <w:szCs w:val="24"/>
        </w:rPr>
        <w:t xml:space="preserve">average </w:t>
      </w:r>
      <w:r w:rsidR="006C08B1">
        <w:rPr>
          <w:szCs w:val="24"/>
        </w:rPr>
        <w:t>(3</w:t>
      </w:r>
      <w:r w:rsidR="0017083A">
        <w:rPr>
          <w:szCs w:val="24"/>
        </w:rPr>
        <w:t>5</w:t>
      </w:r>
      <w:r w:rsidR="00FE26D8">
        <w:rPr>
          <w:szCs w:val="24"/>
        </w:rPr>
        <w:t>% chance)</w:t>
      </w:r>
      <w:r w:rsidR="00712ADD" w:rsidRPr="0093157F">
        <w:rPr>
          <w:szCs w:val="24"/>
        </w:rPr>
        <w:t>.</w:t>
      </w:r>
    </w:p>
    <w:p w14:paraId="2BA47F42" w14:textId="33EB1D41" w:rsidR="00A973DE" w:rsidRDefault="0061194F" w:rsidP="00644254">
      <w:pPr>
        <w:pStyle w:val="ListParagraph"/>
        <w:numPr>
          <w:ilvl w:val="0"/>
          <w:numId w:val="2"/>
        </w:numPr>
        <w:rPr>
          <w:szCs w:val="24"/>
        </w:rPr>
      </w:pPr>
      <w:r>
        <w:rPr>
          <w:szCs w:val="24"/>
        </w:rPr>
        <w:t>Rainfall totals</w:t>
      </w:r>
      <w:r w:rsidR="0017083A">
        <w:rPr>
          <w:szCs w:val="24"/>
        </w:rPr>
        <w:t xml:space="preserve"> </w:t>
      </w:r>
      <w:r w:rsidR="00A973DE">
        <w:rPr>
          <w:szCs w:val="24"/>
        </w:rPr>
        <w:t xml:space="preserve">are </w:t>
      </w:r>
      <w:r w:rsidR="00351A54">
        <w:rPr>
          <w:szCs w:val="24"/>
        </w:rPr>
        <w:t>most</w:t>
      </w:r>
      <w:r w:rsidR="00A973DE">
        <w:rPr>
          <w:szCs w:val="24"/>
        </w:rPr>
        <w:t xml:space="preserve"> likely to be </w:t>
      </w:r>
      <w:r w:rsidR="00351A54">
        <w:rPr>
          <w:szCs w:val="24"/>
        </w:rPr>
        <w:t>above</w:t>
      </w:r>
      <w:r w:rsidR="00A973DE">
        <w:rPr>
          <w:szCs w:val="24"/>
        </w:rPr>
        <w:t xml:space="preserve"> normal </w:t>
      </w:r>
      <w:r w:rsidR="007326BA">
        <w:rPr>
          <w:szCs w:val="24"/>
        </w:rPr>
        <w:t>(4</w:t>
      </w:r>
      <w:r w:rsidR="000077FB">
        <w:rPr>
          <w:szCs w:val="24"/>
        </w:rPr>
        <w:t>5</w:t>
      </w:r>
      <w:r w:rsidR="007326BA">
        <w:rPr>
          <w:szCs w:val="24"/>
        </w:rPr>
        <w:t>% chance).</w:t>
      </w:r>
    </w:p>
    <w:p w14:paraId="5E813A09" w14:textId="77777777" w:rsidR="0055209E" w:rsidRPr="0093157F" w:rsidRDefault="00A973DE" w:rsidP="0055209E">
      <w:pPr>
        <w:pStyle w:val="ListParagraph"/>
        <w:numPr>
          <w:ilvl w:val="0"/>
          <w:numId w:val="2"/>
        </w:numPr>
        <w:rPr>
          <w:szCs w:val="24"/>
        </w:rPr>
      </w:pPr>
      <w:r w:rsidRPr="00E725AF">
        <w:rPr>
          <w:szCs w:val="24"/>
        </w:rPr>
        <w:t>S</w:t>
      </w:r>
      <w:r w:rsidR="0017083A" w:rsidRPr="00E725AF">
        <w:rPr>
          <w:szCs w:val="24"/>
        </w:rPr>
        <w:t>oil moisture levels</w:t>
      </w:r>
      <w:r w:rsidRPr="00E725AF">
        <w:rPr>
          <w:szCs w:val="24"/>
        </w:rPr>
        <w:t xml:space="preserve"> </w:t>
      </w:r>
      <w:r w:rsidR="00574EDE" w:rsidRPr="00E725AF">
        <w:rPr>
          <w:szCs w:val="24"/>
        </w:rPr>
        <w:t>and river flows</w:t>
      </w:r>
      <w:r w:rsidR="00574EDE" w:rsidRPr="0055209E">
        <w:rPr>
          <w:i/>
          <w:szCs w:val="24"/>
        </w:rPr>
        <w:t xml:space="preserve"> </w:t>
      </w:r>
      <w:r w:rsidR="0055209E" w:rsidRPr="0093157F">
        <w:rPr>
          <w:szCs w:val="24"/>
        </w:rPr>
        <w:t xml:space="preserve">are </w:t>
      </w:r>
      <w:r w:rsidR="0055209E">
        <w:rPr>
          <w:szCs w:val="24"/>
        </w:rPr>
        <w:t>about equally likely to be above average (40% chance) or</w:t>
      </w:r>
      <w:r w:rsidR="0055209E" w:rsidRPr="0093157F">
        <w:rPr>
          <w:szCs w:val="24"/>
        </w:rPr>
        <w:t xml:space="preserve"> average </w:t>
      </w:r>
      <w:r w:rsidR="0055209E">
        <w:rPr>
          <w:szCs w:val="24"/>
        </w:rPr>
        <w:t>(35% chance)</w:t>
      </w:r>
      <w:r w:rsidR="0055209E" w:rsidRPr="0093157F">
        <w:rPr>
          <w:szCs w:val="24"/>
        </w:rPr>
        <w:t>.</w:t>
      </w:r>
    </w:p>
    <w:p w14:paraId="24C00E98" w14:textId="42A8BDAC" w:rsidR="007500C4" w:rsidRDefault="007500C4" w:rsidP="0055209E">
      <w:pPr>
        <w:ind w:left="36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007D4E28">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005B0F93"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CE0ABE4" w14:textId="77777777" w:rsidR="005B0F93" w:rsidRPr="00C823B1" w:rsidRDefault="005B0F93"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22F0B77" w14:textId="77777777" w:rsidR="005B0F93" w:rsidRPr="00C823B1" w:rsidRDefault="005B0F93"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21D7B291" w14:textId="77777777" w:rsidR="005B0F93" w:rsidRPr="00C823B1" w:rsidRDefault="005B0F93" w:rsidP="00824BDC">
            <w:pPr>
              <w:spacing w:before="40" w:after="40"/>
              <w:jc w:val="center"/>
              <w:rPr>
                <w:color w:val="FFFFFF" w:themeColor="background1"/>
              </w:rPr>
            </w:pPr>
            <w:r w:rsidRPr="00C823B1">
              <w:rPr>
                <w:color w:val="FFFFFF" w:themeColor="background1"/>
              </w:rPr>
              <w:t>River flows</w:t>
            </w:r>
          </w:p>
        </w:tc>
      </w:tr>
      <w:tr w:rsidR="00433424" w14:paraId="38A661A3" w14:textId="77777777" w:rsidTr="007D4E28">
        <w:tc>
          <w:tcPr>
            <w:tcW w:w="1802" w:type="dxa"/>
            <w:shd w:val="clear" w:color="auto" w:fill="95B3D7" w:themeFill="accent1" w:themeFillTint="99"/>
          </w:tcPr>
          <w:p w14:paraId="359E5473" w14:textId="77777777" w:rsidR="00433424" w:rsidRPr="00C823B1" w:rsidRDefault="00433424"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61A7E32" w14:textId="2F0724EC" w:rsidR="00433424" w:rsidRPr="008A7988" w:rsidRDefault="00433424"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1680368" w14:textId="127EBF27" w:rsidR="00433424" w:rsidRPr="008A7988" w:rsidRDefault="00433424" w:rsidP="00F83712">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5E576BF2" w14:textId="56B2CFEF" w:rsidR="00433424" w:rsidRPr="00C2152F" w:rsidRDefault="00433424" w:rsidP="00A973DE">
            <w:pPr>
              <w:tabs>
                <w:tab w:val="left" w:pos="590"/>
                <w:tab w:val="center" w:pos="796"/>
              </w:tabs>
              <w:spacing w:before="40" w:after="40"/>
              <w:jc w:val="center"/>
              <w:rPr>
                <w:color w:val="1F497D" w:themeColor="text2"/>
              </w:rPr>
            </w:pPr>
            <w:r>
              <w:rPr>
                <w:color w:val="1F497D" w:themeColor="text2"/>
              </w:rPr>
              <w:t>40</w:t>
            </w:r>
          </w:p>
        </w:tc>
        <w:tc>
          <w:tcPr>
            <w:tcW w:w="1791" w:type="dxa"/>
            <w:shd w:val="clear" w:color="auto" w:fill="B8CCE4" w:themeFill="accent1" w:themeFillTint="66"/>
          </w:tcPr>
          <w:p w14:paraId="5AD50179" w14:textId="3F2B0136" w:rsidR="00433424" w:rsidRPr="006719B0" w:rsidRDefault="00433424" w:rsidP="00207805">
            <w:pPr>
              <w:tabs>
                <w:tab w:val="left" w:pos="650"/>
                <w:tab w:val="center" w:pos="787"/>
              </w:tabs>
              <w:spacing w:before="40" w:after="40"/>
              <w:jc w:val="center"/>
              <w:rPr>
                <w:color w:val="1F497D" w:themeColor="text2"/>
              </w:rPr>
            </w:pPr>
            <w:r>
              <w:rPr>
                <w:color w:val="1F497D" w:themeColor="text2"/>
              </w:rPr>
              <w:t>40</w:t>
            </w:r>
          </w:p>
        </w:tc>
      </w:tr>
      <w:tr w:rsidR="00433424" w14:paraId="49C40665" w14:textId="77777777" w:rsidTr="007D4E28">
        <w:tc>
          <w:tcPr>
            <w:tcW w:w="1802" w:type="dxa"/>
            <w:shd w:val="clear" w:color="auto" w:fill="95B3D7" w:themeFill="accent1" w:themeFillTint="99"/>
          </w:tcPr>
          <w:p w14:paraId="61FC8C85" w14:textId="77777777" w:rsidR="00433424" w:rsidRPr="00C823B1" w:rsidRDefault="00433424"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30A7B025" w14:textId="4E2CFD88" w:rsidR="00433424" w:rsidRPr="008A7988" w:rsidRDefault="00433424" w:rsidP="00F83712">
            <w:pPr>
              <w:tabs>
                <w:tab w:val="left" w:pos="660"/>
                <w:tab w:val="center" w:pos="816"/>
              </w:tabs>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2C1D4F83" w14:textId="15F5D1CF" w:rsidR="00433424" w:rsidRPr="008A7988" w:rsidRDefault="00433424"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7B8026C8" w14:textId="2BEDA3D4" w:rsidR="00433424" w:rsidRPr="00C2152F" w:rsidRDefault="00433424" w:rsidP="008A1132">
            <w:pPr>
              <w:tabs>
                <w:tab w:val="left" w:pos="590"/>
                <w:tab w:val="center" w:pos="796"/>
              </w:tabs>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7E5CD0D2" w14:textId="6FDA3B6C" w:rsidR="00433424" w:rsidRPr="006719B0" w:rsidRDefault="00433424" w:rsidP="00A973DE">
            <w:pPr>
              <w:tabs>
                <w:tab w:val="left" w:pos="600"/>
                <w:tab w:val="center" w:pos="787"/>
              </w:tabs>
              <w:spacing w:before="40" w:after="40"/>
              <w:jc w:val="center"/>
              <w:rPr>
                <w:color w:val="1F497D" w:themeColor="text2"/>
              </w:rPr>
            </w:pPr>
            <w:r>
              <w:rPr>
                <w:color w:val="1F497D" w:themeColor="text2"/>
              </w:rPr>
              <w:t>35</w:t>
            </w:r>
          </w:p>
        </w:tc>
      </w:tr>
      <w:tr w:rsidR="00433424" w14:paraId="7F44E623" w14:textId="77777777" w:rsidTr="007D4E28">
        <w:tc>
          <w:tcPr>
            <w:tcW w:w="1802" w:type="dxa"/>
            <w:shd w:val="clear" w:color="auto" w:fill="95B3D7" w:themeFill="accent1" w:themeFillTint="99"/>
          </w:tcPr>
          <w:p w14:paraId="00361F25" w14:textId="77777777" w:rsidR="00433424" w:rsidRPr="00C823B1" w:rsidRDefault="00433424"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375588BD" w14:textId="2378038D" w:rsidR="00433424" w:rsidRPr="008A7988" w:rsidRDefault="00433424" w:rsidP="00F8371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676B7A46" w14:textId="70AC1D88" w:rsidR="00433424" w:rsidRPr="008A7988" w:rsidRDefault="00433424"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213EBFD3" w14:textId="115AC86F" w:rsidR="00433424" w:rsidRPr="00C2152F" w:rsidRDefault="00433424" w:rsidP="00207805">
            <w:pPr>
              <w:tabs>
                <w:tab w:val="left" w:pos="640"/>
                <w:tab w:val="center" w:pos="796"/>
              </w:tabs>
              <w:spacing w:before="40" w:after="40"/>
              <w:jc w:val="center"/>
              <w:rPr>
                <w:color w:val="1F497D" w:themeColor="text2"/>
              </w:rPr>
            </w:pPr>
            <w:r>
              <w:rPr>
                <w:color w:val="1F497D" w:themeColor="text2"/>
              </w:rPr>
              <w:t>25</w:t>
            </w:r>
          </w:p>
        </w:tc>
        <w:tc>
          <w:tcPr>
            <w:tcW w:w="1791" w:type="dxa"/>
            <w:shd w:val="clear" w:color="auto" w:fill="B8CCE4" w:themeFill="accent1" w:themeFillTint="66"/>
          </w:tcPr>
          <w:p w14:paraId="7F51C6CF" w14:textId="22269107" w:rsidR="00433424" w:rsidRPr="006719B0" w:rsidRDefault="00433424" w:rsidP="00207805">
            <w:pPr>
              <w:tabs>
                <w:tab w:val="left" w:pos="670"/>
                <w:tab w:val="center" w:pos="787"/>
              </w:tabs>
              <w:spacing w:before="40" w:after="40"/>
              <w:jc w:val="center"/>
              <w:rPr>
                <w:color w:val="1F497D" w:themeColor="text2"/>
              </w:rPr>
            </w:pPr>
            <w:r>
              <w:rPr>
                <w:color w:val="1F497D" w:themeColor="text2"/>
              </w:rPr>
              <w:t>25</w:t>
            </w:r>
          </w:p>
        </w:tc>
      </w:tr>
    </w:tbl>
    <w:p w14:paraId="37457D3B" w14:textId="77777777" w:rsidR="00521CA1" w:rsidRDefault="00521CA1">
      <w:pPr>
        <w:rPr>
          <w:b/>
        </w:rPr>
      </w:pPr>
    </w:p>
    <w:p w14:paraId="6D9798C5" w14:textId="77777777" w:rsidR="005B0F93" w:rsidRPr="00543585" w:rsidRDefault="00543585">
      <w:pPr>
        <w:rPr>
          <w:b/>
        </w:rPr>
      </w:pPr>
      <w:bookmarkStart w:id="8" w:name="coastcanteotag"/>
      <w:bookmarkEnd w:id="8"/>
      <w:r w:rsidRPr="00543585">
        <w:rPr>
          <w:b/>
        </w:rPr>
        <w:t>Coastal Canterbury, east Otago</w:t>
      </w:r>
    </w:p>
    <w:p w14:paraId="33A407ED" w14:textId="77777777" w:rsidR="007500C4" w:rsidRDefault="007500C4" w:rsidP="00F11A0E">
      <w:r>
        <w:t xml:space="preserve">Probabilities are assigned in three categories: above average, near average, and below average. </w:t>
      </w:r>
    </w:p>
    <w:p w14:paraId="44D99794" w14:textId="56B20CD8" w:rsidR="008A1132" w:rsidRPr="0093157F" w:rsidRDefault="008A1132" w:rsidP="008A1132">
      <w:pPr>
        <w:pStyle w:val="ListParagraph"/>
        <w:numPr>
          <w:ilvl w:val="0"/>
          <w:numId w:val="2"/>
        </w:numPr>
        <w:rPr>
          <w:szCs w:val="24"/>
        </w:rPr>
      </w:pPr>
      <w:r w:rsidRPr="0093157F">
        <w:rPr>
          <w:szCs w:val="24"/>
        </w:rPr>
        <w:t>Temperatures</w:t>
      </w:r>
      <w:r w:rsidR="0061194F">
        <w:rPr>
          <w:szCs w:val="24"/>
        </w:rPr>
        <w:t xml:space="preserve"> </w:t>
      </w:r>
      <w:r w:rsidR="00A973DE">
        <w:rPr>
          <w:szCs w:val="24"/>
        </w:rPr>
        <w:t>are</w:t>
      </w:r>
      <w:r w:rsidR="00F82709">
        <w:rPr>
          <w:szCs w:val="24"/>
        </w:rPr>
        <w:t xml:space="preserve"> </w:t>
      </w:r>
      <w:r w:rsidR="00DA2B86">
        <w:rPr>
          <w:szCs w:val="24"/>
        </w:rPr>
        <w:t xml:space="preserve">about equally likely to be above average (40% </w:t>
      </w:r>
      <w:r w:rsidR="00247810">
        <w:rPr>
          <w:szCs w:val="24"/>
        </w:rPr>
        <w:t>chance) or average (35% chance).</w:t>
      </w:r>
    </w:p>
    <w:p w14:paraId="02489546" w14:textId="645655DC" w:rsidR="00644254" w:rsidRDefault="0061194F" w:rsidP="00644254">
      <w:pPr>
        <w:pStyle w:val="ListParagraph"/>
        <w:numPr>
          <w:ilvl w:val="0"/>
          <w:numId w:val="2"/>
        </w:numPr>
        <w:rPr>
          <w:szCs w:val="24"/>
        </w:rPr>
      </w:pPr>
      <w:r>
        <w:rPr>
          <w:szCs w:val="24"/>
        </w:rPr>
        <w:t>R</w:t>
      </w:r>
      <w:r w:rsidR="003E3714">
        <w:rPr>
          <w:szCs w:val="24"/>
        </w:rPr>
        <w:t xml:space="preserve">ainfall totals </w:t>
      </w:r>
      <w:r w:rsidR="00A973DE">
        <w:rPr>
          <w:szCs w:val="24"/>
        </w:rPr>
        <w:t xml:space="preserve">are </w:t>
      </w:r>
      <w:r w:rsidR="00644254">
        <w:rPr>
          <w:szCs w:val="24"/>
        </w:rPr>
        <w:t>about equally likely</w:t>
      </w:r>
      <w:r w:rsidR="00644254" w:rsidRPr="00FD3F99">
        <w:rPr>
          <w:szCs w:val="24"/>
        </w:rPr>
        <w:t xml:space="preserve"> to </w:t>
      </w:r>
      <w:r w:rsidR="00A86C85">
        <w:rPr>
          <w:szCs w:val="24"/>
        </w:rPr>
        <w:t xml:space="preserve">be </w:t>
      </w:r>
      <w:r w:rsidR="00644254" w:rsidRPr="00FD3F99">
        <w:rPr>
          <w:szCs w:val="24"/>
        </w:rPr>
        <w:t xml:space="preserve">near normal </w:t>
      </w:r>
      <w:r w:rsidR="00F60595">
        <w:rPr>
          <w:szCs w:val="24"/>
        </w:rPr>
        <w:t>(</w:t>
      </w:r>
      <w:r w:rsidR="00A973DE">
        <w:rPr>
          <w:szCs w:val="24"/>
        </w:rPr>
        <w:t>40</w:t>
      </w:r>
      <w:r w:rsidR="003E3714">
        <w:rPr>
          <w:szCs w:val="24"/>
        </w:rPr>
        <w:t xml:space="preserve">% chance) </w:t>
      </w:r>
      <w:r w:rsidR="00644254">
        <w:rPr>
          <w:szCs w:val="24"/>
        </w:rPr>
        <w:t xml:space="preserve">or below normal </w:t>
      </w:r>
      <w:r w:rsidR="00F82709">
        <w:rPr>
          <w:szCs w:val="24"/>
        </w:rPr>
        <w:t>(35% chance).</w:t>
      </w:r>
    </w:p>
    <w:p w14:paraId="7A5109DE" w14:textId="4D8DC98B" w:rsidR="00F82709" w:rsidRDefault="00B158C4" w:rsidP="00237915">
      <w:pPr>
        <w:pStyle w:val="ListParagraph"/>
        <w:numPr>
          <w:ilvl w:val="0"/>
          <w:numId w:val="2"/>
        </w:numPr>
      </w:pPr>
      <w:r w:rsidRPr="00644254">
        <w:rPr>
          <w:szCs w:val="24"/>
        </w:rPr>
        <w:t>Soil moisture levels</w:t>
      </w:r>
      <w:r>
        <w:rPr>
          <w:szCs w:val="24"/>
        </w:rPr>
        <w:t xml:space="preserve"> and river flows are most likely to be in the below normal range (45% chance).</w:t>
      </w:r>
    </w:p>
    <w:p w14:paraId="71E6F1B6" w14:textId="31C18AE0" w:rsidR="007500C4" w:rsidRDefault="007500C4" w:rsidP="00237915">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00C156A0">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00ED7646"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5412D83B" w14:textId="77777777" w:rsidR="00ED7646" w:rsidRPr="00C823B1" w:rsidRDefault="00ED7646"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71FE2A05" w14:textId="77777777" w:rsidR="00ED7646" w:rsidRPr="00C823B1" w:rsidRDefault="00ED7646"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9EF2CF" w14:textId="77777777" w:rsidR="00ED7646" w:rsidRPr="00C823B1" w:rsidRDefault="00ED7646" w:rsidP="00824BDC">
            <w:pPr>
              <w:spacing w:before="40" w:after="40"/>
              <w:jc w:val="center"/>
              <w:rPr>
                <w:color w:val="FFFFFF" w:themeColor="background1"/>
              </w:rPr>
            </w:pPr>
            <w:r w:rsidRPr="00C823B1">
              <w:rPr>
                <w:color w:val="FFFFFF" w:themeColor="background1"/>
              </w:rPr>
              <w:t>River flows</w:t>
            </w:r>
          </w:p>
        </w:tc>
      </w:tr>
      <w:tr w:rsidR="00320703" w14:paraId="65EE7229" w14:textId="77777777" w:rsidTr="00C156A0">
        <w:tc>
          <w:tcPr>
            <w:tcW w:w="1802" w:type="dxa"/>
            <w:shd w:val="clear" w:color="auto" w:fill="95B3D7" w:themeFill="accent1" w:themeFillTint="99"/>
          </w:tcPr>
          <w:p w14:paraId="0E0FDC00" w14:textId="77777777" w:rsidR="00320703" w:rsidRPr="00C823B1" w:rsidRDefault="00320703"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17794B0" w14:textId="663B4687" w:rsidR="00320703" w:rsidRPr="008A7988" w:rsidRDefault="00320703" w:rsidP="000717E2">
            <w:pPr>
              <w:tabs>
                <w:tab w:val="left" w:pos="627"/>
                <w:tab w:val="center" w:pos="804"/>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338FEF9E" w14:textId="75D43983" w:rsidR="00320703" w:rsidRPr="008A7988" w:rsidRDefault="00320703" w:rsidP="000717E2">
            <w:pPr>
              <w:tabs>
                <w:tab w:val="left" w:pos="667"/>
                <w:tab w:val="center" w:pos="792"/>
              </w:tabs>
              <w:spacing w:before="40" w:after="40"/>
              <w:rPr>
                <w:color w:val="1F497D" w:themeColor="text2"/>
              </w:rPr>
            </w:pPr>
            <w:r>
              <w:rPr>
                <w:color w:val="1F497D" w:themeColor="text2"/>
              </w:rPr>
              <w:tab/>
              <w:t>25</w:t>
            </w:r>
          </w:p>
        </w:tc>
        <w:tc>
          <w:tcPr>
            <w:tcW w:w="1808" w:type="dxa"/>
            <w:shd w:val="clear" w:color="auto" w:fill="B8CCE4" w:themeFill="accent1" w:themeFillTint="66"/>
          </w:tcPr>
          <w:p w14:paraId="33E84569" w14:textId="313CCAD2" w:rsidR="00320703" w:rsidRPr="00D90C5D" w:rsidRDefault="00320703" w:rsidP="00D90C5D">
            <w:pPr>
              <w:spacing w:before="40" w:after="40"/>
              <w:jc w:val="center"/>
              <w:rPr>
                <w:color w:val="1F497D" w:themeColor="text2"/>
              </w:rPr>
            </w:pPr>
            <w:r>
              <w:rPr>
                <w:color w:val="1F497D" w:themeColor="text2"/>
              </w:rPr>
              <w:t>20</w:t>
            </w:r>
          </w:p>
        </w:tc>
        <w:tc>
          <w:tcPr>
            <w:tcW w:w="1791" w:type="dxa"/>
            <w:shd w:val="clear" w:color="auto" w:fill="B8CCE4" w:themeFill="accent1" w:themeFillTint="66"/>
          </w:tcPr>
          <w:p w14:paraId="70BB8BC8" w14:textId="539FD181" w:rsidR="00320703" w:rsidRPr="00D90C5D" w:rsidRDefault="00320703" w:rsidP="00D90C5D">
            <w:pPr>
              <w:spacing w:before="40" w:after="40"/>
              <w:jc w:val="center"/>
              <w:rPr>
                <w:color w:val="1F497D" w:themeColor="text2"/>
              </w:rPr>
            </w:pPr>
            <w:r>
              <w:rPr>
                <w:color w:val="1F497D" w:themeColor="text2"/>
              </w:rPr>
              <w:t>20</w:t>
            </w:r>
          </w:p>
        </w:tc>
      </w:tr>
      <w:tr w:rsidR="00320703" w14:paraId="3508B3E6" w14:textId="77777777" w:rsidTr="00C156A0">
        <w:tc>
          <w:tcPr>
            <w:tcW w:w="1802" w:type="dxa"/>
            <w:shd w:val="clear" w:color="auto" w:fill="95B3D7" w:themeFill="accent1" w:themeFillTint="99"/>
          </w:tcPr>
          <w:p w14:paraId="079E8E80" w14:textId="77777777" w:rsidR="00320703" w:rsidRPr="00C823B1" w:rsidRDefault="00320703"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68CD84C9" w14:textId="32A45AC7" w:rsidR="00320703" w:rsidRPr="008A7988" w:rsidRDefault="00320703" w:rsidP="00975420">
            <w:pPr>
              <w:tabs>
                <w:tab w:val="left" w:pos="560"/>
                <w:tab w:val="center" w:pos="816"/>
              </w:tabs>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2F6C0D61" w14:textId="4B75809F" w:rsidR="00320703" w:rsidRPr="008A7988" w:rsidRDefault="00320703" w:rsidP="00905CB2">
            <w:pPr>
              <w:tabs>
                <w:tab w:val="left" w:pos="660"/>
                <w:tab w:val="center" w:pos="792"/>
              </w:tabs>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5F4A0D77" w14:textId="043DA599" w:rsidR="00320703" w:rsidRPr="00D90C5D" w:rsidRDefault="00320703" w:rsidP="00975420">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36F37628" w14:textId="35351808" w:rsidR="00320703" w:rsidRPr="00D90C5D" w:rsidRDefault="00320703" w:rsidP="00D90C5D">
            <w:pPr>
              <w:tabs>
                <w:tab w:val="left" w:pos="550"/>
                <w:tab w:val="center" w:pos="787"/>
              </w:tabs>
              <w:spacing w:before="40" w:after="40"/>
              <w:jc w:val="center"/>
              <w:rPr>
                <w:color w:val="1F497D" w:themeColor="text2"/>
              </w:rPr>
            </w:pPr>
            <w:r>
              <w:rPr>
                <w:color w:val="1F497D" w:themeColor="text2"/>
              </w:rPr>
              <w:t>35</w:t>
            </w:r>
          </w:p>
        </w:tc>
      </w:tr>
      <w:tr w:rsidR="00320703" w14:paraId="03884281" w14:textId="77777777" w:rsidTr="00C156A0">
        <w:tc>
          <w:tcPr>
            <w:tcW w:w="1802" w:type="dxa"/>
            <w:shd w:val="clear" w:color="auto" w:fill="95B3D7" w:themeFill="accent1" w:themeFillTint="99"/>
          </w:tcPr>
          <w:p w14:paraId="29EA5074" w14:textId="77777777" w:rsidR="00320703" w:rsidRPr="00C823B1" w:rsidRDefault="00320703"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D1D3A13" w14:textId="357DB563" w:rsidR="00320703" w:rsidRPr="008A7988" w:rsidRDefault="00320703" w:rsidP="00975420">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0549ACC5" w14:textId="69D27F96" w:rsidR="00320703" w:rsidRPr="008A7988" w:rsidRDefault="00320703" w:rsidP="00975420">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7675A814" w14:textId="4C0680C0" w:rsidR="00320703" w:rsidRPr="00D90C5D" w:rsidRDefault="00320703" w:rsidP="00975420">
            <w:pPr>
              <w:spacing w:before="40" w:after="40"/>
              <w:jc w:val="center"/>
              <w:rPr>
                <w:color w:val="1F497D" w:themeColor="text2"/>
              </w:rPr>
            </w:pPr>
            <w:r>
              <w:rPr>
                <w:color w:val="1F497D" w:themeColor="text2"/>
              </w:rPr>
              <w:t>45</w:t>
            </w:r>
          </w:p>
        </w:tc>
        <w:tc>
          <w:tcPr>
            <w:tcW w:w="1791" w:type="dxa"/>
            <w:shd w:val="clear" w:color="auto" w:fill="B8CCE4" w:themeFill="accent1" w:themeFillTint="66"/>
          </w:tcPr>
          <w:p w14:paraId="1ABDEF0B" w14:textId="50E7C066" w:rsidR="00320703" w:rsidRPr="00D90C5D" w:rsidRDefault="00320703" w:rsidP="00D90C5D">
            <w:pPr>
              <w:tabs>
                <w:tab w:val="left" w:pos="590"/>
                <w:tab w:val="center" w:pos="787"/>
              </w:tabs>
              <w:spacing w:before="40" w:after="40"/>
              <w:jc w:val="center"/>
              <w:rPr>
                <w:color w:val="1F497D" w:themeColor="text2"/>
              </w:rPr>
            </w:pPr>
            <w:r>
              <w:rPr>
                <w:color w:val="1F497D" w:themeColor="text2"/>
              </w:rPr>
              <w:t>45</w:t>
            </w:r>
          </w:p>
        </w:tc>
      </w:tr>
    </w:tbl>
    <w:p w14:paraId="0E88547B" w14:textId="020289BD" w:rsidR="005A4087" w:rsidRDefault="005A4087">
      <w:pPr>
        <w:rPr>
          <w:color w:val="365F91" w:themeColor="accent1" w:themeShade="BF"/>
          <w:sz w:val="28"/>
          <w:szCs w:val="28"/>
        </w:rPr>
      </w:pPr>
    </w:p>
    <w:p w14:paraId="35393D33" w14:textId="77777777" w:rsidR="009F6F9A" w:rsidRDefault="009F6F9A" w:rsidP="00AE4345">
      <w:pPr>
        <w:rPr>
          <w:color w:val="365F91" w:themeColor="accent1" w:themeShade="BF"/>
          <w:sz w:val="28"/>
          <w:szCs w:val="28"/>
        </w:rPr>
      </w:pPr>
    </w:p>
    <w:p w14:paraId="5366D7B2" w14:textId="6B9FBF55" w:rsidR="00545A09" w:rsidRPr="00D720FF" w:rsidRDefault="00AE4345" w:rsidP="00AE4345">
      <w:pPr>
        <w:rPr>
          <w:color w:val="365F91" w:themeColor="accent1" w:themeShade="BF"/>
          <w:sz w:val="28"/>
          <w:szCs w:val="28"/>
        </w:rPr>
      </w:pPr>
      <w:r w:rsidRPr="0073468B">
        <w:rPr>
          <w:color w:val="365F91" w:themeColor="accent1" w:themeShade="BF"/>
          <w:sz w:val="28"/>
          <w:szCs w:val="28"/>
        </w:rPr>
        <w:lastRenderedPageBreak/>
        <w:t>Graphical representation of the regional probabilities</w:t>
      </w:r>
    </w:p>
    <w:p w14:paraId="5E19D2CB" w14:textId="77777777" w:rsidR="005F38DE" w:rsidRDefault="005F38DE">
      <w:pPr>
        <w:rPr>
          <w:color w:val="1F497D" w:themeColor="text2"/>
        </w:rPr>
      </w:pPr>
    </w:p>
    <w:p w14:paraId="2D76FEB2" w14:textId="7240B898" w:rsidR="007D4E28" w:rsidRPr="00E43A17" w:rsidRDefault="000A3462">
      <w:pPr>
        <w:rPr>
          <w:color w:val="1F497D" w:themeColor="text2"/>
          <w:sz w:val="20"/>
          <w:szCs w:val="20"/>
        </w:rPr>
      </w:pPr>
      <w:r>
        <w:rPr>
          <w:noProof/>
          <w:color w:val="1F497D" w:themeColor="text2"/>
          <w:sz w:val="20"/>
          <w:szCs w:val="20"/>
          <w:lang w:eastAsia="en-NZ"/>
        </w:rPr>
        <w:drawing>
          <wp:inline distT="0" distB="0" distL="0" distR="0" wp14:anchorId="2B30166D" wp14:editId="478FC9E2">
            <wp:extent cx="5732145" cy="6883400"/>
            <wp:effectExtent l="0" t="0" r="8255" b="0"/>
            <wp:docPr id="4" name="Picture 4" descr="Dvalinn:Users:nicolasf:Downloads:outlook_map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linn:Users:nicolasf:Downloads:outlook_map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6883400"/>
                    </a:xfrm>
                    <a:prstGeom prst="rect">
                      <a:avLst/>
                    </a:prstGeom>
                    <a:noFill/>
                    <a:ln>
                      <a:noFill/>
                    </a:ln>
                  </pic:spPr>
                </pic:pic>
              </a:graphicData>
            </a:graphic>
          </wp:inline>
        </w:drawing>
      </w:r>
      <w:r w:rsidR="007D4E28" w:rsidRPr="00E43A17">
        <w:rPr>
          <w:color w:val="1F497D" w:themeColor="text2"/>
          <w:sz w:val="20"/>
          <w:szCs w:val="20"/>
        </w:rPr>
        <w:br w:type="page"/>
      </w:r>
    </w:p>
    <w:p w14:paraId="05A4AD81" w14:textId="77777777" w:rsidR="00F82709" w:rsidRDefault="00F82709" w:rsidP="00E53C7B">
      <w:pPr>
        <w:rPr>
          <w:color w:val="1F497D" w:themeColor="text2"/>
          <w:sz w:val="28"/>
          <w:szCs w:val="28"/>
        </w:rPr>
      </w:pPr>
    </w:p>
    <w:p w14:paraId="3643EED5" w14:textId="77777777" w:rsidR="00E53C7B" w:rsidRDefault="0009434B" w:rsidP="00E53C7B">
      <w:pPr>
        <w:rPr>
          <w:color w:val="1F497D" w:themeColor="text2"/>
          <w:sz w:val="28"/>
          <w:szCs w:val="28"/>
        </w:rPr>
      </w:pPr>
      <w:r>
        <w:rPr>
          <w:noProof/>
          <w:lang w:eastAsia="en-NZ"/>
        </w:rPr>
        <mc:AlternateContent>
          <mc:Choice Requires="wps">
            <w:drawing>
              <wp:anchor distT="0" distB="0" distL="114300" distR="114300" simplePos="0" relativeHeight="25166336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D9B3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9" w:name="background"/>
      <w:bookmarkEnd w:id="9"/>
      <w:r w:rsidRPr="0009434B">
        <w:rPr>
          <w:color w:val="1F497D" w:themeColor="text2"/>
          <w:sz w:val="28"/>
          <w:szCs w:val="28"/>
        </w:rPr>
        <w:t>Background</w:t>
      </w:r>
    </w:p>
    <w:p w14:paraId="1B896695" w14:textId="77777777" w:rsidR="00FF0973" w:rsidRDefault="00FF0973" w:rsidP="009E2F63">
      <w:pPr>
        <w:spacing w:before="120" w:after="0"/>
        <w:contextualSpacing/>
        <w:rPr>
          <w:szCs w:val="24"/>
        </w:rPr>
      </w:pPr>
    </w:p>
    <w:p w14:paraId="59FF8A33" w14:textId="010A6AFD" w:rsidR="003F41CA" w:rsidRDefault="003F41CA" w:rsidP="003F41CA">
      <w:pPr>
        <w:rPr>
          <w:szCs w:val="24"/>
        </w:rPr>
      </w:pPr>
      <w:r>
        <w:rPr>
          <w:szCs w:val="24"/>
        </w:rPr>
        <w:t>Strong</w:t>
      </w:r>
      <w:r w:rsidRPr="001D6931">
        <w:rPr>
          <w:szCs w:val="24"/>
        </w:rPr>
        <w:t xml:space="preserve"> El Niño conditions</w:t>
      </w:r>
      <w:r w:rsidR="00410968">
        <w:rPr>
          <w:szCs w:val="24"/>
        </w:rPr>
        <w:t xml:space="preserve"> continued to dominate the t</w:t>
      </w:r>
      <w:r>
        <w:rPr>
          <w:szCs w:val="24"/>
        </w:rPr>
        <w:t>ropical Pacific during December 2015.</w:t>
      </w:r>
      <w:r w:rsidRPr="001D6931">
        <w:rPr>
          <w:szCs w:val="24"/>
        </w:rPr>
        <w:t xml:space="preserve"> </w:t>
      </w:r>
      <w:r>
        <w:rPr>
          <w:szCs w:val="24"/>
        </w:rPr>
        <w:t>The latest monthly s</w:t>
      </w:r>
      <w:r w:rsidR="00D720FF">
        <w:rPr>
          <w:szCs w:val="24"/>
        </w:rPr>
        <w:t>ea surface temperature</w:t>
      </w:r>
      <w:r w:rsidRPr="001D6931">
        <w:rPr>
          <w:szCs w:val="24"/>
        </w:rPr>
        <w:t xml:space="preserve"> anomalies in the central and eastern Pacific </w:t>
      </w:r>
      <w:r>
        <w:rPr>
          <w:szCs w:val="24"/>
        </w:rPr>
        <w:t>have weakened slightly</w:t>
      </w:r>
      <w:r w:rsidR="00945F11">
        <w:rPr>
          <w:szCs w:val="24"/>
        </w:rPr>
        <w:t>,</w:t>
      </w:r>
      <w:r>
        <w:rPr>
          <w:szCs w:val="24"/>
        </w:rPr>
        <w:t xml:space="preserve"> but still exceed </w:t>
      </w:r>
      <w:r w:rsidRPr="001D6931">
        <w:rPr>
          <w:szCs w:val="24"/>
        </w:rPr>
        <w:t>+2</w:t>
      </w:r>
      <w:r w:rsidRPr="001D6931">
        <w:rPr>
          <w:szCs w:val="24"/>
          <w:vertAlign w:val="superscript"/>
        </w:rPr>
        <w:t>o</w:t>
      </w:r>
      <w:r w:rsidRPr="001D6931">
        <w:rPr>
          <w:szCs w:val="24"/>
        </w:rPr>
        <w:t>C</w:t>
      </w:r>
      <w:r>
        <w:rPr>
          <w:szCs w:val="24"/>
        </w:rPr>
        <w:t>. The s</w:t>
      </w:r>
      <w:r w:rsidRPr="001D6931">
        <w:rPr>
          <w:szCs w:val="24"/>
        </w:rPr>
        <w:t>ub</w:t>
      </w:r>
      <w:r>
        <w:rPr>
          <w:szCs w:val="24"/>
        </w:rPr>
        <w:t>-surface ocean temperature anomalies in the eastern Pacific have decreased significantly over the last month (December 2015)</w:t>
      </w:r>
      <w:r w:rsidRPr="001D6931">
        <w:rPr>
          <w:szCs w:val="24"/>
        </w:rPr>
        <w:t xml:space="preserve"> </w:t>
      </w:r>
      <w:r>
        <w:rPr>
          <w:szCs w:val="24"/>
        </w:rPr>
        <w:t xml:space="preserve">and </w:t>
      </w:r>
      <w:r w:rsidR="00003FD1">
        <w:rPr>
          <w:szCs w:val="24"/>
        </w:rPr>
        <w:t xml:space="preserve">now </w:t>
      </w:r>
      <w:r>
        <w:rPr>
          <w:szCs w:val="24"/>
        </w:rPr>
        <w:t>reach about +4</w:t>
      </w:r>
      <w:r w:rsidRPr="001D6931">
        <w:rPr>
          <w:szCs w:val="24"/>
          <w:vertAlign w:val="superscript"/>
        </w:rPr>
        <w:t>o</w:t>
      </w:r>
      <w:r w:rsidRPr="001D6931">
        <w:rPr>
          <w:szCs w:val="24"/>
        </w:rPr>
        <w:t xml:space="preserve">C at </w:t>
      </w:r>
      <w:r>
        <w:rPr>
          <w:szCs w:val="24"/>
        </w:rPr>
        <w:t>75-</w:t>
      </w:r>
      <w:r w:rsidRPr="001D6931">
        <w:rPr>
          <w:szCs w:val="24"/>
        </w:rPr>
        <w:t xml:space="preserve">100m depth </w:t>
      </w:r>
      <w:r>
        <w:rPr>
          <w:szCs w:val="24"/>
        </w:rPr>
        <w:t>near 12</w:t>
      </w:r>
      <w:r w:rsidRPr="001D6931">
        <w:rPr>
          <w:szCs w:val="24"/>
        </w:rPr>
        <w:t>0</w:t>
      </w:r>
      <w:r w:rsidRPr="001D6931">
        <w:rPr>
          <w:szCs w:val="24"/>
          <w:vertAlign w:val="superscript"/>
        </w:rPr>
        <w:t>o</w:t>
      </w:r>
      <w:r w:rsidRPr="001D6931">
        <w:rPr>
          <w:szCs w:val="24"/>
        </w:rPr>
        <w:t>W</w:t>
      </w:r>
      <w:r>
        <w:rPr>
          <w:szCs w:val="24"/>
        </w:rPr>
        <w:t xml:space="preserve"> (compared to peak values of about 7</w:t>
      </w:r>
      <w:r w:rsidRPr="005342A0">
        <w:rPr>
          <w:szCs w:val="24"/>
          <w:vertAlign w:val="superscript"/>
        </w:rPr>
        <w:t>o</w:t>
      </w:r>
      <w:r>
        <w:rPr>
          <w:szCs w:val="24"/>
        </w:rPr>
        <w:t>C earlier last month)</w:t>
      </w:r>
      <w:r w:rsidRPr="001D6931">
        <w:rPr>
          <w:szCs w:val="24"/>
        </w:rPr>
        <w:t xml:space="preserve">. </w:t>
      </w:r>
      <w:r>
        <w:rPr>
          <w:szCs w:val="24"/>
        </w:rPr>
        <w:t xml:space="preserve">The </w:t>
      </w:r>
      <w:r w:rsidR="00001EEA">
        <w:rPr>
          <w:szCs w:val="24"/>
        </w:rPr>
        <w:t>Southern Oscillation Index (SOI)</w:t>
      </w:r>
      <w:r>
        <w:rPr>
          <w:szCs w:val="24"/>
        </w:rPr>
        <w:t xml:space="preserve"> is weakly negative at</w:t>
      </w:r>
      <w:r w:rsidR="00D720FF">
        <w:rPr>
          <w:szCs w:val="24"/>
        </w:rPr>
        <w:t xml:space="preserve"> -0.6 for the month of December;</w:t>
      </w:r>
      <w:r>
        <w:rPr>
          <w:szCs w:val="24"/>
        </w:rPr>
        <w:t xml:space="preserve"> however</w:t>
      </w:r>
      <w:r w:rsidR="00D720FF">
        <w:rPr>
          <w:szCs w:val="24"/>
        </w:rPr>
        <w:t>,</w:t>
      </w:r>
      <w:r>
        <w:rPr>
          <w:szCs w:val="24"/>
        </w:rPr>
        <w:t xml:space="preserve"> strong</w:t>
      </w:r>
      <w:r w:rsidRPr="001D6931">
        <w:rPr>
          <w:szCs w:val="24"/>
        </w:rPr>
        <w:t xml:space="preserve"> westerly wind anomalies (weaker easterly trade-winds) </w:t>
      </w:r>
      <w:r>
        <w:rPr>
          <w:szCs w:val="24"/>
        </w:rPr>
        <w:t>continue to affect the western and central Pacific</w:t>
      </w:r>
      <w:r w:rsidRPr="001D6931">
        <w:rPr>
          <w:szCs w:val="24"/>
        </w:rPr>
        <w:t xml:space="preserve">. </w:t>
      </w:r>
      <w:r>
        <w:rPr>
          <w:szCs w:val="24"/>
        </w:rPr>
        <w:t xml:space="preserve">Convective activity and rainfall also </w:t>
      </w:r>
      <w:r w:rsidR="00D86DED">
        <w:rPr>
          <w:szCs w:val="24"/>
        </w:rPr>
        <w:t>remain</w:t>
      </w:r>
      <w:r>
        <w:rPr>
          <w:szCs w:val="24"/>
        </w:rPr>
        <w:t xml:space="preserve"> higher than normal in the central and eastern Pacific</w:t>
      </w:r>
      <w:r w:rsidRPr="001D6931">
        <w:rPr>
          <w:szCs w:val="24"/>
        </w:rPr>
        <w:t xml:space="preserve">, while </w:t>
      </w:r>
      <w:r>
        <w:rPr>
          <w:szCs w:val="24"/>
        </w:rPr>
        <w:t xml:space="preserve">parts of the Maritime Continent </w:t>
      </w:r>
      <w:r w:rsidR="0061420A">
        <w:rPr>
          <w:szCs w:val="24"/>
        </w:rPr>
        <w:t>continue to experience</w:t>
      </w:r>
      <w:r>
        <w:rPr>
          <w:szCs w:val="24"/>
        </w:rPr>
        <w:t xml:space="preserve"> drier than normal conditions</w:t>
      </w:r>
      <w:r w:rsidRPr="001D6931">
        <w:rPr>
          <w:szCs w:val="24"/>
        </w:rPr>
        <w:t xml:space="preserve">. </w:t>
      </w:r>
    </w:p>
    <w:p w14:paraId="3B2A3D05" w14:textId="53814F35" w:rsidR="00DD5ED1" w:rsidRDefault="00F8257A" w:rsidP="003F41CA">
      <w:pPr>
        <w:rPr>
          <w:szCs w:val="24"/>
        </w:rPr>
      </w:pPr>
      <w:r>
        <w:rPr>
          <w:szCs w:val="24"/>
        </w:rPr>
        <w:t>International</w:t>
      </w:r>
      <w:r w:rsidR="003F41CA" w:rsidRPr="001D6931">
        <w:rPr>
          <w:szCs w:val="24"/>
        </w:rPr>
        <w:t xml:space="preserve"> guidance indicates that El Niño </w:t>
      </w:r>
      <w:r w:rsidR="003F41CA">
        <w:rPr>
          <w:szCs w:val="24"/>
        </w:rPr>
        <w:t>conditions will continue</w:t>
      </w:r>
      <w:r w:rsidR="003F41CA" w:rsidRPr="001D6931">
        <w:rPr>
          <w:szCs w:val="24"/>
        </w:rPr>
        <w:t xml:space="preserve"> (100% probability) over the next three months</w:t>
      </w:r>
      <w:r w:rsidR="003F41CA">
        <w:rPr>
          <w:szCs w:val="24"/>
        </w:rPr>
        <w:t xml:space="preserve"> (January – March 2016) and will rapidly decay </w:t>
      </w:r>
      <w:r w:rsidR="006E3D0B">
        <w:rPr>
          <w:szCs w:val="24"/>
        </w:rPr>
        <w:t>thereafter</w:t>
      </w:r>
      <w:r w:rsidR="003F41CA">
        <w:rPr>
          <w:szCs w:val="24"/>
        </w:rPr>
        <w:t>, with a return to normal conditions or a transition to La Niña conditions by July – September 2016</w:t>
      </w:r>
      <w:r w:rsidR="003F41CA" w:rsidRPr="001D6931">
        <w:rPr>
          <w:szCs w:val="24"/>
        </w:rPr>
        <w:t xml:space="preserve">. </w:t>
      </w:r>
    </w:p>
    <w:p w14:paraId="55B91406" w14:textId="2FEF86F0" w:rsidR="003F41CA" w:rsidRPr="00AC07ED" w:rsidRDefault="00DD5ED1" w:rsidP="00AC07ED">
      <w:pPr>
        <w:rPr>
          <w:color w:val="FF0000"/>
          <w:szCs w:val="24"/>
        </w:rPr>
      </w:pPr>
      <w:r>
        <w:rPr>
          <w:szCs w:val="24"/>
        </w:rPr>
        <w:t>While s</w:t>
      </w:r>
      <w:r w:rsidR="003F41CA">
        <w:rPr>
          <w:szCs w:val="24"/>
        </w:rPr>
        <w:t xml:space="preserve">everal ENSO indicators showed a weakening in the last two weeks, raising the possibility that El Niño could have reached its peak at the end of 2015, </w:t>
      </w:r>
      <w:r w:rsidR="003E5CF4">
        <w:rPr>
          <w:szCs w:val="24"/>
        </w:rPr>
        <w:t xml:space="preserve">it is important to note that </w:t>
      </w:r>
      <w:r w:rsidR="003F41CA">
        <w:rPr>
          <w:szCs w:val="24"/>
        </w:rPr>
        <w:t xml:space="preserve">the current event is expected to remain in the strong category </w:t>
      </w:r>
      <w:r w:rsidR="006A210A">
        <w:rPr>
          <w:szCs w:val="24"/>
        </w:rPr>
        <w:t>over</w:t>
      </w:r>
      <w:r w:rsidR="003F41CA">
        <w:rPr>
          <w:szCs w:val="24"/>
        </w:rPr>
        <w:t xml:space="preserve"> the next three months</w:t>
      </w:r>
      <w:r w:rsidR="00F00170">
        <w:rPr>
          <w:szCs w:val="24"/>
        </w:rPr>
        <w:t>. Moreover,</w:t>
      </w:r>
      <w:r w:rsidR="003F41CA">
        <w:rPr>
          <w:szCs w:val="24"/>
        </w:rPr>
        <w:t xml:space="preserve"> the impacts of El Niño on New Zealand’s climate </w:t>
      </w:r>
      <w:r w:rsidR="00CF5CC7">
        <w:rPr>
          <w:szCs w:val="24"/>
        </w:rPr>
        <w:t>will likely</w:t>
      </w:r>
      <w:r w:rsidR="003F41CA">
        <w:rPr>
          <w:szCs w:val="24"/>
        </w:rPr>
        <w:t xml:space="preserve"> persist into autumn.  </w:t>
      </w:r>
    </w:p>
    <w:p w14:paraId="11F4898E" w14:textId="5A9F717C" w:rsidR="00F82709" w:rsidRDefault="009E2F63" w:rsidP="0091729F">
      <w:pPr>
        <w:spacing w:before="120" w:after="0"/>
        <w:contextualSpacing/>
        <w:rPr>
          <w:szCs w:val="24"/>
        </w:rPr>
      </w:pPr>
      <w:r w:rsidRPr="00FD6AA6">
        <w:rPr>
          <w:szCs w:val="24"/>
        </w:rPr>
        <w:t xml:space="preserve">El Niño events are typically (but not always) associated with stronger and/or more frequent </w:t>
      </w:r>
      <w:r w:rsidR="00666F9D">
        <w:rPr>
          <w:szCs w:val="24"/>
        </w:rPr>
        <w:t>westerly winds over summer in New Zealand, following more southwesterlies in spring.</w:t>
      </w:r>
      <w:r w:rsidRPr="00FD6AA6">
        <w:rPr>
          <w:szCs w:val="24"/>
        </w:rPr>
        <w:t xml:space="preserve"> Such a circulation pattern</w:t>
      </w:r>
      <w:r w:rsidR="00FF0973">
        <w:rPr>
          <w:szCs w:val="24"/>
        </w:rPr>
        <w:t xml:space="preserve"> can lead to</w:t>
      </w:r>
      <w:r w:rsidRPr="00FD6AA6">
        <w:rPr>
          <w:szCs w:val="24"/>
        </w:rPr>
        <w:t xml:space="preserve"> wetter than normal conditions to the west of the Southern Alps</w:t>
      </w:r>
      <w:r w:rsidR="003E3714">
        <w:rPr>
          <w:szCs w:val="24"/>
        </w:rPr>
        <w:t xml:space="preserve"> and drier conditions in northern and eastern regions of both Islands</w:t>
      </w:r>
      <w:r w:rsidRPr="00FD6AA6">
        <w:rPr>
          <w:szCs w:val="24"/>
        </w:rPr>
        <w:t xml:space="preserve">. The next three months </w:t>
      </w:r>
      <w:r w:rsidR="00666F9D">
        <w:rPr>
          <w:szCs w:val="24"/>
        </w:rPr>
        <w:t>(</w:t>
      </w:r>
      <w:r w:rsidR="00614A87">
        <w:rPr>
          <w:szCs w:val="24"/>
        </w:rPr>
        <w:t>January</w:t>
      </w:r>
      <w:r w:rsidR="00526852">
        <w:rPr>
          <w:szCs w:val="24"/>
        </w:rPr>
        <w:t xml:space="preserve"> </w:t>
      </w:r>
      <w:r w:rsidR="00666F9D">
        <w:rPr>
          <w:szCs w:val="24"/>
        </w:rPr>
        <w:t xml:space="preserve">– </w:t>
      </w:r>
      <w:r w:rsidR="00526852">
        <w:rPr>
          <w:szCs w:val="24"/>
        </w:rPr>
        <w:t>March</w:t>
      </w:r>
      <w:r w:rsidR="00FF0973">
        <w:rPr>
          <w:szCs w:val="24"/>
        </w:rPr>
        <w:t xml:space="preserve"> </w:t>
      </w:r>
      <w:r w:rsidR="00666F9D">
        <w:rPr>
          <w:szCs w:val="24"/>
        </w:rPr>
        <w:t>2016</w:t>
      </w:r>
      <w:r w:rsidR="00666F9D" w:rsidRPr="00FD6AA6">
        <w:rPr>
          <w:szCs w:val="24"/>
        </w:rPr>
        <w:t xml:space="preserve">) </w:t>
      </w:r>
      <w:r w:rsidR="0029309D">
        <w:rPr>
          <w:szCs w:val="24"/>
        </w:rPr>
        <w:t xml:space="preserve">rainfall </w:t>
      </w:r>
      <w:r w:rsidR="00666F9D">
        <w:rPr>
          <w:szCs w:val="24"/>
        </w:rPr>
        <w:t xml:space="preserve">forecasts </w:t>
      </w:r>
      <w:r w:rsidRPr="00FD6AA6">
        <w:rPr>
          <w:szCs w:val="24"/>
        </w:rPr>
        <w:t>broadly reflect these typical impacts</w:t>
      </w:r>
      <w:r w:rsidR="00B35626">
        <w:rPr>
          <w:szCs w:val="24"/>
        </w:rPr>
        <w:t>.</w:t>
      </w:r>
      <w:r w:rsidR="006549FC">
        <w:rPr>
          <w:szCs w:val="24"/>
        </w:rPr>
        <w:t xml:space="preserve"> </w:t>
      </w:r>
      <w:r w:rsidR="00F3535E">
        <w:rPr>
          <w:szCs w:val="24"/>
        </w:rPr>
        <w:t xml:space="preserve">Note that </w:t>
      </w:r>
      <w:r w:rsidR="00666F9D">
        <w:rPr>
          <w:szCs w:val="24"/>
        </w:rPr>
        <w:t>the three previous strongest El Niño events since 1950 (1972</w:t>
      </w:r>
      <w:r w:rsidR="00FF0973">
        <w:rPr>
          <w:szCs w:val="24"/>
        </w:rPr>
        <w:t>/</w:t>
      </w:r>
      <w:r w:rsidR="00666F9D">
        <w:rPr>
          <w:szCs w:val="24"/>
        </w:rPr>
        <w:t xml:space="preserve">73, 1982/83 and 1997/98) </w:t>
      </w:r>
      <w:r w:rsidR="003A0BB5">
        <w:rPr>
          <w:szCs w:val="24"/>
        </w:rPr>
        <w:t>were all associated with</w:t>
      </w:r>
      <w:r w:rsidR="00666F9D">
        <w:rPr>
          <w:szCs w:val="24"/>
        </w:rPr>
        <w:t xml:space="preserve"> very dry conditions (below 50% of the normal rainfall over summer) in</w:t>
      </w:r>
      <w:r w:rsidR="002C23DB">
        <w:rPr>
          <w:szCs w:val="24"/>
        </w:rPr>
        <w:t xml:space="preserve"> northeast parts of the country: eastern Northland, Coromandel, coastal Bay of Plenty, southern Hawke’s Bay and coastal Wairarapa, and Marlborough.</w:t>
      </w:r>
      <w:r w:rsidR="007326BA">
        <w:rPr>
          <w:szCs w:val="24"/>
        </w:rPr>
        <w:t xml:space="preserve"> </w:t>
      </w:r>
    </w:p>
    <w:p w14:paraId="6DFAB6A5" w14:textId="77777777" w:rsidR="0091729F" w:rsidRPr="0091729F" w:rsidRDefault="0091729F" w:rsidP="0091729F">
      <w:pPr>
        <w:spacing w:before="120" w:after="0"/>
        <w:contextualSpacing/>
        <w:rPr>
          <w:szCs w:val="24"/>
        </w:rPr>
      </w:pPr>
    </w:p>
    <w:p w14:paraId="2B26B781" w14:textId="34C10890" w:rsidR="00536A05" w:rsidRPr="00536A05" w:rsidRDefault="00536A05" w:rsidP="00F82709">
      <w:pPr>
        <w:rPr>
          <w:b/>
        </w:rPr>
      </w:pPr>
      <w:r w:rsidRPr="00536A05">
        <w:t xml:space="preserve">On average, New Zealand experiences at least one ex-tropical cyclone passing within 550km of the country every year. </w:t>
      </w:r>
      <w:r w:rsidR="007326BA">
        <w:t>For t</w:t>
      </w:r>
      <w:r w:rsidR="00E53C7B">
        <w:t xml:space="preserve">his tropical cyclone </w:t>
      </w:r>
      <w:r w:rsidRPr="00536A05">
        <w:t>season</w:t>
      </w:r>
      <w:r w:rsidR="005F7BCA">
        <w:t xml:space="preserve"> (through to</w:t>
      </w:r>
      <w:r w:rsidR="007326BA">
        <w:t xml:space="preserve"> April 2016)</w:t>
      </w:r>
      <w:r w:rsidRPr="00536A05">
        <w:t xml:space="preserve">, the risk for New Zealand is slightly higher than normal. If an ex-tropical cyclone comes close to the country, the current background climate conditions suggest it has an equal probability of passing east or west of Auckland city. </w:t>
      </w:r>
      <w:r w:rsidR="001C43EF" w:rsidRPr="00B17ABD">
        <w:t>Typical impacts from such systems include heavy rain and strong winds</w:t>
      </w:r>
      <w:r w:rsidR="001C43EF">
        <w:t>,</w:t>
      </w:r>
      <w:r w:rsidR="001C43EF" w:rsidRPr="00B17ABD">
        <w:t xml:space="preserve"> </w:t>
      </w:r>
      <w:r w:rsidR="001C43EF">
        <w:t>particularly</w:t>
      </w:r>
      <w:r w:rsidR="001C43EF" w:rsidRPr="00B17ABD">
        <w:t xml:space="preserve"> for the northeast of the country.</w:t>
      </w:r>
      <w:r w:rsidR="00D720FF">
        <w:t xml:space="preserve"> </w:t>
      </w:r>
      <w:r w:rsidR="00F65FCA">
        <w:t>For example, e</w:t>
      </w:r>
      <w:r w:rsidR="001C43EF">
        <w:t xml:space="preserve">arlier this month a low of tropical origin </w:t>
      </w:r>
      <w:r w:rsidR="00F65FCA">
        <w:t xml:space="preserve">provided many locations on the east and north of the North Island with 50-100% of the total </w:t>
      </w:r>
      <w:r w:rsidR="00F65FCA" w:rsidRPr="00D720FF">
        <w:rPr>
          <w:i/>
        </w:rPr>
        <w:t>normal</w:t>
      </w:r>
      <w:r w:rsidR="00F65FCA">
        <w:t xml:space="preserve"> January</w:t>
      </w:r>
      <w:r w:rsidR="005F7BCA">
        <w:t xml:space="preserve"> rainfall</w:t>
      </w:r>
      <w:r w:rsidR="00F65FCA">
        <w:t>.</w:t>
      </w:r>
    </w:p>
    <w:p w14:paraId="71862ADA" w14:textId="729858D9" w:rsidR="00CB2A47" w:rsidRPr="007A5CC1" w:rsidRDefault="00011E3F" w:rsidP="00CB2A47">
      <w:pPr>
        <w:rPr>
          <w:lang w:val="en"/>
        </w:rPr>
      </w:pPr>
      <w:r>
        <w:rPr>
          <w:lang w:val="en"/>
        </w:rPr>
        <w:t>Water temperatures</w:t>
      </w:r>
      <w:r w:rsidR="00CB2A47" w:rsidRPr="007A5CC1">
        <w:rPr>
          <w:lang w:val="en"/>
        </w:rPr>
        <w:t xml:space="preserve"> surrounding New Zealand are currently </w:t>
      </w:r>
      <w:r w:rsidR="00CD2EDA">
        <w:rPr>
          <w:lang w:val="en"/>
        </w:rPr>
        <w:t xml:space="preserve">slightly </w:t>
      </w:r>
      <w:r w:rsidR="00CB2A47" w:rsidRPr="007A5CC1">
        <w:rPr>
          <w:lang w:val="en"/>
        </w:rPr>
        <w:t xml:space="preserve">below normal, Ocean models suggest that waters will </w:t>
      </w:r>
      <w:r w:rsidR="00CB2A47">
        <w:rPr>
          <w:lang w:val="en"/>
        </w:rPr>
        <w:t xml:space="preserve">remain cooler than normal </w:t>
      </w:r>
      <w:r w:rsidR="005A5790">
        <w:rPr>
          <w:lang w:val="en"/>
        </w:rPr>
        <w:t>especially to the east of the country</w:t>
      </w:r>
      <w:r w:rsidR="00CB2A47" w:rsidRPr="007A5CC1">
        <w:rPr>
          <w:lang w:val="en"/>
        </w:rPr>
        <w:t>.</w:t>
      </w:r>
    </w:p>
    <w:p w14:paraId="73696616" w14:textId="6118BD52" w:rsidR="00F82709" w:rsidRDefault="00905CB2" w:rsidP="00DD064E">
      <w:pPr>
        <w:spacing w:before="120" w:after="0" w:line="30" w:lineRule="atLeast"/>
        <w:contextualSpacing/>
      </w:pPr>
      <w:r w:rsidRPr="00DD064E">
        <w:lastRenderedPageBreak/>
        <w:t xml:space="preserve">To </w:t>
      </w:r>
      <w:r w:rsidR="00086350" w:rsidRPr="00DD064E">
        <w:t xml:space="preserve">find out more about normal conditions for this outlook period, refer </w:t>
      </w:r>
      <w:r w:rsidR="00DD064E">
        <w:t xml:space="preserve">to </w:t>
      </w:r>
      <w:hyperlink r:id="rId11" w:history="1">
        <w:r w:rsidR="00DD064E" w:rsidRPr="00DD064E">
          <w:rPr>
            <w:rStyle w:val="Hyperlink"/>
          </w:rPr>
          <w:t>NIWA’s website</w:t>
        </w:r>
      </w:hyperlink>
      <w:r w:rsidR="00DD064E">
        <w:t>, w</w:t>
      </w:r>
      <w:r w:rsidR="00086350" w:rsidRPr="00DD064E">
        <w:t>here daily updates on climate maps are available.</w:t>
      </w:r>
    </w:p>
    <w:p w14:paraId="2D7E4225" w14:textId="77777777" w:rsidR="00F82709" w:rsidRDefault="00F82709" w:rsidP="00DD064E">
      <w:pPr>
        <w:spacing w:before="120" w:after="0" w:line="30" w:lineRule="atLeast"/>
        <w:contextualSpacing/>
      </w:pPr>
    </w:p>
    <w:p w14:paraId="4671CCE2" w14:textId="77777777" w:rsidR="00086350" w:rsidRPr="00920016" w:rsidRDefault="00086350" w:rsidP="00C943FD">
      <w:pPr>
        <w:spacing w:before="120" w:after="0"/>
      </w:pPr>
    </w:p>
    <w:p w14:paraId="0BADA16A" w14:textId="2F963906" w:rsidR="00BB5210" w:rsidRDefault="00BB5210" w:rsidP="00BB5210">
      <w:r>
        <w:rPr>
          <w:noProof/>
          <w:lang w:eastAsia="en-NZ"/>
        </w:rPr>
        <mc:AlternateContent>
          <mc:Choice Requires="wps">
            <w:drawing>
              <wp:anchor distT="0" distB="0" distL="114300" distR="114300" simplePos="0" relativeHeight="251671552" behindDoc="0" locked="0" layoutInCell="1" allowOverlap="1" wp14:anchorId="791BB1AE" wp14:editId="136BE75D">
                <wp:simplePos x="0" y="0"/>
                <wp:positionH relativeFrom="column">
                  <wp:posOffset>-67310</wp:posOffset>
                </wp:positionH>
                <wp:positionV relativeFrom="paragraph">
                  <wp:posOffset>63500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DCF4FA0"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5pt" to="4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" strokecolor="#4a7ebb"/>
            </w:pict>
          </mc:Fallback>
        </mc:AlternateContent>
      </w:r>
    </w:p>
    <w:p w14:paraId="700E4184" w14:textId="6DF457AA" w:rsidR="00172D70" w:rsidRPr="00C76270" w:rsidRDefault="00824BDC">
      <w:pPr>
        <w:rPr>
          <w:color w:val="1F497D" w:themeColor="text2"/>
          <w:sz w:val="28"/>
          <w:szCs w:val="28"/>
        </w:rPr>
      </w:pPr>
      <w:bookmarkStart w:id="10" w:name="contacts"/>
      <w:bookmarkEnd w:id="10"/>
      <w:r w:rsidRPr="00C76270">
        <w:rPr>
          <w:color w:val="1F497D" w:themeColor="text2"/>
          <w:sz w:val="28"/>
          <w:szCs w:val="28"/>
        </w:rPr>
        <w:t>For comment, please contact</w:t>
      </w:r>
    </w:p>
    <w:p w14:paraId="51D7AD71" w14:textId="3B4F03D6" w:rsidR="00172D70" w:rsidRPr="009B3753" w:rsidRDefault="001354DC" w:rsidP="002C23DB">
      <w:pPr>
        <w:spacing w:after="0"/>
        <w:ind w:left="1276"/>
      </w:pPr>
      <w:r>
        <w:t xml:space="preserve">Chris Brandolino, </w:t>
      </w:r>
      <w:r w:rsidR="00E679BC">
        <w:t xml:space="preserve">Principal Scientist </w:t>
      </w:r>
      <w:r w:rsidR="00E679BC" w:rsidRPr="00E679BC">
        <w:t>–</w:t>
      </w:r>
      <w:r w:rsidR="00E679BC">
        <w:rPr>
          <w:b/>
        </w:rPr>
        <w:t xml:space="preserve"> </w:t>
      </w:r>
      <w:r w:rsidR="00E679BC">
        <w:t>Forecasting</w:t>
      </w:r>
      <w:r w:rsidR="00172D70" w:rsidRPr="009B3753">
        <w:t xml:space="preserve">, </w:t>
      </w:r>
      <w:r w:rsidR="00172D70" w:rsidRPr="0012299F">
        <w:rPr>
          <w:rFonts w:cstheme="minorHAnsi"/>
          <w:bCs/>
        </w:rPr>
        <w:t>NIWA Na</w:t>
      </w:r>
      <w:r w:rsidR="00172D70">
        <w:rPr>
          <w:rFonts w:cstheme="minorHAnsi"/>
          <w:bCs/>
        </w:rPr>
        <w:t>tional Climate Centre</w:t>
      </w:r>
      <w:r w:rsidR="00172D70" w:rsidRPr="009B3753">
        <w:t xml:space="preserve"> </w:t>
      </w:r>
    </w:p>
    <w:p w14:paraId="53C96EBB" w14:textId="495F08D4" w:rsidR="002C23DB" w:rsidRDefault="00172D70" w:rsidP="002C23DB">
      <w:pPr>
        <w:spacing w:after="0"/>
        <w:ind w:firstLine="1276"/>
      </w:pPr>
      <w:r w:rsidRPr="009B3753">
        <w:t>Tel (0</w:t>
      </w:r>
      <w:r w:rsidR="00D30D73">
        <w:t>9</w:t>
      </w:r>
      <w:r w:rsidRPr="009B3753">
        <w:t xml:space="preserve">) </w:t>
      </w:r>
      <w:r w:rsidR="00E229B2">
        <w:t>375 6335</w:t>
      </w:r>
      <w:r>
        <w:t>,</w:t>
      </w:r>
      <w:r w:rsidRPr="00F36726">
        <w:rPr>
          <w:bCs/>
        </w:rPr>
        <w:t xml:space="preserve"> </w:t>
      </w:r>
      <w:r w:rsidRPr="009B3753">
        <w:t>M</w:t>
      </w:r>
      <w:r w:rsidRPr="009B3753">
        <w:rPr>
          <w:bCs/>
        </w:rPr>
        <w:t>obile (0</w:t>
      </w:r>
      <w:r>
        <w:rPr>
          <w:bCs/>
        </w:rPr>
        <w:t>27</w:t>
      </w:r>
      <w:r w:rsidRPr="009B3753">
        <w:rPr>
          <w:bCs/>
        </w:rPr>
        <w:t xml:space="preserve">) </w:t>
      </w:r>
      <w:r w:rsidR="00E229B2">
        <w:rPr>
          <w:bCs/>
        </w:rPr>
        <w:t>886</w:t>
      </w:r>
      <w:r w:rsidRPr="009B3753">
        <w:rPr>
          <w:bCs/>
        </w:rPr>
        <w:t xml:space="preserve"> </w:t>
      </w:r>
      <w:r w:rsidR="00E229B2">
        <w:rPr>
          <w:bCs/>
        </w:rPr>
        <w:t>0014</w:t>
      </w:r>
      <w:r w:rsidRPr="009B3753">
        <w:t xml:space="preserve"> </w:t>
      </w:r>
    </w:p>
    <w:p w14:paraId="0D23EDC0" w14:textId="77777777" w:rsidR="00F82709" w:rsidRDefault="00F82709" w:rsidP="002C23DB">
      <w:pPr>
        <w:spacing w:after="0"/>
        <w:ind w:firstLine="1276"/>
      </w:pPr>
    </w:p>
    <w:p w14:paraId="295685F8" w14:textId="40256B77" w:rsidR="00D56098" w:rsidRDefault="007B6023" w:rsidP="002C23DB">
      <w:pPr>
        <w:spacing w:after="0"/>
        <w:ind w:firstLine="1276"/>
      </w:pPr>
      <w:r>
        <w:t>Dr Brett Mullan</w:t>
      </w:r>
      <w:r w:rsidR="00D56098">
        <w:t xml:space="preserve">, </w:t>
      </w:r>
      <w:r>
        <w:t>Principal</w:t>
      </w:r>
      <w:r w:rsidR="00C224D2">
        <w:t xml:space="preserve"> Scie</w:t>
      </w:r>
      <w:r w:rsidR="00D56098">
        <w:t xml:space="preserve">ntist, </w:t>
      </w:r>
      <w:r w:rsidR="00D56098" w:rsidRPr="0012299F">
        <w:rPr>
          <w:rFonts w:cstheme="minorHAnsi"/>
          <w:bCs/>
        </w:rPr>
        <w:t>NIWA Na</w:t>
      </w:r>
      <w:r w:rsidR="00D56098">
        <w:rPr>
          <w:rFonts w:cstheme="minorHAnsi"/>
          <w:bCs/>
        </w:rPr>
        <w:t>tional Climate Centre</w:t>
      </w:r>
    </w:p>
    <w:p w14:paraId="481C1835" w14:textId="453CA63C" w:rsidR="00B47A4A" w:rsidRDefault="007B6023" w:rsidP="002C23DB">
      <w:pPr>
        <w:spacing w:after="0"/>
        <w:ind w:left="556" w:firstLine="720"/>
      </w:pPr>
      <w:r>
        <w:t>Tel (04) 386</w:t>
      </w:r>
      <w:r w:rsidR="00D56098" w:rsidRPr="00735FE0">
        <w:t xml:space="preserve"> </w:t>
      </w:r>
      <w:r>
        <w:t>0508, Mobile (027) 294 1169</w:t>
      </w:r>
      <w:r w:rsidR="003204C7">
        <w:t>.</w:t>
      </w:r>
    </w:p>
    <w:p w14:paraId="1374025D" w14:textId="47073D36" w:rsidR="00E72C2A" w:rsidRDefault="004D3650">
      <w:r>
        <w:br w:type="page"/>
      </w:r>
      <w:bookmarkStart w:id="11" w:name="notes"/>
      <w:r w:rsidR="00E72C2A" w:rsidRPr="00E72C2A">
        <w:rPr>
          <w:color w:val="1F497D" w:themeColor="text2"/>
          <w:sz w:val="28"/>
          <w:szCs w:val="28"/>
        </w:rPr>
        <w:lastRenderedPageBreak/>
        <w:t>Notes to reporters and editors</w:t>
      </w:r>
    </w:p>
    <w:bookmarkEnd w:id="11"/>
    <w:p w14:paraId="648B6D68" w14:textId="77777777" w:rsidR="00E72C2A" w:rsidRDefault="00E72C2A" w:rsidP="00E72C2A">
      <w:pPr>
        <w:pStyle w:val="ListParagraph"/>
        <w:numPr>
          <w:ilvl w:val="0"/>
          <w:numId w:val="1"/>
        </w:numPr>
        <w:ind w:left="357" w:hanging="357"/>
      </w:pPr>
      <w: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E72C2A" w:rsidRDefault="00E72C2A" w:rsidP="00E72C2A">
      <w:pPr>
        <w:pStyle w:val="ListParagraph"/>
        <w:numPr>
          <w:ilvl w:val="0"/>
          <w:numId w:val="1"/>
        </w:numPr>
        <w:ind w:left="357" w:hanging="357"/>
      </w:pPr>
      <w:r>
        <w:t>The outlooks are the result of the expert judgment of NIWA’s climate scientists. They take into account observations of atmospheric and ocean conditions and output from global and local climate models. The presence of El Ni</w:t>
      </w:r>
      <w:r>
        <w:rPr>
          <w:rFonts w:cstheme="minorHAnsi"/>
        </w:rPr>
        <w:t>ño or La Niña conditions and the sea surface temperatures around New Zealand can be a useful indicator of likely overall climate conditions for a season.</w:t>
      </w:r>
    </w:p>
    <w:p w14:paraId="635E60E1" w14:textId="77777777" w:rsidR="00811ECD" w:rsidRPr="00811ECD" w:rsidRDefault="00E72C2A" w:rsidP="00E72C2A">
      <w:pPr>
        <w:pStyle w:val="ListParagraph"/>
        <w:numPr>
          <w:ilvl w:val="0"/>
          <w:numId w:val="1"/>
        </w:numPr>
        <w:ind w:left="357" w:hanging="357"/>
      </w:pPr>
      <w:r>
        <w:rPr>
          <w:rFonts w:cstheme="minorHAnsi"/>
        </w:rPr>
        <w:t>The outlooks state the probability for above average conditions, near average conditions, and below average conditions for rainfall, temperature, soil moisture, and river flows. For example, for winter (June</w:t>
      </w:r>
      <w:r w:rsidR="00811ECD">
        <w:rPr>
          <w:rFonts w:cstheme="minorHAnsi"/>
        </w:rPr>
        <w:t>–July–August) 2007, for all the North Island, we assigned the following probabilities for temperature:</w:t>
      </w:r>
      <w:r w:rsidR="00811ECD">
        <w:rPr>
          <w:rFonts w:cstheme="minorHAnsi"/>
        </w:rPr>
        <w:br/>
        <w:t>·  Above average: 60 per cent</w:t>
      </w:r>
      <w:r w:rsidR="00811ECD">
        <w:rPr>
          <w:rFonts w:cstheme="minorHAnsi"/>
        </w:rPr>
        <w:br/>
        <w:t>·  Near average: 30 per cent</w:t>
      </w:r>
      <w:r w:rsidR="00811ECD">
        <w:rPr>
          <w:rFonts w:cstheme="minorHAnsi"/>
        </w:rPr>
        <w:br/>
        <w:t>·  Below average: 10 per cent</w:t>
      </w:r>
      <w:r w:rsidR="00811ECD">
        <w:rPr>
          <w:rFonts w:cstheme="minorHAnsi"/>
        </w:rPr>
        <w:br/>
        <w:t>We therefore concluded that above average temperatures were very likely.</w:t>
      </w:r>
    </w:p>
    <w:p w14:paraId="36B779AC" w14:textId="77777777" w:rsidR="00811ECD" w:rsidRPr="00811ECD" w:rsidRDefault="00811ECD" w:rsidP="00E72C2A">
      <w:pPr>
        <w:pStyle w:val="ListParagraph"/>
        <w:numPr>
          <w:ilvl w:val="0"/>
          <w:numId w:val="1"/>
        </w:numPr>
        <w:ind w:left="357" w:hanging="357"/>
      </w:pPr>
      <w:r>
        <w:rPr>
          <w:rFonts w:cstheme="minorHAnsi"/>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77777777" w:rsidR="00811ECD" w:rsidRPr="00811ECD" w:rsidRDefault="00811ECD" w:rsidP="00E72C2A">
      <w:pPr>
        <w:pStyle w:val="ListParagraph"/>
        <w:numPr>
          <w:ilvl w:val="0"/>
          <w:numId w:val="1"/>
        </w:numPr>
        <w:ind w:left="357" w:hanging="357"/>
      </w:pPr>
      <w:r>
        <w:rPr>
          <w:rFonts w:cstheme="minorHAnsi"/>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811ECD">
        <w:rPr>
          <w:rFonts w:cstheme="minorHAnsi"/>
          <w:i/>
        </w:rPr>
        <w:t xml:space="preserve">Bull. Amer. </w:t>
      </w:r>
      <w:r w:rsidRPr="009E1D59">
        <w:rPr>
          <w:rFonts w:cstheme="minorHAnsi"/>
          <w:i/>
        </w:rPr>
        <w:t>Meteor. Soc</w:t>
      </w:r>
      <w:r w:rsidRPr="009E1D59">
        <w:rPr>
          <w:rFonts w:cstheme="minorHAnsi"/>
        </w:rPr>
        <w:t>., 84, 1761</w:t>
      </w:r>
      <w:r>
        <w:rPr>
          <w:rFonts w:cstheme="minorHAnsi"/>
        </w:rPr>
        <w:t>–1781).</w:t>
      </w:r>
    </w:p>
    <w:p w14:paraId="61D7AA44" w14:textId="77777777" w:rsidR="005E3752" w:rsidRPr="005E3752" w:rsidRDefault="00811ECD" w:rsidP="005E3752">
      <w:pPr>
        <w:pStyle w:val="ListParagraph"/>
        <w:numPr>
          <w:ilvl w:val="0"/>
          <w:numId w:val="1"/>
        </w:numPr>
      </w:pPr>
      <w:r>
        <w:rPr>
          <w:rFonts w:cstheme="minorHAnsi"/>
        </w:rPr>
        <w:t>Each month, NIWA publishes an analysis of how well its outlooks perform. This is available online and is sent to about 3500 recipients of NIWA’s newsletters, including many farmers.</w:t>
      </w:r>
      <w:r w:rsidR="005E3752">
        <w:rPr>
          <w:rFonts w:cstheme="minorHAnsi"/>
        </w:rPr>
        <w:t xml:space="preserve"> See </w:t>
      </w:r>
      <w:hyperlink r:id="rId12" w:history="1">
        <w:r w:rsidR="005E3752" w:rsidRPr="0021606E">
          <w:rPr>
            <w:rStyle w:val="Hyperlink"/>
            <w:rFonts w:cstheme="minorHAnsi"/>
          </w:rPr>
          <w:t>www.niwa.co.nz/our-science/climate/publications/all/cu</w:t>
        </w:r>
      </w:hyperlink>
    </w:p>
    <w:p w14:paraId="29ABE964" w14:textId="77777777" w:rsidR="00086BB3" w:rsidRPr="00086BB3" w:rsidRDefault="005E3752" w:rsidP="005E3752">
      <w:pPr>
        <w:pStyle w:val="ListParagraph"/>
        <w:numPr>
          <w:ilvl w:val="0"/>
          <w:numId w:val="1"/>
        </w:numPr>
      </w:pPr>
      <w:r>
        <w:rPr>
          <w:rFonts w:cstheme="minorHAnsi"/>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B712C7" w:rsidRDefault="00086BB3" w:rsidP="005E3752">
      <w:pPr>
        <w:pStyle w:val="ListParagraph"/>
        <w:numPr>
          <w:ilvl w:val="0"/>
          <w:numId w:val="1"/>
        </w:numPr>
      </w:pPr>
      <w:r>
        <w:rPr>
          <w:rFonts w:cstheme="minorHAnsi"/>
        </w:rPr>
        <w:t>The seasonal climate outlooks are an output of a scientific research programme, supplemented by NIWA’s Capability Funding. NIWA does not have a government contract to produce these outlooks.</w:t>
      </w:r>
    </w:p>
    <w:p w14:paraId="14DBBCE7" w14:textId="0C1642F8" w:rsidR="00B712C7" w:rsidRPr="00086BB3" w:rsidRDefault="00B712C7" w:rsidP="005E3752">
      <w:pPr>
        <w:pStyle w:val="ListParagraph"/>
        <w:numPr>
          <w:ilvl w:val="0"/>
          <w:numId w:val="1"/>
        </w:numPr>
      </w:pPr>
      <w:r>
        <w:rPr>
          <w:rFonts w:cstheme="minorHAnsi"/>
        </w:rPr>
        <w:t>Where probabilities are within 5% of one another, the term “about equally” is used.</w:t>
      </w:r>
    </w:p>
    <w:p w14:paraId="0E5504EB" w14:textId="77777777" w:rsidR="00086BB3" w:rsidRDefault="00086BB3" w:rsidP="00086BB3">
      <w:pPr>
        <w:rPr>
          <w:rFonts w:cstheme="minorHAnsi"/>
        </w:rPr>
      </w:pPr>
      <w:r>
        <w:rPr>
          <w:rFonts w:cstheme="minorHAnsi"/>
        </w:rPr>
        <w:t xml:space="preserve">Visit our media centre at: </w:t>
      </w:r>
      <w:hyperlink r:id="rId13" w:history="1">
        <w:r w:rsidRPr="0021606E">
          <w:rPr>
            <w:rStyle w:val="Hyperlink"/>
            <w:rFonts w:cstheme="minorHAnsi"/>
          </w:rPr>
          <w:t>www.niwa.co.nz/news-publications/media-centre</w:t>
        </w:r>
      </w:hyperlink>
    </w:p>
    <w:p w14:paraId="6EAA7061" w14:textId="77777777" w:rsidR="00E72C2A" w:rsidRDefault="00811ECD">
      <w:r w:rsidRPr="00086BB3">
        <w:rPr>
          <w:rFonts w:cstheme="minorHAnsi"/>
        </w:rPr>
        <w:br/>
      </w:r>
    </w:p>
    <w:sectPr w:rsidR="00E72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420C" w14:textId="77777777" w:rsidR="00FC4AD1" w:rsidRDefault="00FC4AD1" w:rsidP="006558C1">
      <w:pPr>
        <w:spacing w:after="0" w:line="240" w:lineRule="auto"/>
      </w:pPr>
      <w:r>
        <w:separator/>
      </w:r>
    </w:p>
  </w:endnote>
  <w:endnote w:type="continuationSeparator" w:id="0">
    <w:p w14:paraId="2037B638" w14:textId="77777777" w:rsidR="00FC4AD1" w:rsidRDefault="00FC4AD1" w:rsidP="0065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BADF" w14:textId="77777777" w:rsidR="00FC4AD1" w:rsidRDefault="00FC4AD1" w:rsidP="006558C1">
      <w:pPr>
        <w:spacing w:after="0" w:line="240" w:lineRule="auto"/>
      </w:pPr>
      <w:r>
        <w:separator/>
      </w:r>
    </w:p>
  </w:footnote>
  <w:footnote w:type="continuationSeparator" w:id="0">
    <w:p w14:paraId="3F5B50C4" w14:textId="77777777" w:rsidR="00FC4AD1" w:rsidRDefault="00FC4AD1" w:rsidP="0065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1EEA"/>
    <w:rsid w:val="00002FE7"/>
    <w:rsid w:val="000038E3"/>
    <w:rsid w:val="00003FD1"/>
    <w:rsid w:val="00005127"/>
    <w:rsid w:val="0000629D"/>
    <w:rsid w:val="00006937"/>
    <w:rsid w:val="00006FF6"/>
    <w:rsid w:val="000077DF"/>
    <w:rsid w:val="000077FB"/>
    <w:rsid w:val="00007E38"/>
    <w:rsid w:val="0001015C"/>
    <w:rsid w:val="00010A2D"/>
    <w:rsid w:val="00011175"/>
    <w:rsid w:val="00011E3F"/>
    <w:rsid w:val="00013AEF"/>
    <w:rsid w:val="00022439"/>
    <w:rsid w:val="00023F5E"/>
    <w:rsid w:val="000253B2"/>
    <w:rsid w:val="000321ED"/>
    <w:rsid w:val="00033B30"/>
    <w:rsid w:val="00033F12"/>
    <w:rsid w:val="00035B4C"/>
    <w:rsid w:val="0003643E"/>
    <w:rsid w:val="0003785D"/>
    <w:rsid w:val="00037DC8"/>
    <w:rsid w:val="000419B1"/>
    <w:rsid w:val="00042998"/>
    <w:rsid w:val="0004494B"/>
    <w:rsid w:val="00045BC0"/>
    <w:rsid w:val="0004632A"/>
    <w:rsid w:val="00046B75"/>
    <w:rsid w:val="00051A2C"/>
    <w:rsid w:val="0005449D"/>
    <w:rsid w:val="00055462"/>
    <w:rsid w:val="00055605"/>
    <w:rsid w:val="00056DAA"/>
    <w:rsid w:val="00057401"/>
    <w:rsid w:val="00060F1C"/>
    <w:rsid w:val="00062963"/>
    <w:rsid w:val="000633CA"/>
    <w:rsid w:val="00064ED9"/>
    <w:rsid w:val="00070395"/>
    <w:rsid w:val="000717E2"/>
    <w:rsid w:val="000725E5"/>
    <w:rsid w:val="00073003"/>
    <w:rsid w:val="0007326F"/>
    <w:rsid w:val="000734BE"/>
    <w:rsid w:val="00073A2E"/>
    <w:rsid w:val="00074DC7"/>
    <w:rsid w:val="000752AE"/>
    <w:rsid w:val="00075BFF"/>
    <w:rsid w:val="00076166"/>
    <w:rsid w:val="0007628C"/>
    <w:rsid w:val="00080A85"/>
    <w:rsid w:val="0008138D"/>
    <w:rsid w:val="0008378B"/>
    <w:rsid w:val="00083E47"/>
    <w:rsid w:val="00086046"/>
    <w:rsid w:val="00086350"/>
    <w:rsid w:val="00086BB3"/>
    <w:rsid w:val="000906A9"/>
    <w:rsid w:val="00093563"/>
    <w:rsid w:val="0009434B"/>
    <w:rsid w:val="000958EE"/>
    <w:rsid w:val="0009600E"/>
    <w:rsid w:val="0009651F"/>
    <w:rsid w:val="00097B23"/>
    <w:rsid w:val="000A0961"/>
    <w:rsid w:val="000A2062"/>
    <w:rsid w:val="000A2D63"/>
    <w:rsid w:val="000A3462"/>
    <w:rsid w:val="000A5554"/>
    <w:rsid w:val="000A68A3"/>
    <w:rsid w:val="000B0B6F"/>
    <w:rsid w:val="000B3066"/>
    <w:rsid w:val="000B7320"/>
    <w:rsid w:val="000C1476"/>
    <w:rsid w:val="000C20E0"/>
    <w:rsid w:val="000C2D7F"/>
    <w:rsid w:val="000C3DB6"/>
    <w:rsid w:val="000C47DE"/>
    <w:rsid w:val="000C4BF4"/>
    <w:rsid w:val="000D07BE"/>
    <w:rsid w:val="000D2482"/>
    <w:rsid w:val="000D25C5"/>
    <w:rsid w:val="000D3D94"/>
    <w:rsid w:val="000D6DC6"/>
    <w:rsid w:val="000D70C1"/>
    <w:rsid w:val="000E1DC1"/>
    <w:rsid w:val="000E1FC6"/>
    <w:rsid w:val="000E2300"/>
    <w:rsid w:val="000E3030"/>
    <w:rsid w:val="000E3954"/>
    <w:rsid w:val="000E5B62"/>
    <w:rsid w:val="000E6DB7"/>
    <w:rsid w:val="000F11B2"/>
    <w:rsid w:val="000F329A"/>
    <w:rsid w:val="000F4E7E"/>
    <w:rsid w:val="00100A10"/>
    <w:rsid w:val="00100B58"/>
    <w:rsid w:val="00100DBB"/>
    <w:rsid w:val="00101C8B"/>
    <w:rsid w:val="00103D1A"/>
    <w:rsid w:val="00103DEE"/>
    <w:rsid w:val="00107B33"/>
    <w:rsid w:val="00107BD7"/>
    <w:rsid w:val="00111341"/>
    <w:rsid w:val="00111578"/>
    <w:rsid w:val="00111BBE"/>
    <w:rsid w:val="00113827"/>
    <w:rsid w:val="00114B5A"/>
    <w:rsid w:val="00115988"/>
    <w:rsid w:val="0011675E"/>
    <w:rsid w:val="00116BE8"/>
    <w:rsid w:val="00120676"/>
    <w:rsid w:val="0012587D"/>
    <w:rsid w:val="0012630F"/>
    <w:rsid w:val="00126393"/>
    <w:rsid w:val="00126BBC"/>
    <w:rsid w:val="0012718D"/>
    <w:rsid w:val="00127FE1"/>
    <w:rsid w:val="00130755"/>
    <w:rsid w:val="001310CA"/>
    <w:rsid w:val="00131E61"/>
    <w:rsid w:val="00132D2E"/>
    <w:rsid w:val="00133E3C"/>
    <w:rsid w:val="001343B2"/>
    <w:rsid w:val="001354DC"/>
    <w:rsid w:val="00135C4F"/>
    <w:rsid w:val="00137B97"/>
    <w:rsid w:val="00140B9E"/>
    <w:rsid w:val="00142EA5"/>
    <w:rsid w:val="00144530"/>
    <w:rsid w:val="00145CAE"/>
    <w:rsid w:val="0014697D"/>
    <w:rsid w:val="00146E93"/>
    <w:rsid w:val="00150A57"/>
    <w:rsid w:val="00150C6B"/>
    <w:rsid w:val="00151167"/>
    <w:rsid w:val="001524A0"/>
    <w:rsid w:val="00153838"/>
    <w:rsid w:val="00157063"/>
    <w:rsid w:val="00161911"/>
    <w:rsid w:val="00162374"/>
    <w:rsid w:val="001675CA"/>
    <w:rsid w:val="00167E1A"/>
    <w:rsid w:val="00170215"/>
    <w:rsid w:val="0017083A"/>
    <w:rsid w:val="00170D70"/>
    <w:rsid w:val="00171DAD"/>
    <w:rsid w:val="0017220B"/>
    <w:rsid w:val="00172678"/>
    <w:rsid w:val="001728A8"/>
    <w:rsid w:val="00172D70"/>
    <w:rsid w:val="00173FA8"/>
    <w:rsid w:val="00174C7E"/>
    <w:rsid w:val="00175858"/>
    <w:rsid w:val="00176510"/>
    <w:rsid w:val="00176641"/>
    <w:rsid w:val="001801F3"/>
    <w:rsid w:val="00180ABF"/>
    <w:rsid w:val="00180DE9"/>
    <w:rsid w:val="001813B1"/>
    <w:rsid w:val="00181B07"/>
    <w:rsid w:val="00184234"/>
    <w:rsid w:val="00184445"/>
    <w:rsid w:val="00185C90"/>
    <w:rsid w:val="0019005B"/>
    <w:rsid w:val="00190C78"/>
    <w:rsid w:val="001926A0"/>
    <w:rsid w:val="00195869"/>
    <w:rsid w:val="001A0A07"/>
    <w:rsid w:val="001A10D7"/>
    <w:rsid w:val="001A4DBC"/>
    <w:rsid w:val="001A4E93"/>
    <w:rsid w:val="001A5F96"/>
    <w:rsid w:val="001A6F5C"/>
    <w:rsid w:val="001B0845"/>
    <w:rsid w:val="001B20EC"/>
    <w:rsid w:val="001B3758"/>
    <w:rsid w:val="001B700D"/>
    <w:rsid w:val="001B7113"/>
    <w:rsid w:val="001B73ED"/>
    <w:rsid w:val="001B7B53"/>
    <w:rsid w:val="001C03A1"/>
    <w:rsid w:val="001C43EF"/>
    <w:rsid w:val="001C5577"/>
    <w:rsid w:val="001C56B7"/>
    <w:rsid w:val="001C5972"/>
    <w:rsid w:val="001C6615"/>
    <w:rsid w:val="001C67EA"/>
    <w:rsid w:val="001C680D"/>
    <w:rsid w:val="001C68F2"/>
    <w:rsid w:val="001D0620"/>
    <w:rsid w:val="001D0B84"/>
    <w:rsid w:val="001D177A"/>
    <w:rsid w:val="001D185C"/>
    <w:rsid w:val="001D18AE"/>
    <w:rsid w:val="001D2667"/>
    <w:rsid w:val="001D2EB4"/>
    <w:rsid w:val="001D46F0"/>
    <w:rsid w:val="001E0797"/>
    <w:rsid w:val="001E348F"/>
    <w:rsid w:val="001E3FE1"/>
    <w:rsid w:val="001E4F36"/>
    <w:rsid w:val="001E56B5"/>
    <w:rsid w:val="001E5D71"/>
    <w:rsid w:val="001E5EC1"/>
    <w:rsid w:val="001E7B08"/>
    <w:rsid w:val="001E7E90"/>
    <w:rsid w:val="001F0E47"/>
    <w:rsid w:val="001F1A59"/>
    <w:rsid w:val="001F3715"/>
    <w:rsid w:val="001F3B34"/>
    <w:rsid w:val="001F44A6"/>
    <w:rsid w:val="001F4C07"/>
    <w:rsid w:val="001F68D0"/>
    <w:rsid w:val="0020050A"/>
    <w:rsid w:val="00202EF5"/>
    <w:rsid w:val="00203865"/>
    <w:rsid w:val="00206EA8"/>
    <w:rsid w:val="00207541"/>
    <w:rsid w:val="00207805"/>
    <w:rsid w:val="00210479"/>
    <w:rsid w:val="002125BD"/>
    <w:rsid w:val="002166CA"/>
    <w:rsid w:val="00216875"/>
    <w:rsid w:val="002168B7"/>
    <w:rsid w:val="00221BF5"/>
    <w:rsid w:val="00222DA4"/>
    <w:rsid w:val="002246F8"/>
    <w:rsid w:val="002260FA"/>
    <w:rsid w:val="002268E2"/>
    <w:rsid w:val="002278F3"/>
    <w:rsid w:val="00227B3B"/>
    <w:rsid w:val="0023165A"/>
    <w:rsid w:val="00231737"/>
    <w:rsid w:val="00233536"/>
    <w:rsid w:val="00233AB9"/>
    <w:rsid w:val="00234FC0"/>
    <w:rsid w:val="002353C1"/>
    <w:rsid w:val="002361F2"/>
    <w:rsid w:val="002362E7"/>
    <w:rsid w:val="00237915"/>
    <w:rsid w:val="002405AB"/>
    <w:rsid w:val="002439F4"/>
    <w:rsid w:val="0024458A"/>
    <w:rsid w:val="00244E90"/>
    <w:rsid w:val="0024599F"/>
    <w:rsid w:val="00247810"/>
    <w:rsid w:val="00250012"/>
    <w:rsid w:val="00250A16"/>
    <w:rsid w:val="00253CA9"/>
    <w:rsid w:val="002567B3"/>
    <w:rsid w:val="00257E62"/>
    <w:rsid w:val="00261299"/>
    <w:rsid w:val="002617D7"/>
    <w:rsid w:val="00262A00"/>
    <w:rsid w:val="00265129"/>
    <w:rsid w:val="00266915"/>
    <w:rsid w:val="00266933"/>
    <w:rsid w:val="00267511"/>
    <w:rsid w:val="00267803"/>
    <w:rsid w:val="0027139F"/>
    <w:rsid w:val="0027145B"/>
    <w:rsid w:val="0028147E"/>
    <w:rsid w:val="00282FE0"/>
    <w:rsid w:val="0028316F"/>
    <w:rsid w:val="00283377"/>
    <w:rsid w:val="002863E8"/>
    <w:rsid w:val="00286D40"/>
    <w:rsid w:val="00290483"/>
    <w:rsid w:val="002907BF"/>
    <w:rsid w:val="00291576"/>
    <w:rsid w:val="0029309D"/>
    <w:rsid w:val="00294564"/>
    <w:rsid w:val="002952A7"/>
    <w:rsid w:val="0029689E"/>
    <w:rsid w:val="002968A3"/>
    <w:rsid w:val="002A2DE4"/>
    <w:rsid w:val="002A30D4"/>
    <w:rsid w:val="002A384C"/>
    <w:rsid w:val="002A50CF"/>
    <w:rsid w:val="002A5FD6"/>
    <w:rsid w:val="002A6E94"/>
    <w:rsid w:val="002B6B9A"/>
    <w:rsid w:val="002B754A"/>
    <w:rsid w:val="002C14CD"/>
    <w:rsid w:val="002C1B13"/>
    <w:rsid w:val="002C22F0"/>
    <w:rsid w:val="002C23DB"/>
    <w:rsid w:val="002C3FDB"/>
    <w:rsid w:val="002C4E88"/>
    <w:rsid w:val="002C5588"/>
    <w:rsid w:val="002C5CDB"/>
    <w:rsid w:val="002C6459"/>
    <w:rsid w:val="002D0C5B"/>
    <w:rsid w:val="002D1A1F"/>
    <w:rsid w:val="002D3873"/>
    <w:rsid w:val="002D45CD"/>
    <w:rsid w:val="002D60F6"/>
    <w:rsid w:val="002D7612"/>
    <w:rsid w:val="002E1350"/>
    <w:rsid w:val="002E1776"/>
    <w:rsid w:val="002E2724"/>
    <w:rsid w:val="002E4BA4"/>
    <w:rsid w:val="002E5246"/>
    <w:rsid w:val="002F0F7D"/>
    <w:rsid w:val="002F2FA3"/>
    <w:rsid w:val="002F4E0C"/>
    <w:rsid w:val="002F51E2"/>
    <w:rsid w:val="002F5766"/>
    <w:rsid w:val="002F57B6"/>
    <w:rsid w:val="003043B7"/>
    <w:rsid w:val="0030557B"/>
    <w:rsid w:val="00305CA6"/>
    <w:rsid w:val="00305E33"/>
    <w:rsid w:val="00310E51"/>
    <w:rsid w:val="00312B90"/>
    <w:rsid w:val="0031319A"/>
    <w:rsid w:val="00317163"/>
    <w:rsid w:val="00317C31"/>
    <w:rsid w:val="00317D25"/>
    <w:rsid w:val="003204C7"/>
    <w:rsid w:val="00320703"/>
    <w:rsid w:val="00321853"/>
    <w:rsid w:val="00326C5E"/>
    <w:rsid w:val="0032761B"/>
    <w:rsid w:val="00331C4E"/>
    <w:rsid w:val="0033369F"/>
    <w:rsid w:val="00335EED"/>
    <w:rsid w:val="003364D3"/>
    <w:rsid w:val="00337672"/>
    <w:rsid w:val="00342B49"/>
    <w:rsid w:val="00342D26"/>
    <w:rsid w:val="00344754"/>
    <w:rsid w:val="00351A54"/>
    <w:rsid w:val="00353B52"/>
    <w:rsid w:val="003540CE"/>
    <w:rsid w:val="003549DB"/>
    <w:rsid w:val="00357CFB"/>
    <w:rsid w:val="0036096F"/>
    <w:rsid w:val="00363183"/>
    <w:rsid w:val="0036367C"/>
    <w:rsid w:val="003654BE"/>
    <w:rsid w:val="00365A0F"/>
    <w:rsid w:val="0037143B"/>
    <w:rsid w:val="00372032"/>
    <w:rsid w:val="00372201"/>
    <w:rsid w:val="00374436"/>
    <w:rsid w:val="00376C3F"/>
    <w:rsid w:val="003816E9"/>
    <w:rsid w:val="00381B2F"/>
    <w:rsid w:val="0038253F"/>
    <w:rsid w:val="003845F9"/>
    <w:rsid w:val="00385522"/>
    <w:rsid w:val="00385E2E"/>
    <w:rsid w:val="003867F2"/>
    <w:rsid w:val="00387A40"/>
    <w:rsid w:val="00387E27"/>
    <w:rsid w:val="00387E57"/>
    <w:rsid w:val="00390B4D"/>
    <w:rsid w:val="0039321A"/>
    <w:rsid w:val="0039352B"/>
    <w:rsid w:val="0039435C"/>
    <w:rsid w:val="003957C3"/>
    <w:rsid w:val="00396219"/>
    <w:rsid w:val="0039665F"/>
    <w:rsid w:val="003977E9"/>
    <w:rsid w:val="00397D08"/>
    <w:rsid w:val="00397F7E"/>
    <w:rsid w:val="003A0BB5"/>
    <w:rsid w:val="003A1354"/>
    <w:rsid w:val="003A23BF"/>
    <w:rsid w:val="003A2FDE"/>
    <w:rsid w:val="003A347A"/>
    <w:rsid w:val="003A6E3B"/>
    <w:rsid w:val="003A70F0"/>
    <w:rsid w:val="003A74CE"/>
    <w:rsid w:val="003A7705"/>
    <w:rsid w:val="003A7EC8"/>
    <w:rsid w:val="003B0582"/>
    <w:rsid w:val="003B0C7F"/>
    <w:rsid w:val="003B41A8"/>
    <w:rsid w:val="003B62FB"/>
    <w:rsid w:val="003B6790"/>
    <w:rsid w:val="003C172B"/>
    <w:rsid w:val="003C24B5"/>
    <w:rsid w:val="003C3406"/>
    <w:rsid w:val="003C4732"/>
    <w:rsid w:val="003C5576"/>
    <w:rsid w:val="003C7788"/>
    <w:rsid w:val="003C7947"/>
    <w:rsid w:val="003D0093"/>
    <w:rsid w:val="003D03AC"/>
    <w:rsid w:val="003D5322"/>
    <w:rsid w:val="003D5609"/>
    <w:rsid w:val="003D563F"/>
    <w:rsid w:val="003D6A2F"/>
    <w:rsid w:val="003E100D"/>
    <w:rsid w:val="003E3179"/>
    <w:rsid w:val="003E3714"/>
    <w:rsid w:val="003E4D4D"/>
    <w:rsid w:val="003E5AC5"/>
    <w:rsid w:val="003E5CF4"/>
    <w:rsid w:val="003E75B2"/>
    <w:rsid w:val="003E7DDC"/>
    <w:rsid w:val="003F0BC9"/>
    <w:rsid w:val="003F1E70"/>
    <w:rsid w:val="003F22CB"/>
    <w:rsid w:val="003F2810"/>
    <w:rsid w:val="003F41CA"/>
    <w:rsid w:val="003F4696"/>
    <w:rsid w:val="003F6630"/>
    <w:rsid w:val="004010A8"/>
    <w:rsid w:val="0040390A"/>
    <w:rsid w:val="0040422E"/>
    <w:rsid w:val="004048D2"/>
    <w:rsid w:val="0040570F"/>
    <w:rsid w:val="00405ECD"/>
    <w:rsid w:val="004060A3"/>
    <w:rsid w:val="00406207"/>
    <w:rsid w:val="0041071F"/>
    <w:rsid w:val="00410968"/>
    <w:rsid w:val="0041098B"/>
    <w:rsid w:val="00412BBF"/>
    <w:rsid w:val="0041408A"/>
    <w:rsid w:val="004157AE"/>
    <w:rsid w:val="0042057D"/>
    <w:rsid w:val="00420E04"/>
    <w:rsid w:val="00427077"/>
    <w:rsid w:val="00431345"/>
    <w:rsid w:val="00431DE4"/>
    <w:rsid w:val="00432074"/>
    <w:rsid w:val="00433424"/>
    <w:rsid w:val="00433E1B"/>
    <w:rsid w:val="004341BB"/>
    <w:rsid w:val="00435026"/>
    <w:rsid w:val="0043625D"/>
    <w:rsid w:val="00437A36"/>
    <w:rsid w:val="00441F75"/>
    <w:rsid w:val="004434E3"/>
    <w:rsid w:val="004435B0"/>
    <w:rsid w:val="00444BEA"/>
    <w:rsid w:val="00444E40"/>
    <w:rsid w:val="00451280"/>
    <w:rsid w:val="00453230"/>
    <w:rsid w:val="00455503"/>
    <w:rsid w:val="00455D7A"/>
    <w:rsid w:val="004621F2"/>
    <w:rsid w:val="0046276A"/>
    <w:rsid w:val="00463EEA"/>
    <w:rsid w:val="004648A5"/>
    <w:rsid w:val="00465046"/>
    <w:rsid w:val="00465AD9"/>
    <w:rsid w:val="00466EE9"/>
    <w:rsid w:val="00467B63"/>
    <w:rsid w:val="00470BF3"/>
    <w:rsid w:val="00471C8C"/>
    <w:rsid w:val="00472777"/>
    <w:rsid w:val="00473189"/>
    <w:rsid w:val="0047482C"/>
    <w:rsid w:val="004800AE"/>
    <w:rsid w:val="004832D5"/>
    <w:rsid w:val="004845DF"/>
    <w:rsid w:val="004850DC"/>
    <w:rsid w:val="00486D6F"/>
    <w:rsid w:val="004870CD"/>
    <w:rsid w:val="00487DEF"/>
    <w:rsid w:val="0049071F"/>
    <w:rsid w:val="0049087E"/>
    <w:rsid w:val="00491F60"/>
    <w:rsid w:val="00494C72"/>
    <w:rsid w:val="0049764F"/>
    <w:rsid w:val="00497C87"/>
    <w:rsid w:val="004A08B5"/>
    <w:rsid w:val="004A1018"/>
    <w:rsid w:val="004A1E0C"/>
    <w:rsid w:val="004A6EB9"/>
    <w:rsid w:val="004A703C"/>
    <w:rsid w:val="004B16CD"/>
    <w:rsid w:val="004C0BD8"/>
    <w:rsid w:val="004C2805"/>
    <w:rsid w:val="004C6BE6"/>
    <w:rsid w:val="004C6DA9"/>
    <w:rsid w:val="004C7B02"/>
    <w:rsid w:val="004D1328"/>
    <w:rsid w:val="004D2321"/>
    <w:rsid w:val="004D30A5"/>
    <w:rsid w:val="004D3650"/>
    <w:rsid w:val="004D5B93"/>
    <w:rsid w:val="004D5D52"/>
    <w:rsid w:val="004D6572"/>
    <w:rsid w:val="004D657D"/>
    <w:rsid w:val="004E0044"/>
    <w:rsid w:val="004E089B"/>
    <w:rsid w:val="004E116E"/>
    <w:rsid w:val="004E1A23"/>
    <w:rsid w:val="004E2E42"/>
    <w:rsid w:val="004E3495"/>
    <w:rsid w:val="004E3F79"/>
    <w:rsid w:val="004E5337"/>
    <w:rsid w:val="004E5C62"/>
    <w:rsid w:val="004E7B62"/>
    <w:rsid w:val="004F0E9D"/>
    <w:rsid w:val="004F4260"/>
    <w:rsid w:val="004F4A8E"/>
    <w:rsid w:val="004F659F"/>
    <w:rsid w:val="004F7653"/>
    <w:rsid w:val="004F78A8"/>
    <w:rsid w:val="0050167E"/>
    <w:rsid w:val="00501840"/>
    <w:rsid w:val="00501F14"/>
    <w:rsid w:val="00502177"/>
    <w:rsid w:val="00502257"/>
    <w:rsid w:val="00504422"/>
    <w:rsid w:val="005074ED"/>
    <w:rsid w:val="00510D8D"/>
    <w:rsid w:val="00510E00"/>
    <w:rsid w:val="0051217B"/>
    <w:rsid w:val="005131E7"/>
    <w:rsid w:val="005133A3"/>
    <w:rsid w:val="00513533"/>
    <w:rsid w:val="00513C0C"/>
    <w:rsid w:val="00513D25"/>
    <w:rsid w:val="0051420D"/>
    <w:rsid w:val="00515183"/>
    <w:rsid w:val="005167E3"/>
    <w:rsid w:val="005174E3"/>
    <w:rsid w:val="00520560"/>
    <w:rsid w:val="00521CA1"/>
    <w:rsid w:val="005255F1"/>
    <w:rsid w:val="0052662D"/>
    <w:rsid w:val="00526852"/>
    <w:rsid w:val="00526AD4"/>
    <w:rsid w:val="0053027F"/>
    <w:rsid w:val="00530321"/>
    <w:rsid w:val="005308F7"/>
    <w:rsid w:val="005332DD"/>
    <w:rsid w:val="00533B0A"/>
    <w:rsid w:val="00534886"/>
    <w:rsid w:val="00535841"/>
    <w:rsid w:val="00535DEC"/>
    <w:rsid w:val="005362BA"/>
    <w:rsid w:val="00536A05"/>
    <w:rsid w:val="00536FD0"/>
    <w:rsid w:val="00540675"/>
    <w:rsid w:val="005428E7"/>
    <w:rsid w:val="00542ACD"/>
    <w:rsid w:val="00542B1A"/>
    <w:rsid w:val="00543585"/>
    <w:rsid w:val="00544625"/>
    <w:rsid w:val="00544E4D"/>
    <w:rsid w:val="00545A09"/>
    <w:rsid w:val="00545AD4"/>
    <w:rsid w:val="00545DFD"/>
    <w:rsid w:val="00546B2F"/>
    <w:rsid w:val="00546EEB"/>
    <w:rsid w:val="005473B9"/>
    <w:rsid w:val="005479AB"/>
    <w:rsid w:val="0055093B"/>
    <w:rsid w:val="0055209E"/>
    <w:rsid w:val="005533BD"/>
    <w:rsid w:val="005548D6"/>
    <w:rsid w:val="0055498B"/>
    <w:rsid w:val="0055711D"/>
    <w:rsid w:val="00557C40"/>
    <w:rsid w:val="0056102C"/>
    <w:rsid w:val="00561463"/>
    <w:rsid w:val="0056194B"/>
    <w:rsid w:val="00561E2B"/>
    <w:rsid w:val="00562228"/>
    <w:rsid w:val="0056245A"/>
    <w:rsid w:val="00563BAF"/>
    <w:rsid w:val="00564D02"/>
    <w:rsid w:val="00565FB1"/>
    <w:rsid w:val="00567D9E"/>
    <w:rsid w:val="0057222E"/>
    <w:rsid w:val="00572242"/>
    <w:rsid w:val="005733FC"/>
    <w:rsid w:val="00574EDE"/>
    <w:rsid w:val="00580374"/>
    <w:rsid w:val="0058125B"/>
    <w:rsid w:val="005836B4"/>
    <w:rsid w:val="00583894"/>
    <w:rsid w:val="00584FB3"/>
    <w:rsid w:val="00585E16"/>
    <w:rsid w:val="00586B60"/>
    <w:rsid w:val="00586E66"/>
    <w:rsid w:val="00586EC3"/>
    <w:rsid w:val="00587220"/>
    <w:rsid w:val="00590B48"/>
    <w:rsid w:val="00591DD6"/>
    <w:rsid w:val="00593123"/>
    <w:rsid w:val="00596F89"/>
    <w:rsid w:val="00596F8C"/>
    <w:rsid w:val="005A1251"/>
    <w:rsid w:val="005A1AD5"/>
    <w:rsid w:val="005A4087"/>
    <w:rsid w:val="005A4945"/>
    <w:rsid w:val="005A495B"/>
    <w:rsid w:val="005A5714"/>
    <w:rsid w:val="005A5790"/>
    <w:rsid w:val="005A5BA6"/>
    <w:rsid w:val="005A6065"/>
    <w:rsid w:val="005A65F5"/>
    <w:rsid w:val="005A761E"/>
    <w:rsid w:val="005B0F93"/>
    <w:rsid w:val="005B2F44"/>
    <w:rsid w:val="005B30FB"/>
    <w:rsid w:val="005B51A8"/>
    <w:rsid w:val="005B60F0"/>
    <w:rsid w:val="005B65E8"/>
    <w:rsid w:val="005B669B"/>
    <w:rsid w:val="005C12E4"/>
    <w:rsid w:val="005C32F4"/>
    <w:rsid w:val="005C4AA0"/>
    <w:rsid w:val="005C4C01"/>
    <w:rsid w:val="005C51F5"/>
    <w:rsid w:val="005C6513"/>
    <w:rsid w:val="005C6B60"/>
    <w:rsid w:val="005C6DBB"/>
    <w:rsid w:val="005C7D43"/>
    <w:rsid w:val="005D3357"/>
    <w:rsid w:val="005D34A6"/>
    <w:rsid w:val="005D37BA"/>
    <w:rsid w:val="005D3C7B"/>
    <w:rsid w:val="005D58A2"/>
    <w:rsid w:val="005D7A85"/>
    <w:rsid w:val="005E004D"/>
    <w:rsid w:val="005E1A48"/>
    <w:rsid w:val="005E3752"/>
    <w:rsid w:val="005E5BBB"/>
    <w:rsid w:val="005F27FB"/>
    <w:rsid w:val="005F2959"/>
    <w:rsid w:val="005F38DB"/>
    <w:rsid w:val="005F38DE"/>
    <w:rsid w:val="005F4A83"/>
    <w:rsid w:val="005F4EA2"/>
    <w:rsid w:val="005F550B"/>
    <w:rsid w:val="005F621D"/>
    <w:rsid w:val="005F6D46"/>
    <w:rsid w:val="005F7BCA"/>
    <w:rsid w:val="005F7E63"/>
    <w:rsid w:val="00602581"/>
    <w:rsid w:val="00602B35"/>
    <w:rsid w:val="006031BF"/>
    <w:rsid w:val="00604D61"/>
    <w:rsid w:val="00605739"/>
    <w:rsid w:val="00607A55"/>
    <w:rsid w:val="0061011C"/>
    <w:rsid w:val="006106DF"/>
    <w:rsid w:val="00610A8E"/>
    <w:rsid w:val="0061194F"/>
    <w:rsid w:val="00611A7F"/>
    <w:rsid w:val="00611F73"/>
    <w:rsid w:val="0061420A"/>
    <w:rsid w:val="006144E3"/>
    <w:rsid w:val="0061499E"/>
    <w:rsid w:val="00614A87"/>
    <w:rsid w:val="0061531C"/>
    <w:rsid w:val="006158FF"/>
    <w:rsid w:val="00616486"/>
    <w:rsid w:val="00616823"/>
    <w:rsid w:val="00617E40"/>
    <w:rsid w:val="006217B8"/>
    <w:rsid w:val="00622E2C"/>
    <w:rsid w:val="006233D9"/>
    <w:rsid w:val="00623D61"/>
    <w:rsid w:val="006240F2"/>
    <w:rsid w:val="00625CC7"/>
    <w:rsid w:val="00627BC8"/>
    <w:rsid w:val="006300C9"/>
    <w:rsid w:val="006304A4"/>
    <w:rsid w:val="00630669"/>
    <w:rsid w:val="006328F9"/>
    <w:rsid w:val="00634B4B"/>
    <w:rsid w:val="00636E74"/>
    <w:rsid w:val="006370C3"/>
    <w:rsid w:val="0064040B"/>
    <w:rsid w:val="00644254"/>
    <w:rsid w:val="00644686"/>
    <w:rsid w:val="006448DF"/>
    <w:rsid w:val="006455FB"/>
    <w:rsid w:val="00646765"/>
    <w:rsid w:val="00650435"/>
    <w:rsid w:val="006507DF"/>
    <w:rsid w:val="00653436"/>
    <w:rsid w:val="00653B1D"/>
    <w:rsid w:val="00653C5C"/>
    <w:rsid w:val="00654955"/>
    <w:rsid w:val="006549FC"/>
    <w:rsid w:val="006558C1"/>
    <w:rsid w:val="00656498"/>
    <w:rsid w:val="00656882"/>
    <w:rsid w:val="00657152"/>
    <w:rsid w:val="0065788A"/>
    <w:rsid w:val="0066161E"/>
    <w:rsid w:val="00662C26"/>
    <w:rsid w:val="0066436B"/>
    <w:rsid w:val="0066559C"/>
    <w:rsid w:val="00666347"/>
    <w:rsid w:val="006666E6"/>
    <w:rsid w:val="00666F9D"/>
    <w:rsid w:val="00667B3E"/>
    <w:rsid w:val="006708E3"/>
    <w:rsid w:val="006719B0"/>
    <w:rsid w:val="00671CA3"/>
    <w:rsid w:val="00671D90"/>
    <w:rsid w:val="0067426B"/>
    <w:rsid w:val="006743CD"/>
    <w:rsid w:val="00676580"/>
    <w:rsid w:val="0067734B"/>
    <w:rsid w:val="00677AC0"/>
    <w:rsid w:val="00680248"/>
    <w:rsid w:val="00680552"/>
    <w:rsid w:val="006811E2"/>
    <w:rsid w:val="00683F0A"/>
    <w:rsid w:val="0069147C"/>
    <w:rsid w:val="0069203F"/>
    <w:rsid w:val="006934E2"/>
    <w:rsid w:val="0069707F"/>
    <w:rsid w:val="00697262"/>
    <w:rsid w:val="00697B62"/>
    <w:rsid w:val="006A210A"/>
    <w:rsid w:val="006A31BB"/>
    <w:rsid w:val="006A3299"/>
    <w:rsid w:val="006A397A"/>
    <w:rsid w:val="006A5498"/>
    <w:rsid w:val="006A72DE"/>
    <w:rsid w:val="006B24B2"/>
    <w:rsid w:val="006B2FF6"/>
    <w:rsid w:val="006B5B6F"/>
    <w:rsid w:val="006C08B1"/>
    <w:rsid w:val="006C0B48"/>
    <w:rsid w:val="006C0B56"/>
    <w:rsid w:val="006C14F0"/>
    <w:rsid w:val="006C187E"/>
    <w:rsid w:val="006C1F67"/>
    <w:rsid w:val="006C490A"/>
    <w:rsid w:val="006C54B6"/>
    <w:rsid w:val="006C70D3"/>
    <w:rsid w:val="006C73DB"/>
    <w:rsid w:val="006C7AB9"/>
    <w:rsid w:val="006D013B"/>
    <w:rsid w:val="006D3F4D"/>
    <w:rsid w:val="006D4A85"/>
    <w:rsid w:val="006D4E10"/>
    <w:rsid w:val="006D5E0F"/>
    <w:rsid w:val="006D7AD5"/>
    <w:rsid w:val="006D7CB0"/>
    <w:rsid w:val="006E06A6"/>
    <w:rsid w:val="006E24EC"/>
    <w:rsid w:val="006E269F"/>
    <w:rsid w:val="006E2FD1"/>
    <w:rsid w:val="006E3340"/>
    <w:rsid w:val="006E3D0B"/>
    <w:rsid w:val="006E40E9"/>
    <w:rsid w:val="006E42D2"/>
    <w:rsid w:val="006E537B"/>
    <w:rsid w:val="006E5929"/>
    <w:rsid w:val="006F07F5"/>
    <w:rsid w:val="006F0FA0"/>
    <w:rsid w:val="006F181B"/>
    <w:rsid w:val="006F2428"/>
    <w:rsid w:val="006F26B5"/>
    <w:rsid w:val="006F358D"/>
    <w:rsid w:val="006F70BF"/>
    <w:rsid w:val="0070030B"/>
    <w:rsid w:val="00702767"/>
    <w:rsid w:val="00702CEC"/>
    <w:rsid w:val="007049BD"/>
    <w:rsid w:val="0070505F"/>
    <w:rsid w:val="0071078B"/>
    <w:rsid w:val="00712ADD"/>
    <w:rsid w:val="00712B93"/>
    <w:rsid w:val="00714D03"/>
    <w:rsid w:val="00720EB9"/>
    <w:rsid w:val="00721F72"/>
    <w:rsid w:val="00723918"/>
    <w:rsid w:val="0072547D"/>
    <w:rsid w:val="00727D76"/>
    <w:rsid w:val="007305B8"/>
    <w:rsid w:val="00730CA9"/>
    <w:rsid w:val="007314E6"/>
    <w:rsid w:val="007326BA"/>
    <w:rsid w:val="00732C8F"/>
    <w:rsid w:val="0073468B"/>
    <w:rsid w:val="00742941"/>
    <w:rsid w:val="00742F06"/>
    <w:rsid w:val="00743098"/>
    <w:rsid w:val="00743E8F"/>
    <w:rsid w:val="007500C4"/>
    <w:rsid w:val="00750D31"/>
    <w:rsid w:val="0075158A"/>
    <w:rsid w:val="00752284"/>
    <w:rsid w:val="00754081"/>
    <w:rsid w:val="00756884"/>
    <w:rsid w:val="007571FC"/>
    <w:rsid w:val="00764FB1"/>
    <w:rsid w:val="00765E54"/>
    <w:rsid w:val="007675D7"/>
    <w:rsid w:val="00770689"/>
    <w:rsid w:val="00771B11"/>
    <w:rsid w:val="007733EB"/>
    <w:rsid w:val="0077388A"/>
    <w:rsid w:val="007766FE"/>
    <w:rsid w:val="00780744"/>
    <w:rsid w:val="00781FC9"/>
    <w:rsid w:val="00784CE2"/>
    <w:rsid w:val="00786388"/>
    <w:rsid w:val="00790B75"/>
    <w:rsid w:val="007926B6"/>
    <w:rsid w:val="00793E9D"/>
    <w:rsid w:val="0079503D"/>
    <w:rsid w:val="00796506"/>
    <w:rsid w:val="00796900"/>
    <w:rsid w:val="007969CA"/>
    <w:rsid w:val="00797391"/>
    <w:rsid w:val="007A08D1"/>
    <w:rsid w:val="007A13C2"/>
    <w:rsid w:val="007A18EE"/>
    <w:rsid w:val="007A2663"/>
    <w:rsid w:val="007A35E7"/>
    <w:rsid w:val="007A3888"/>
    <w:rsid w:val="007A409D"/>
    <w:rsid w:val="007A477F"/>
    <w:rsid w:val="007A4988"/>
    <w:rsid w:val="007A4A8A"/>
    <w:rsid w:val="007A5FA7"/>
    <w:rsid w:val="007A6B5C"/>
    <w:rsid w:val="007A7355"/>
    <w:rsid w:val="007B00F3"/>
    <w:rsid w:val="007B212F"/>
    <w:rsid w:val="007B23C6"/>
    <w:rsid w:val="007B2D67"/>
    <w:rsid w:val="007B3ED1"/>
    <w:rsid w:val="007B40E1"/>
    <w:rsid w:val="007B4456"/>
    <w:rsid w:val="007B460B"/>
    <w:rsid w:val="007B549C"/>
    <w:rsid w:val="007B5E37"/>
    <w:rsid w:val="007B6023"/>
    <w:rsid w:val="007B611B"/>
    <w:rsid w:val="007B74A7"/>
    <w:rsid w:val="007C01A8"/>
    <w:rsid w:val="007C0417"/>
    <w:rsid w:val="007C1179"/>
    <w:rsid w:val="007C488C"/>
    <w:rsid w:val="007C48AE"/>
    <w:rsid w:val="007C51C1"/>
    <w:rsid w:val="007C6626"/>
    <w:rsid w:val="007C7AF6"/>
    <w:rsid w:val="007D2B5E"/>
    <w:rsid w:val="007D3B35"/>
    <w:rsid w:val="007D4E28"/>
    <w:rsid w:val="007D62A5"/>
    <w:rsid w:val="007D7287"/>
    <w:rsid w:val="007D7694"/>
    <w:rsid w:val="007E017A"/>
    <w:rsid w:val="007E01D0"/>
    <w:rsid w:val="007E0D8C"/>
    <w:rsid w:val="007E1500"/>
    <w:rsid w:val="007E2A1D"/>
    <w:rsid w:val="007E3F29"/>
    <w:rsid w:val="007E45FA"/>
    <w:rsid w:val="007E54AF"/>
    <w:rsid w:val="007E7010"/>
    <w:rsid w:val="007E7162"/>
    <w:rsid w:val="007E74C4"/>
    <w:rsid w:val="007F03B5"/>
    <w:rsid w:val="007F08EA"/>
    <w:rsid w:val="007F11F0"/>
    <w:rsid w:val="007F131E"/>
    <w:rsid w:val="007F19AD"/>
    <w:rsid w:val="007F2334"/>
    <w:rsid w:val="007F2A1F"/>
    <w:rsid w:val="007F3B19"/>
    <w:rsid w:val="007F4B49"/>
    <w:rsid w:val="007F5549"/>
    <w:rsid w:val="007F5A1D"/>
    <w:rsid w:val="0080083C"/>
    <w:rsid w:val="008009CF"/>
    <w:rsid w:val="00800C11"/>
    <w:rsid w:val="00801CB8"/>
    <w:rsid w:val="00802467"/>
    <w:rsid w:val="00802F21"/>
    <w:rsid w:val="00805937"/>
    <w:rsid w:val="0080648C"/>
    <w:rsid w:val="00810BA1"/>
    <w:rsid w:val="00810C06"/>
    <w:rsid w:val="008114BC"/>
    <w:rsid w:val="00811ECD"/>
    <w:rsid w:val="00814C45"/>
    <w:rsid w:val="00816CA0"/>
    <w:rsid w:val="00824454"/>
    <w:rsid w:val="00824BDC"/>
    <w:rsid w:val="00827FCE"/>
    <w:rsid w:val="00830D0C"/>
    <w:rsid w:val="00832DF2"/>
    <w:rsid w:val="0083322D"/>
    <w:rsid w:val="0083622E"/>
    <w:rsid w:val="00837FDC"/>
    <w:rsid w:val="008404EE"/>
    <w:rsid w:val="00841545"/>
    <w:rsid w:val="008429C2"/>
    <w:rsid w:val="00842F06"/>
    <w:rsid w:val="00845B49"/>
    <w:rsid w:val="00850B09"/>
    <w:rsid w:val="00850B41"/>
    <w:rsid w:val="008510FF"/>
    <w:rsid w:val="00851A2A"/>
    <w:rsid w:val="008528C4"/>
    <w:rsid w:val="008545EF"/>
    <w:rsid w:val="0085507E"/>
    <w:rsid w:val="008556A7"/>
    <w:rsid w:val="00855BC2"/>
    <w:rsid w:val="008579BA"/>
    <w:rsid w:val="00862BBB"/>
    <w:rsid w:val="00863A22"/>
    <w:rsid w:val="00865661"/>
    <w:rsid w:val="00865DBB"/>
    <w:rsid w:val="008705DE"/>
    <w:rsid w:val="00870DFD"/>
    <w:rsid w:val="00871203"/>
    <w:rsid w:val="008728C3"/>
    <w:rsid w:val="00874FAD"/>
    <w:rsid w:val="008767A5"/>
    <w:rsid w:val="00881B47"/>
    <w:rsid w:val="00881EEF"/>
    <w:rsid w:val="0088231C"/>
    <w:rsid w:val="00882500"/>
    <w:rsid w:val="008847E5"/>
    <w:rsid w:val="00885597"/>
    <w:rsid w:val="00886485"/>
    <w:rsid w:val="00886601"/>
    <w:rsid w:val="00886E11"/>
    <w:rsid w:val="00886E14"/>
    <w:rsid w:val="00887FDF"/>
    <w:rsid w:val="00891146"/>
    <w:rsid w:val="00891221"/>
    <w:rsid w:val="00893E6D"/>
    <w:rsid w:val="00893F22"/>
    <w:rsid w:val="00894087"/>
    <w:rsid w:val="008947EA"/>
    <w:rsid w:val="00896828"/>
    <w:rsid w:val="00897C1A"/>
    <w:rsid w:val="008A0D3B"/>
    <w:rsid w:val="008A1132"/>
    <w:rsid w:val="008A160B"/>
    <w:rsid w:val="008A22E6"/>
    <w:rsid w:val="008A2559"/>
    <w:rsid w:val="008A3778"/>
    <w:rsid w:val="008A3F0E"/>
    <w:rsid w:val="008A4443"/>
    <w:rsid w:val="008A50C1"/>
    <w:rsid w:val="008A50EA"/>
    <w:rsid w:val="008A5F6C"/>
    <w:rsid w:val="008A7193"/>
    <w:rsid w:val="008A7988"/>
    <w:rsid w:val="008B2C08"/>
    <w:rsid w:val="008B2DA6"/>
    <w:rsid w:val="008B3139"/>
    <w:rsid w:val="008B4FF9"/>
    <w:rsid w:val="008B52FB"/>
    <w:rsid w:val="008B5746"/>
    <w:rsid w:val="008C0F6B"/>
    <w:rsid w:val="008C0F93"/>
    <w:rsid w:val="008C29ED"/>
    <w:rsid w:val="008C2C46"/>
    <w:rsid w:val="008C3CAC"/>
    <w:rsid w:val="008C73E0"/>
    <w:rsid w:val="008C76C5"/>
    <w:rsid w:val="008C7C23"/>
    <w:rsid w:val="008D0423"/>
    <w:rsid w:val="008D1B7B"/>
    <w:rsid w:val="008D2A40"/>
    <w:rsid w:val="008D4B36"/>
    <w:rsid w:val="008D7661"/>
    <w:rsid w:val="008E0B86"/>
    <w:rsid w:val="008E19E8"/>
    <w:rsid w:val="008E1E7A"/>
    <w:rsid w:val="008E1EC2"/>
    <w:rsid w:val="008E20F3"/>
    <w:rsid w:val="008E30BD"/>
    <w:rsid w:val="008E3891"/>
    <w:rsid w:val="008E56B5"/>
    <w:rsid w:val="008E5D4F"/>
    <w:rsid w:val="008E6FF2"/>
    <w:rsid w:val="008E79AD"/>
    <w:rsid w:val="008F224E"/>
    <w:rsid w:val="008F25FF"/>
    <w:rsid w:val="008F38D7"/>
    <w:rsid w:val="008F6868"/>
    <w:rsid w:val="008F7FE3"/>
    <w:rsid w:val="009004FD"/>
    <w:rsid w:val="00900CCD"/>
    <w:rsid w:val="00900DAE"/>
    <w:rsid w:val="0090277A"/>
    <w:rsid w:val="00904963"/>
    <w:rsid w:val="00905CB2"/>
    <w:rsid w:val="00905D99"/>
    <w:rsid w:val="0090720F"/>
    <w:rsid w:val="009074D5"/>
    <w:rsid w:val="009079C5"/>
    <w:rsid w:val="009100AF"/>
    <w:rsid w:val="009118FE"/>
    <w:rsid w:val="00912E50"/>
    <w:rsid w:val="0091336C"/>
    <w:rsid w:val="00914F17"/>
    <w:rsid w:val="009154B9"/>
    <w:rsid w:val="0091554A"/>
    <w:rsid w:val="00915A52"/>
    <w:rsid w:val="00916615"/>
    <w:rsid w:val="00916671"/>
    <w:rsid w:val="009166F5"/>
    <w:rsid w:val="0091729F"/>
    <w:rsid w:val="00920016"/>
    <w:rsid w:val="00920DCF"/>
    <w:rsid w:val="009214AC"/>
    <w:rsid w:val="00921DA1"/>
    <w:rsid w:val="009229CD"/>
    <w:rsid w:val="00924E1B"/>
    <w:rsid w:val="0092512F"/>
    <w:rsid w:val="0092701A"/>
    <w:rsid w:val="00927D3A"/>
    <w:rsid w:val="00930F36"/>
    <w:rsid w:val="00931437"/>
    <w:rsid w:val="0093157F"/>
    <w:rsid w:val="00937CBE"/>
    <w:rsid w:val="00942453"/>
    <w:rsid w:val="0094259B"/>
    <w:rsid w:val="00942C50"/>
    <w:rsid w:val="00943C37"/>
    <w:rsid w:val="00944A4F"/>
    <w:rsid w:val="009454EF"/>
    <w:rsid w:val="0094557B"/>
    <w:rsid w:val="00945F11"/>
    <w:rsid w:val="00946696"/>
    <w:rsid w:val="009506CE"/>
    <w:rsid w:val="009521DA"/>
    <w:rsid w:val="00952735"/>
    <w:rsid w:val="009535FA"/>
    <w:rsid w:val="00954744"/>
    <w:rsid w:val="0095514C"/>
    <w:rsid w:val="00955527"/>
    <w:rsid w:val="00957307"/>
    <w:rsid w:val="009576EE"/>
    <w:rsid w:val="00957F5A"/>
    <w:rsid w:val="009602C8"/>
    <w:rsid w:val="009613FA"/>
    <w:rsid w:val="009615AA"/>
    <w:rsid w:val="00961749"/>
    <w:rsid w:val="00962DC8"/>
    <w:rsid w:val="00965DD4"/>
    <w:rsid w:val="00966B9C"/>
    <w:rsid w:val="0097332F"/>
    <w:rsid w:val="009738E3"/>
    <w:rsid w:val="00973AFF"/>
    <w:rsid w:val="00974BC7"/>
    <w:rsid w:val="00974D88"/>
    <w:rsid w:val="00975420"/>
    <w:rsid w:val="009758FA"/>
    <w:rsid w:val="00977523"/>
    <w:rsid w:val="00977EA0"/>
    <w:rsid w:val="009807FF"/>
    <w:rsid w:val="0098147B"/>
    <w:rsid w:val="00981A49"/>
    <w:rsid w:val="00983C75"/>
    <w:rsid w:val="00985967"/>
    <w:rsid w:val="00985FFC"/>
    <w:rsid w:val="009865FF"/>
    <w:rsid w:val="00986BB7"/>
    <w:rsid w:val="00986EBA"/>
    <w:rsid w:val="00987B23"/>
    <w:rsid w:val="00990943"/>
    <w:rsid w:val="009933CF"/>
    <w:rsid w:val="00993BB4"/>
    <w:rsid w:val="00994735"/>
    <w:rsid w:val="00996B5A"/>
    <w:rsid w:val="00996D7B"/>
    <w:rsid w:val="00996DB5"/>
    <w:rsid w:val="009A13CB"/>
    <w:rsid w:val="009A1AE7"/>
    <w:rsid w:val="009A4513"/>
    <w:rsid w:val="009B0925"/>
    <w:rsid w:val="009B0D99"/>
    <w:rsid w:val="009B0FD6"/>
    <w:rsid w:val="009B112B"/>
    <w:rsid w:val="009B7182"/>
    <w:rsid w:val="009C0106"/>
    <w:rsid w:val="009C0945"/>
    <w:rsid w:val="009C44AE"/>
    <w:rsid w:val="009C5CF5"/>
    <w:rsid w:val="009D13A1"/>
    <w:rsid w:val="009D276E"/>
    <w:rsid w:val="009D3DDE"/>
    <w:rsid w:val="009E0A14"/>
    <w:rsid w:val="009E13AB"/>
    <w:rsid w:val="009E1D59"/>
    <w:rsid w:val="009E24BE"/>
    <w:rsid w:val="009E2F63"/>
    <w:rsid w:val="009E588D"/>
    <w:rsid w:val="009E60CD"/>
    <w:rsid w:val="009E6DE2"/>
    <w:rsid w:val="009E6F20"/>
    <w:rsid w:val="009F51CF"/>
    <w:rsid w:val="009F6F9A"/>
    <w:rsid w:val="009F7F88"/>
    <w:rsid w:val="00A0475A"/>
    <w:rsid w:val="00A0551A"/>
    <w:rsid w:val="00A059D8"/>
    <w:rsid w:val="00A11126"/>
    <w:rsid w:val="00A113C5"/>
    <w:rsid w:val="00A130FE"/>
    <w:rsid w:val="00A143D0"/>
    <w:rsid w:val="00A14520"/>
    <w:rsid w:val="00A17388"/>
    <w:rsid w:val="00A17EE0"/>
    <w:rsid w:val="00A21B97"/>
    <w:rsid w:val="00A24F94"/>
    <w:rsid w:val="00A25B35"/>
    <w:rsid w:val="00A2669B"/>
    <w:rsid w:val="00A3234F"/>
    <w:rsid w:val="00A3570C"/>
    <w:rsid w:val="00A40C19"/>
    <w:rsid w:val="00A42026"/>
    <w:rsid w:val="00A432DE"/>
    <w:rsid w:val="00A43488"/>
    <w:rsid w:val="00A50611"/>
    <w:rsid w:val="00A5067B"/>
    <w:rsid w:val="00A50EBD"/>
    <w:rsid w:val="00A50F7D"/>
    <w:rsid w:val="00A512A8"/>
    <w:rsid w:val="00A55225"/>
    <w:rsid w:val="00A55810"/>
    <w:rsid w:val="00A560B2"/>
    <w:rsid w:val="00A60D41"/>
    <w:rsid w:val="00A61F30"/>
    <w:rsid w:val="00A64076"/>
    <w:rsid w:val="00A66842"/>
    <w:rsid w:val="00A73C9A"/>
    <w:rsid w:val="00A74924"/>
    <w:rsid w:val="00A74AE4"/>
    <w:rsid w:val="00A75C04"/>
    <w:rsid w:val="00A80032"/>
    <w:rsid w:val="00A807F7"/>
    <w:rsid w:val="00A81480"/>
    <w:rsid w:val="00A8157E"/>
    <w:rsid w:val="00A81EF6"/>
    <w:rsid w:val="00A826F5"/>
    <w:rsid w:val="00A82CA1"/>
    <w:rsid w:val="00A83018"/>
    <w:rsid w:val="00A831F4"/>
    <w:rsid w:val="00A8630A"/>
    <w:rsid w:val="00A86C85"/>
    <w:rsid w:val="00A871D2"/>
    <w:rsid w:val="00A90E04"/>
    <w:rsid w:val="00A9192B"/>
    <w:rsid w:val="00A923A9"/>
    <w:rsid w:val="00A92575"/>
    <w:rsid w:val="00A93565"/>
    <w:rsid w:val="00A973DE"/>
    <w:rsid w:val="00A97AFF"/>
    <w:rsid w:val="00AA0F42"/>
    <w:rsid w:val="00AA19BE"/>
    <w:rsid w:val="00AA49B9"/>
    <w:rsid w:val="00AA5C8E"/>
    <w:rsid w:val="00AA5D1F"/>
    <w:rsid w:val="00AA62D5"/>
    <w:rsid w:val="00AA6687"/>
    <w:rsid w:val="00AA7301"/>
    <w:rsid w:val="00AA7EE2"/>
    <w:rsid w:val="00AB085E"/>
    <w:rsid w:val="00AB43BD"/>
    <w:rsid w:val="00AC0732"/>
    <w:rsid w:val="00AC07ED"/>
    <w:rsid w:val="00AC435A"/>
    <w:rsid w:val="00AC483E"/>
    <w:rsid w:val="00AC4F16"/>
    <w:rsid w:val="00AC6593"/>
    <w:rsid w:val="00AC66F0"/>
    <w:rsid w:val="00AC7039"/>
    <w:rsid w:val="00AD0BEA"/>
    <w:rsid w:val="00AD297E"/>
    <w:rsid w:val="00AD3865"/>
    <w:rsid w:val="00AD4BB5"/>
    <w:rsid w:val="00AD60D1"/>
    <w:rsid w:val="00AD66DA"/>
    <w:rsid w:val="00AD7718"/>
    <w:rsid w:val="00AE02D4"/>
    <w:rsid w:val="00AE2CCC"/>
    <w:rsid w:val="00AE3486"/>
    <w:rsid w:val="00AE3D33"/>
    <w:rsid w:val="00AE428E"/>
    <w:rsid w:val="00AE4345"/>
    <w:rsid w:val="00AE6BCB"/>
    <w:rsid w:val="00AE76C8"/>
    <w:rsid w:val="00AF0B59"/>
    <w:rsid w:val="00AF4B8A"/>
    <w:rsid w:val="00AF60DB"/>
    <w:rsid w:val="00AF6890"/>
    <w:rsid w:val="00AF68A8"/>
    <w:rsid w:val="00AF6DF2"/>
    <w:rsid w:val="00B00D52"/>
    <w:rsid w:val="00B01115"/>
    <w:rsid w:val="00B0210D"/>
    <w:rsid w:val="00B02E8B"/>
    <w:rsid w:val="00B034B9"/>
    <w:rsid w:val="00B068B0"/>
    <w:rsid w:val="00B0793E"/>
    <w:rsid w:val="00B12599"/>
    <w:rsid w:val="00B14051"/>
    <w:rsid w:val="00B158C4"/>
    <w:rsid w:val="00B1717E"/>
    <w:rsid w:val="00B21E00"/>
    <w:rsid w:val="00B23F22"/>
    <w:rsid w:val="00B2609D"/>
    <w:rsid w:val="00B301BC"/>
    <w:rsid w:val="00B33CD0"/>
    <w:rsid w:val="00B33DC4"/>
    <w:rsid w:val="00B35626"/>
    <w:rsid w:val="00B37984"/>
    <w:rsid w:val="00B4184D"/>
    <w:rsid w:val="00B425EE"/>
    <w:rsid w:val="00B43A40"/>
    <w:rsid w:val="00B4411A"/>
    <w:rsid w:val="00B44856"/>
    <w:rsid w:val="00B45A6B"/>
    <w:rsid w:val="00B46CF6"/>
    <w:rsid w:val="00B47177"/>
    <w:rsid w:val="00B47A4A"/>
    <w:rsid w:val="00B52D6B"/>
    <w:rsid w:val="00B536CD"/>
    <w:rsid w:val="00B539FB"/>
    <w:rsid w:val="00B55C36"/>
    <w:rsid w:val="00B565E0"/>
    <w:rsid w:val="00B5788C"/>
    <w:rsid w:val="00B578D3"/>
    <w:rsid w:val="00B6151B"/>
    <w:rsid w:val="00B65A95"/>
    <w:rsid w:val="00B6648F"/>
    <w:rsid w:val="00B67C05"/>
    <w:rsid w:val="00B67E77"/>
    <w:rsid w:val="00B71025"/>
    <w:rsid w:val="00B712C7"/>
    <w:rsid w:val="00B717CA"/>
    <w:rsid w:val="00B71A02"/>
    <w:rsid w:val="00B7204B"/>
    <w:rsid w:val="00B73B62"/>
    <w:rsid w:val="00B74465"/>
    <w:rsid w:val="00B747B1"/>
    <w:rsid w:val="00B755DB"/>
    <w:rsid w:val="00B7671F"/>
    <w:rsid w:val="00B82B39"/>
    <w:rsid w:val="00B82F20"/>
    <w:rsid w:val="00B830BB"/>
    <w:rsid w:val="00B838C3"/>
    <w:rsid w:val="00B86205"/>
    <w:rsid w:val="00B905E0"/>
    <w:rsid w:val="00B909B1"/>
    <w:rsid w:val="00B91FA9"/>
    <w:rsid w:val="00B933D2"/>
    <w:rsid w:val="00B93875"/>
    <w:rsid w:val="00B94FD2"/>
    <w:rsid w:val="00B95524"/>
    <w:rsid w:val="00B9700F"/>
    <w:rsid w:val="00BA173F"/>
    <w:rsid w:val="00BA3B83"/>
    <w:rsid w:val="00BA3F8C"/>
    <w:rsid w:val="00BA5A56"/>
    <w:rsid w:val="00BA61CD"/>
    <w:rsid w:val="00BA74CF"/>
    <w:rsid w:val="00BA7672"/>
    <w:rsid w:val="00BB068B"/>
    <w:rsid w:val="00BB0884"/>
    <w:rsid w:val="00BB337B"/>
    <w:rsid w:val="00BB3DB1"/>
    <w:rsid w:val="00BB5210"/>
    <w:rsid w:val="00BB6714"/>
    <w:rsid w:val="00BB7014"/>
    <w:rsid w:val="00BB7911"/>
    <w:rsid w:val="00BC1D91"/>
    <w:rsid w:val="00BC2614"/>
    <w:rsid w:val="00BC3572"/>
    <w:rsid w:val="00BC3936"/>
    <w:rsid w:val="00BC3E3E"/>
    <w:rsid w:val="00BC425B"/>
    <w:rsid w:val="00BC525B"/>
    <w:rsid w:val="00BC6C76"/>
    <w:rsid w:val="00BC792D"/>
    <w:rsid w:val="00BC7B03"/>
    <w:rsid w:val="00BC7EB5"/>
    <w:rsid w:val="00BD5169"/>
    <w:rsid w:val="00BD6063"/>
    <w:rsid w:val="00BD6BA0"/>
    <w:rsid w:val="00BE23CF"/>
    <w:rsid w:val="00BE6D78"/>
    <w:rsid w:val="00BE6EE5"/>
    <w:rsid w:val="00BF069B"/>
    <w:rsid w:val="00BF0B54"/>
    <w:rsid w:val="00BF49E3"/>
    <w:rsid w:val="00C00D0F"/>
    <w:rsid w:val="00C03039"/>
    <w:rsid w:val="00C03239"/>
    <w:rsid w:val="00C0566C"/>
    <w:rsid w:val="00C0731D"/>
    <w:rsid w:val="00C1381B"/>
    <w:rsid w:val="00C14B80"/>
    <w:rsid w:val="00C156A0"/>
    <w:rsid w:val="00C15B6B"/>
    <w:rsid w:val="00C177AF"/>
    <w:rsid w:val="00C17D5E"/>
    <w:rsid w:val="00C203EC"/>
    <w:rsid w:val="00C2152F"/>
    <w:rsid w:val="00C21E48"/>
    <w:rsid w:val="00C22255"/>
    <w:rsid w:val="00C224D2"/>
    <w:rsid w:val="00C226E6"/>
    <w:rsid w:val="00C229F2"/>
    <w:rsid w:val="00C249B3"/>
    <w:rsid w:val="00C277A2"/>
    <w:rsid w:val="00C311E2"/>
    <w:rsid w:val="00C32810"/>
    <w:rsid w:val="00C35C82"/>
    <w:rsid w:val="00C37226"/>
    <w:rsid w:val="00C373F3"/>
    <w:rsid w:val="00C42B3B"/>
    <w:rsid w:val="00C447BA"/>
    <w:rsid w:val="00C44872"/>
    <w:rsid w:val="00C4697B"/>
    <w:rsid w:val="00C47C37"/>
    <w:rsid w:val="00C51B20"/>
    <w:rsid w:val="00C5426C"/>
    <w:rsid w:val="00C547D0"/>
    <w:rsid w:val="00C55E1A"/>
    <w:rsid w:val="00C565FE"/>
    <w:rsid w:val="00C56CBC"/>
    <w:rsid w:val="00C57783"/>
    <w:rsid w:val="00C60EC7"/>
    <w:rsid w:val="00C61CC8"/>
    <w:rsid w:val="00C6221A"/>
    <w:rsid w:val="00C62A6E"/>
    <w:rsid w:val="00C66482"/>
    <w:rsid w:val="00C6728F"/>
    <w:rsid w:val="00C71752"/>
    <w:rsid w:val="00C72D2B"/>
    <w:rsid w:val="00C7404F"/>
    <w:rsid w:val="00C74F8E"/>
    <w:rsid w:val="00C7606C"/>
    <w:rsid w:val="00C76270"/>
    <w:rsid w:val="00C76D0D"/>
    <w:rsid w:val="00C823B1"/>
    <w:rsid w:val="00C826C9"/>
    <w:rsid w:val="00C835C7"/>
    <w:rsid w:val="00C844E9"/>
    <w:rsid w:val="00C84C24"/>
    <w:rsid w:val="00C91878"/>
    <w:rsid w:val="00C93066"/>
    <w:rsid w:val="00C943FD"/>
    <w:rsid w:val="00C95EDA"/>
    <w:rsid w:val="00CA1194"/>
    <w:rsid w:val="00CA3236"/>
    <w:rsid w:val="00CA503F"/>
    <w:rsid w:val="00CA5963"/>
    <w:rsid w:val="00CB0743"/>
    <w:rsid w:val="00CB1374"/>
    <w:rsid w:val="00CB2010"/>
    <w:rsid w:val="00CB26CE"/>
    <w:rsid w:val="00CB2A47"/>
    <w:rsid w:val="00CB5653"/>
    <w:rsid w:val="00CB57AC"/>
    <w:rsid w:val="00CB5AEB"/>
    <w:rsid w:val="00CB6055"/>
    <w:rsid w:val="00CB6958"/>
    <w:rsid w:val="00CB7B98"/>
    <w:rsid w:val="00CB7CF0"/>
    <w:rsid w:val="00CC02B8"/>
    <w:rsid w:val="00CC2C2F"/>
    <w:rsid w:val="00CC570D"/>
    <w:rsid w:val="00CC7BEC"/>
    <w:rsid w:val="00CD2044"/>
    <w:rsid w:val="00CD25D7"/>
    <w:rsid w:val="00CD2D33"/>
    <w:rsid w:val="00CD2EDA"/>
    <w:rsid w:val="00CD32CF"/>
    <w:rsid w:val="00CD3F13"/>
    <w:rsid w:val="00CD53F7"/>
    <w:rsid w:val="00CD5524"/>
    <w:rsid w:val="00CD57D6"/>
    <w:rsid w:val="00CD5920"/>
    <w:rsid w:val="00CD6DEE"/>
    <w:rsid w:val="00CE0542"/>
    <w:rsid w:val="00CE0B5A"/>
    <w:rsid w:val="00CE1E94"/>
    <w:rsid w:val="00CE26D5"/>
    <w:rsid w:val="00CE342F"/>
    <w:rsid w:val="00CE4AD3"/>
    <w:rsid w:val="00CF1225"/>
    <w:rsid w:val="00CF3A77"/>
    <w:rsid w:val="00CF4662"/>
    <w:rsid w:val="00CF4AAF"/>
    <w:rsid w:val="00CF4BAC"/>
    <w:rsid w:val="00CF5CC7"/>
    <w:rsid w:val="00CF60BB"/>
    <w:rsid w:val="00CF6847"/>
    <w:rsid w:val="00CF6B80"/>
    <w:rsid w:val="00CF6E6F"/>
    <w:rsid w:val="00CF752D"/>
    <w:rsid w:val="00CF7F46"/>
    <w:rsid w:val="00D0155D"/>
    <w:rsid w:val="00D0160F"/>
    <w:rsid w:val="00D018A2"/>
    <w:rsid w:val="00D03A54"/>
    <w:rsid w:val="00D04FB6"/>
    <w:rsid w:val="00D04FBC"/>
    <w:rsid w:val="00D059C2"/>
    <w:rsid w:val="00D06835"/>
    <w:rsid w:val="00D1061A"/>
    <w:rsid w:val="00D107D9"/>
    <w:rsid w:val="00D10A83"/>
    <w:rsid w:val="00D110C1"/>
    <w:rsid w:val="00D11F4E"/>
    <w:rsid w:val="00D12C19"/>
    <w:rsid w:val="00D1414E"/>
    <w:rsid w:val="00D14517"/>
    <w:rsid w:val="00D149CD"/>
    <w:rsid w:val="00D17685"/>
    <w:rsid w:val="00D20C95"/>
    <w:rsid w:val="00D21ED6"/>
    <w:rsid w:val="00D2287A"/>
    <w:rsid w:val="00D22885"/>
    <w:rsid w:val="00D23C34"/>
    <w:rsid w:val="00D24444"/>
    <w:rsid w:val="00D25B85"/>
    <w:rsid w:val="00D261E9"/>
    <w:rsid w:val="00D3020C"/>
    <w:rsid w:val="00D306AE"/>
    <w:rsid w:val="00D30D73"/>
    <w:rsid w:val="00D31146"/>
    <w:rsid w:val="00D31287"/>
    <w:rsid w:val="00D33793"/>
    <w:rsid w:val="00D35AFE"/>
    <w:rsid w:val="00D35CAA"/>
    <w:rsid w:val="00D43F70"/>
    <w:rsid w:val="00D4423B"/>
    <w:rsid w:val="00D4474A"/>
    <w:rsid w:val="00D46DEE"/>
    <w:rsid w:val="00D46F74"/>
    <w:rsid w:val="00D47D57"/>
    <w:rsid w:val="00D47F48"/>
    <w:rsid w:val="00D52C88"/>
    <w:rsid w:val="00D55462"/>
    <w:rsid w:val="00D56098"/>
    <w:rsid w:val="00D5724A"/>
    <w:rsid w:val="00D6209C"/>
    <w:rsid w:val="00D62245"/>
    <w:rsid w:val="00D63080"/>
    <w:rsid w:val="00D64FE6"/>
    <w:rsid w:val="00D7039F"/>
    <w:rsid w:val="00D7073E"/>
    <w:rsid w:val="00D71AEE"/>
    <w:rsid w:val="00D720FF"/>
    <w:rsid w:val="00D72A45"/>
    <w:rsid w:val="00D82521"/>
    <w:rsid w:val="00D86DED"/>
    <w:rsid w:val="00D874DD"/>
    <w:rsid w:val="00D878A7"/>
    <w:rsid w:val="00D87B1E"/>
    <w:rsid w:val="00D90C5D"/>
    <w:rsid w:val="00D90E39"/>
    <w:rsid w:val="00D91026"/>
    <w:rsid w:val="00D91F79"/>
    <w:rsid w:val="00D944D0"/>
    <w:rsid w:val="00D94B55"/>
    <w:rsid w:val="00D957F0"/>
    <w:rsid w:val="00D96AD3"/>
    <w:rsid w:val="00DA261F"/>
    <w:rsid w:val="00DA2A36"/>
    <w:rsid w:val="00DA2B86"/>
    <w:rsid w:val="00DA3B6F"/>
    <w:rsid w:val="00DA4C37"/>
    <w:rsid w:val="00DA62E1"/>
    <w:rsid w:val="00DB0292"/>
    <w:rsid w:val="00DB6A29"/>
    <w:rsid w:val="00DC045B"/>
    <w:rsid w:val="00DC0CFD"/>
    <w:rsid w:val="00DC1094"/>
    <w:rsid w:val="00DC10F2"/>
    <w:rsid w:val="00DC32E5"/>
    <w:rsid w:val="00DC536A"/>
    <w:rsid w:val="00DC5A41"/>
    <w:rsid w:val="00DC6632"/>
    <w:rsid w:val="00DC6C04"/>
    <w:rsid w:val="00DC6C20"/>
    <w:rsid w:val="00DC7195"/>
    <w:rsid w:val="00DD0565"/>
    <w:rsid w:val="00DD064E"/>
    <w:rsid w:val="00DD0944"/>
    <w:rsid w:val="00DD09D0"/>
    <w:rsid w:val="00DD1170"/>
    <w:rsid w:val="00DD20F6"/>
    <w:rsid w:val="00DD2C94"/>
    <w:rsid w:val="00DD5172"/>
    <w:rsid w:val="00DD5ED1"/>
    <w:rsid w:val="00DE0018"/>
    <w:rsid w:val="00DE1078"/>
    <w:rsid w:val="00DE196F"/>
    <w:rsid w:val="00DE1C6E"/>
    <w:rsid w:val="00DE21E6"/>
    <w:rsid w:val="00DE3134"/>
    <w:rsid w:val="00DE3805"/>
    <w:rsid w:val="00DE3E3B"/>
    <w:rsid w:val="00DE59EF"/>
    <w:rsid w:val="00DE689D"/>
    <w:rsid w:val="00DE7BA9"/>
    <w:rsid w:val="00DF0F8E"/>
    <w:rsid w:val="00DF2D41"/>
    <w:rsid w:val="00DF48CB"/>
    <w:rsid w:val="00DF5CF1"/>
    <w:rsid w:val="00DF6BDF"/>
    <w:rsid w:val="00E01CE8"/>
    <w:rsid w:val="00E02BE8"/>
    <w:rsid w:val="00E04ACB"/>
    <w:rsid w:val="00E04CD9"/>
    <w:rsid w:val="00E05331"/>
    <w:rsid w:val="00E0679F"/>
    <w:rsid w:val="00E067FD"/>
    <w:rsid w:val="00E11547"/>
    <w:rsid w:val="00E12951"/>
    <w:rsid w:val="00E144BA"/>
    <w:rsid w:val="00E150A4"/>
    <w:rsid w:val="00E210F9"/>
    <w:rsid w:val="00E212D5"/>
    <w:rsid w:val="00E229B2"/>
    <w:rsid w:val="00E30510"/>
    <w:rsid w:val="00E306A1"/>
    <w:rsid w:val="00E31CDF"/>
    <w:rsid w:val="00E32BBA"/>
    <w:rsid w:val="00E32EDC"/>
    <w:rsid w:val="00E32FC8"/>
    <w:rsid w:val="00E33430"/>
    <w:rsid w:val="00E341C6"/>
    <w:rsid w:val="00E36025"/>
    <w:rsid w:val="00E3787B"/>
    <w:rsid w:val="00E417E3"/>
    <w:rsid w:val="00E42BE4"/>
    <w:rsid w:val="00E42CB4"/>
    <w:rsid w:val="00E4382C"/>
    <w:rsid w:val="00E43A17"/>
    <w:rsid w:val="00E447D1"/>
    <w:rsid w:val="00E46887"/>
    <w:rsid w:val="00E51F95"/>
    <w:rsid w:val="00E5222E"/>
    <w:rsid w:val="00E52FF4"/>
    <w:rsid w:val="00E53267"/>
    <w:rsid w:val="00E53C7B"/>
    <w:rsid w:val="00E61103"/>
    <w:rsid w:val="00E62C8F"/>
    <w:rsid w:val="00E651D4"/>
    <w:rsid w:val="00E656F5"/>
    <w:rsid w:val="00E65A2D"/>
    <w:rsid w:val="00E66F3D"/>
    <w:rsid w:val="00E679BC"/>
    <w:rsid w:val="00E679D8"/>
    <w:rsid w:val="00E701A4"/>
    <w:rsid w:val="00E716F8"/>
    <w:rsid w:val="00E71F29"/>
    <w:rsid w:val="00E725AF"/>
    <w:rsid w:val="00E72C2A"/>
    <w:rsid w:val="00E73FB6"/>
    <w:rsid w:val="00E76ECB"/>
    <w:rsid w:val="00E7735E"/>
    <w:rsid w:val="00E80474"/>
    <w:rsid w:val="00E81263"/>
    <w:rsid w:val="00E8158B"/>
    <w:rsid w:val="00E8229E"/>
    <w:rsid w:val="00E83306"/>
    <w:rsid w:val="00E8535F"/>
    <w:rsid w:val="00E86722"/>
    <w:rsid w:val="00E86725"/>
    <w:rsid w:val="00E904D9"/>
    <w:rsid w:val="00E91783"/>
    <w:rsid w:val="00E927AD"/>
    <w:rsid w:val="00E92B57"/>
    <w:rsid w:val="00E9570F"/>
    <w:rsid w:val="00E9658B"/>
    <w:rsid w:val="00E97C9A"/>
    <w:rsid w:val="00EA0551"/>
    <w:rsid w:val="00EA1972"/>
    <w:rsid w:val="00EA2217"/>
    <w:rsid w:val="00EA4D41"/>
    <w:rsid w:val="00EA5B29"/>
    <w:rsid w:val="00EA7594"/>
    <w:rsid w:val="00EB025C"/>
    <w:rsid w:val="00EB1602"/>
    <w:rsid w:val="00EB19B4"/>
    <w:rsid w:val="00EB25F5"/>
    <w:rsid w:val="00EB2D33"/>
    <w:rsid w:val="00EB4F44"/>
    <w:rsid w:val="00EB58BC"/>
    <w:rsid w:val="00EB5CD7"/>
    <w:rsid w:val="00EB79DC"/>
    <w:rsid w:val="00EC3356"/>
    <w:rsid w:val="00EC339D"/>
    <w:rsid w:val="00EC3D4B"/>
    <w:rsid w:val="00EC4215"/>
    <w:rsid w:val="00EC741D"/>
    <w:rsid w:val="00ED13BC"/>
    <w:rsid w:val="00ED1A46"/>
    <w:rsid w:val="00ED23C6"/>
    <w:rsid w:val="00ED3165"/>
    <w:rsid w:val="00ED7646"/>
    <w:rsid w:val="00ED7773"/>
    <w:rsid w:val="00EE10A1"/>
    <w:rsid w:val="00EE1A1F"/>
    <w:rsid w:val="00EE27DE"/>
    <w:rsid w:val="00EE4B69"/>
    <w:rsid w:val="00EE5B1B"/>
    <w:rsid w:val="00EE6872"/>
    <w:rsid w:val="00EE6E83"/>
    <w:rsid w:val="00EE72DC"/>
    <w:rsid w:val="00EF0675"/>
    <w:rsid w:val="00EF0E59"/>
    <w:rsid w:val="00EF3B98"/>
    <w:rsid w:val="00EF4247"/>
    <w:rsid w:val="00EF649A"/>
    <w:rsid w:val="00F00170"/>
    <w:rsid w:val="00F00D5C"/>
    <w:rsid w:val="00F01DEA"/>
    <w:rsid w:val="00F01F5F"/>
    <w:rsid w:val="00F02434"/>
    <w:rsid w:val="00F03B61"/>
    <w:rsid w:val="00F048A9"/>
    <w:rsid w:val="00F0677C"/>
    <w:rsid w:val="00F0677F"/>
    <w:rsid w:val="00F069D3"/>
    <w:rsid w:val="00F10AF4"/>
    <w:rsid w:val="00F1174B"/>
    <w:rsid w:val="00F11A0E"/>
    <w:rsid w:val="00F11CD2"/>
    <w:rsid w:val="00F11F3D"/>
    <w:rsid w:val="00F124DF"/>
    <w:rsid w:val="00F12FFB"/>
    <w:rsid w:val="00F130A3"/>
    <w:rsid w:val="00F16362"/>
    <w:rsid w:val="00F16A88"/>
    <w:rsid w:val="00F17489"/>
    <w:rsid w:val="00F20408"/>
    <w:rsid w:val="00F2301A"/>
    <w:rsid w:val="00F27B1B"/>
    <w:rsid w:val="00F3026B"/>
    <w:rsid w:val="00F3065F"/>
    <w:rsid w:val="00F31C74"/>
    <w:rsid w:val="00F31ED6"/>
    <w:rsid w:val="00F345BD"/>
    <w:rsid w:val="00F3535E"/>
    <w:rsid w:val="00F357C2"/>
    <w:rsid w:val="00F37851"/>
    <w:rsid w:val="00F4011D"/>
    <w:rsid w:val="00F42805"/>
    <w:rsid w:val="00F47867"/>
    <w:rsid w:val="00F47900"/>
    <w:rsid w:val="00F47E75"/>
    <w:rsid w:val="00F50702"/>
    <w:rsid w:val="00F51190"/>
    <w:rsid w:val="00F5348E"/>
    <w:rsid w:val="00F54169"/>
    <w:rsid w:val="00F56839"/>
    <w:rsid w:val="00F60595"/>
    <w:rsid w:val="00F60625"/>
    <w:rsid w:val="00F607C8"/>
    <w:rsid w:val="00F6150C"/>
    <w:rsid w:val="00F61892"/>
    <w:rsid w:val="00F61D8F"/>
    <w:rsid w:val="00F63D33"/>
    <w:rsid w:val="00F641F4"/>
    <w:rsid w:val="00F64B2F"/>
    <w:rsid w:val="00F657F0"/>
    <w:rsid w:val="00F65FCA"/>
    <w:rsid w:val="00F70079"/>
    <w:rsid w:val="00F70290"/>
    <w:rsid w:val="00F71AB8"/>
    <w:rsid w:val="00F7256A"/>
    <w:rsid w:val="00F725EF"/>
    <w:rsid w:val="00F72B7F"/>
    <w:rsid w:val="00F731F3"/>
    <w:rsid w:val="00F74FFC"/>
    <w:rsid w:val="00F751C2"/>
    <w:rsid w:val="00F767C0"/>
    <w:rsid w:val="00F8257A"/>
    <w:rsid w:val="00F82709"/>
    <w:rsid w:val="00F82B81"/>
    <w:rsid w:val="00F83414"/>
    <w:rsid w:val="00F83712"/>
    <w:rsid w:val="00F86826"/>
    <w:rsid w:val="00F87614"/>
    <w:rsid w:val="00F911CB"/>
    <w:rsid w:val="00F9187C"/>
    <w:rsid w:val="00F92042"/>
    <w:rsid w:val="00F9264A"/>
    <w:rsid w:val="00F936C4"/>
    <w:rsid w:val="00F97065"/>
    <w:rsid w:val="00FA146D"/>
    <w:rsid w:val="00FA1FB4"/>
    <w:rsid w:val="00FA2776"/>
    <w:rsid w:val="00FA2BEC"/>
    <w:rsid w:val="00FA3FC1"/>
    <w:rsid w:val="00FA45C0"/>
    <w:rsid w:val="00FA5589"/>
    <w:rsid w:val="00FB057F"/>
    <w:rsid w:val="00FB0E26"/>
    <w:rsid w:val="00FB1047"/>
    <w:rsid w:val="00FB29E5"/>
    <w:rsid w:val="00FB513B"/>
    <w:rsid w:val="00FB69BA"/>
    <w:rsid w:val="00FB779C"/>
    <w:rsid w:val="00FC0AF4"/>
    <w:rsid w:val="00FC1723"/>
    <w:rsid w:val="00FC1A38"/>
    <w:rsid w:val="00FC1A5C"/>
    <w:rsid w:val="00FC3770"/>
    <w:rsid w:val="00FC3B84"/>
    <w:rsid w:val="00FC3BF1"/>
    <w:rsid w:val="00FC3FE2"/>
    <w:rsid w:val="00FC49CC"/>
    <w:rsid w:val="00FC4AD1"/>
    <w:rsid w:val="00FC60C1"/>
    <w:rsid w:val="00FC6852"/>
    <w:rsid w:val="00FC6ED1"/>
    <w:rsid w:val="00FC7AA0"/>
    <w:rsid w:val="00FD19A6"/>
    <w:rsid w:val="00FD216B"/>
    <w:rsid w:val="00FD30B4"/>
    <w:rsid w:val="00FD3F99"/>
    <w:rsid w:val="00FD4358"/>
    <w:rsid w:val="00FD54F1"/>
    <w:rsid w:val="00FD574A"/>
    <w:rsid w:val="00FD6AA6"/>
    <w:rsid w:val="00FE11E6"/>
    <w:rsid w:val="00FE21AF"/>
    <w:rsid w:val="00FE21D3"/>
    <w:rsid w:val="00FE24C2"/>
    <w:rsid w:val="00FE26D8"/>
    <w:rsid w:val="00FE319C"/>
    <w:rsid w:val="00FE4758"/>
    <w:rsid w:val="00FE4E1B"/>
    <w:rsid w:val="00FE61B4"/>
    <w:rsid w:val="00FE6BF6"/>
    <w:rsid w:val="00FF0973"/>
    <w:rsid w:val="00FF25BB"/>
    <w:rsid w:val="00FF30D9"/>
    <w:rsid w:val="00FF5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059D66CB-B710-4D32-86E2-80264672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 w:type="paragraph" w:styleId="Footer">
    <w:name w:val="footer"/>
    <w:basedOn w:val="Normal"/>
    <w:link w:val="FooterChar"/>
    <w:uiPriority w:val="99"/>
    <w:unhideWhenUsed/>
    <w:rsid w:val="00655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8C1"/>
  </w:style>
  <w:style w:type="paragraph" w:styleId="Revision">
    <w:name w:val="Revision"/>
    <w:hidden/>
    <w:uiPriority w:val="99"/>
    <w:semiHidden/>
    <w:rsid w:val="00111341"/>
    <w:pPr>
      <w:spacing w:after="0" w:line="240" w:lineRule="auto"/>
    </w:pPr>
  </w:style>
  <w:style w:type="paragraph" w:styleId="NormalWeb">
    <w:name w:val="Normal (Web)"/>
    <w:basedOn w:val="Normal"/>
    <w:uiPriority w:val="99"/>
    <w:rsid w:val="00536A05"/>
    <w:pPr>
      <w:suppressAutoHyphens/>
      <w:spacing w:before="280" w:after="28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368457322">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728654143">
      <w:bodyDiv w:val="1"/>
      <w:marLeft w:val="0"/>
      <w:marRight w:val="0"/>
      <w:marTop w:val="0"/>
      <w:marBottom w:val="0"/>
      <w:divBdr>
        <w:top w:val="none" w:sz="0" w:space="0" w:color="auto"/>
        <w:left w:val="none" w:sz="0" w:space="0" w:color="auto"/>
        <w:bottom w:val="none" w:sz="0" w:space="0" w:color="auto"/>
        <w:right w:val="none" w:sz="0" w:space="0" w:color="auto"/>
      </w:divBdr>
    </w:div>
    <w:div w:id="833184740">
      <w:bodyDiv w:val="1"/>
      <w:marLeft w:val="0"/>
      <w:marRight w:val="0"/>
      <w:marTop w:val="0"/>
      <w:marBottom w:val="0"/>
      <w:divBdr>
        <w:top w:val="none" w:sz="0" w:space="0" w:color="auto"/>
        <w:left w:val="none" w:sz="0" w:space="0" w:color="auto"/>
        <w:bottom w:val="none" w:sz="0" w:space="0" w:color="auto"/>
        <w:right w:val="none" w:sz="0" w:space="0" w:color="auto"/>
      </w:divBdr>
    </w:div>
    <w:div w:id="836726530">
      <w:bodyDiv w:val="1"/>
      <w:marLeft w:val="0"/>
      <w:marRight w:val="0"/>
      <w:marTop w:val="0"/>
      <w:marBottom w:val="0"/>
      <w:divBdr>
        <w:top w:val="none" w:sz="0" w:space="0" w:color="auto"/>
        <w:left w:val="none" w:sz="0" w:space="0" w:color="auto"/>
        <w:bottom w:val="none" w:sz="0" w:space="0" w:color="auto"/>
        <w:right w:val="none" w:sz="0" w:space="0" w:color="auto"/>
      </w:divBdr>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1377003061">
      <w:bodyDiv w:val="1"/>
      <w:marLeft w:val="0"/>
      <w:marRight w:val="0"/>
      <w:marTop w:val="0"/>
      <w:marBottom w:val="0"/>
      <w:divBdr>
        <w:top w:val="none" w:sz="0" w:space="0" w:color="auto"/>
        <w:left w:val="none" w:sz="0" w:space="0" w:color="auto"/>
        <w:bottom w:val="none" w:sz="0" w:space="0" w:color="auto"/>
        <w:right w:val="none" w:sz="0" w:space="0" w:color="auto"/>
      </w:divBdr>
    </w:div>
    <w:div w:id="1673097845">
      <w:bodyDiv w:val="1"/>
      <w:marLeft w:val="0"/>
      <w:marRight w:val="0"/>
      <w:marTop w:val="0"/>
      <w:marBottom w:val="0"/>
      <w:divBdr>
        <w:top w:val="none" w:sz="0" w:space="0" w:color="auto"/>
        <w:left w:val="none" w:sz="0" w:space="0" w:color="auto"/>
        <w:bottom w:val="none" w:sz="0" w:space="0" w:color="auto"/>
        <w:right w:val="none" w:sz="0" w:space="0" w:color="auto"/>
      </w:divBdr>
    </w:div>
    <w:div w:id="1769156687">
      <w:bodyDiv w:val="1"/>
      <w:marLeft w:val="0"/>
      <w:marRight w:val="0"/>
      <w:marTop w:val="0"/>
      <w:marBottom w:val="0"/>
      <w:divBdr>
        <w:top w:val="none" w:sz="0" w:space="0" w:color="auto"/>
        <w:left w:val="none" w:sz="0" w:space="0" w:color="auto"/>
        <w:bottom w:val="none" w:sz="0" w:space="0" w:color="auto"/>
        <w:right w:val="none" w:sz="0" w:space="0" w:color="auto"/>
      </w:divBdr>
    </w:div>
    <w:div w:id="2108038989">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wa.co.nz/news-publications/media-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our-science/climate/publications/all/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climate/daily-climate-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DCF9-3E14-43F8-8180-D4C042CD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Griffiths</dc:creator>
  <cp:lastModifiedBy>Admin</cp:lastModifiedBy>
  <cp:revision>2</cp:revision>
  <cp:lastPrinted>2016-01-07T21:56:00Z</cp:lastPrinted>
  <dcterms:created xsi:type="dcterms:W3CDTF">2016-01-08T04:34:00Z</dcterms:created>
  <dcterms:modified xsi:type="dcterms:W3CDTF">2016-01-08T04:34:00Z</dcterms:modified>
</cp:coreProperties>
</file>