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A278" w14:textId="77777777" w:rsidR="005C4B8F" w:rsidRDefault="005C4B8F" w:rsidP="005C4B8F">
      <w:pPr>
        <w:spacing w:after="120"/>
        <w:jc w:val="both"/>
        <w:rPr>
          <w:b/>
          <w:lang w:val="en-NZ"/>
        </w:rPr>
      </w:pPr>
      <w:r>
        <w:rPr>
          <w:b/>
          <w:lang w:val="en-NZ"/>
        </w:rPr>
        <w:t>Media Statement</w:t>
      </w:r>
    </w:p>
    <w:p w14:paraId="0D65A971" w14:textId="77777777" w:rsidR="005C4B8F" w:rsidRDefault="005C4B8F" w:rsidP="005C4B8F">
      <w:pPr>
        <w:jc w:val="both"/>
        <w:rPr>
          <w:lang w:val="en-NZ"/>
        </w:rPr>
      </w:pPr>
      <w:r>
        <w:rPr>
          <w:lang w:val="en-NZ"/>
        </w:rPr>
        <w:t>Embargoed until 5am 1 October 2015</w:t>
      </w:r>
    </w:p>
    <w:p w14:paraId="10221158" w14:textId="77777777" w:rsidR="005C4B8F" w:rsidRDefault="005C4B8F" w:rsidP="005C4B8F">
      <w:pPr>
        <w:jc w:val="both"/>
        <w:rPr>
          <w:lang w:val="en-NZ"/>
        </w:rPr>
      </w:pPr>
    </w:p>
    <w:p w14:paraId="060026C7" w14:textId="77777777" w:rsidR="005C4B8F" w:rsidRDefault="005C4B8F" w:rsidP="005C4B8F">
      <w:pPr>
        <w:rPr>
          <w:b/>
          <w:u w:val="single"/>
          <w:lang w:val="en-NZ"/>
        </w:rPr>
      </w:pPr>
      <w:r>
        <w:rPr>
          <w:b/>
          <w:u w:val="single"/>
          <w:lang w:val="en-NZ"/>
        </w:rPr>
        <w:t>Young and old agree, New Zealand Superannuation alone won’t fund a comfortable retirement</w:t>
      </w:r>
    </w:p>
    <w:p w14:paraId="4EDC508C" w14:textId="77777777" w:rsidR="005C4B8F" w:rsidRDefault="005C4B8F" w:rsidP="005C4B8F">
      <w:pPr>
        <w:rPr>
          <w:lang w:val="en-NZ"/>
        </w:rPr>
      </w:pPr>
    </w:p>
    <w:p w14:paraId="750AE3CC" w14:textId="77777777" w:rsidR="005C4B8F" w:rsidRDefault="005C4B8F" w:rsidP="005C4B8F">
      <w:r>
        <w:rPr>
          <w:lang w:val="en-NZ"/>
        </w:rPr>
        <w:t xml:space="preserve">On this International Day of Older Persons we should celebrate what the generations share rather than what divides us and learn from each other says Financial Services Council CEO Peter Neilson.  </w:t>
      </w:r>
    </w:p>
    <w:p w14:paraId="3DD1FA40" w14:textId="77777777" w:rsidR="005C4B8F" w:rsidRDefault="005C4B8F" w:rsidP="005C4B8F"/>
    <w:p w14:paraId="3B7A4DE1" w14:textId="77777777" w:rsidR="005C4B8F" w:rsidRDefault="005C4B8F" w:rsidP="005C4B8F">
      <w:r>
        <w:t>The Financial Services Council has undertaken extensive polling on what a good retirement in New Zealand currently looks like and will look like in the future.  It will be releasing these findings over the next year.</w:t>
      </w:r>
    </w:p>
    <w:p w14:paraId="5E0A8867" w14:textId="77777777" w:rsidR="005C4B8F" w:rsidRDefault="005C4B8F" w:rsidP="005C4B8F">
      <w:r>
        <w:br/>
        <w:t>“The results show different generations agree much more than disagree on some important issues,” said Mr Neilson.</w:t>
      </w:r>
    </w:p>
    <w:p w14:paraId="551FC530" w14:textId="77777777" w:rsidR="005C4B8F" w:rsidRDefault="005C4B8F" w:rsidP="005C4B8F"/>
    <w:p w14:paraId="3EDCA040" w14:textId="77777777" w:rsidR="005C4B8F" w:rsidRDefault="005C4B8F" w:rsidP="005C4B8F">
      <w:r>
        <w:t>For example, some 65% of all New Zealanders over 18 believe New Zealand Superannuation alone is insufficient for a comfortable retirement.  For those already retired 78% say New Zealand Superannuation alone is insufficient for a comfortable retirement.  New Zealand Superannuation for a single person living alone is $374.53 a week after tax and for a couple where both partners qualify is $576.20 a week after tax.</w:t>
      </w:r>
    </w:p>
    <w:p w14:paraId="30FC7A9D" w14:textId="77777777" w:rsidR="005C4B8F" w:rsidRDefault="005C4B8F" w:rsidP="005C4B8F"/>
    <w:p w14:paraId="60F897D3" w14:textId="77777777" w:rsidR="005C4B8F" w:rsidRDefault="005C4B8F" w:rsidP="005C4B8F">
      <w:r>
        <w:t xml:space="preserve">“Older New Zealanders already living on NZ Super know you need to save if you are to achieve a comfortable retirement.  Most future retirees will have some KiwiSaver savings to fund a better retirement.  </w:t>
      </w:r>
    </w:p>
    <w:p w14:paraId="3BE55BBC" w14:textId="77777777" w:rsidR="005C4B8F" w:rsidRDefault="005C4B8F" w:rsidP="005C4B8F"/>
    <w:p w14:paraId="68FD0C38" w14:textId="77777777" w:rsidR="005C4B8F" w:rsidRDefault="005C4B8F" w:rsidP="005C4B8F">
      <w:r>
        <w:t>“Overseas research has revealed most retirees regret not having received more education and not having saved more for their retirement.  Younger New Zealanders should take the time to ring your grandparents today,” concluded Mr Neilson.</w:t>
      </w:r>
    </w:p>
    <w:p w14:paraId="4ECAA0C7" w14:textId="77777777" w:rsidR="005C4B8F" w:rsidRDefault="005C4B8F" w:rsidP="005C4B8F"/>
    <w:p w14:paraId="4E86C35D" w14:textId="77777777" w:rsidR="005C4B8F" w:rsidRDefault="005C4B8F" w:rsidP="005C4B8F">
      <w:pPr>
        <w:rPr>
          <w:lang w:val="en-NZ"/>
        </w:rPr>
      </w:pPr>
      <w:r>
        <w:rPr>
          <w:lang w:val="en-NZ"/>
        </w:rPr>
        <w:t>Also released today by the FSC is the first ever report on who helps the over 65s and how.</w:t>
      </w:r>
    </w:p>
    <w:p w14:paraId="2301B528" w14:textId="77777777" w:rsidR="005C4B8F" w:rsidRDefault="005C4B8F" w:rsidP="005C4B8F">
      <w:pPr>
        <w:rPr>
          <w:lang w:val="en-NZ"/>
        </w:rPr>
      </w:pPr>
    </w:p>
    <w:p w14:paraId="138F885D" w14:textId="77777777" w:rsidR="005C4B8F" w:rsidRDefault="005C4B8F" w:rsidP="005C4B8F">
      <w:pPr>
        <w:rPr>
          <w:lang w:val="en-NZ"/>
        </w:rPr>
      </w:pPr>
      <w:r>
        <w:rPr>
          <w:lang w:val="en-NZ"/>
        </w:rPr>
        <w:t>The equivalent of 427,500 New Zealanders (13% of the population aged 18+) indicated they provide unpaid private care or assistance for someone over the age of 65.  Of those providing care and assistance:</w:t>
      </w:r>
    </w:p>
    <w:p w14:paraId="046F208B" w14:textId="77777777" w:rsidR="005C4B8F" w:rsidRPr="00B8700E" w:rsidRDefault="005C4B8F" w:rsidP="005C4B8F">
      <w:pPr>
        <w:pStyle w:val="ListParagraph"/>
        <w:numPr>
          <w:ilvl w:val="0"/>
          <w:numId w:val="14"/>
        </w:numPr>
        <w:rPr>
          <w:sz w:val="24"/>
          <w:szCs w:val="24"/>
        </w:rPr>
      </w:pPr>
      <w:r w:rsidRPr="00B8700E">
        <w:rPr>
          <w:sz w:val="24"/>
          <w:szCs w:val="24"/>
        </w:rPr>
        <w:t>58% were female</w:t>
      </w:r>
    </w:p>
    <w:p w14:paraId="36403649" w14:textId="77777777" w:rsidR="005C4B8F" w:rsidRPr="00B8700E" w:rsidRDefault="005C4B8F" w:rsidP="005C4B8F">
      <w:pPr>
        <w:pStyle w:val="ListParagraph"/>
        <w:numPr>
          <w:ilvl w:val="0"/>
          <w:numId w:val="14"/>
        </w:numPr>
        <w:rPr>
          <w:sz w:val="24"/>
          <w:szCs w:val="24"/>
        </w:rPr>
      </w:pPr>
      <w:r w:rsidRPr="00B8700E">
        <w:rPr>
          <w:sz w:val="24"/>
          <w:szCs w:val="24"/>
        </w:rPr>
        <w:t>31% were aged 45-54 well above this group’s share of the 18+ population (18.8%)</w:t>
      </w:r>
    </w:p>
    <w:p w14:paraId="586F546D" w14:textId="77777777" w:rsidR="005C4B8F" w:rsidRPr="00B8700E" w:rsidRDefault="005C4B8F" w:rsidP="005C4B8F">
      <w:pPr>
        <w:pStyle w:val="ListParagraph"/>
        <w:numPr>
          <w:ilvl w:val="0"/>
          <w:numId w:val="14"/>
        </w:numPr>
        <w:rPr>
          <w:sz w:val="24"/>
          <w:szCs w:val="24"/>
        </w:rPr>
      </w:pPr>
      <w:r w:rsidRPr="00B8700E">
        <w:rPr>
          <w:sz w:val="24"/>
          <w:szCs w:val="24"/>
        </w:rPr>
        <w:lastRenderedPageBreak/>
        <w:t>Ethnicity is more likely than average to be Asian or Pasifika and less likely than average to be NZ European/Pakeha</w:t>
      </w:r>
    </w:p>
    <w:p w14:paraId="4206C57F" w14:textId="77777777" w:rsidR="005C4B8F" w:rsidRDefault="005C4B8F" w:rsidP="005C4B8F"/>
    <w:p w14:paraId="18D36232" w14:textId="77777777" w:rsidR="005C4B8F" w:rsidRDefault="005C4B8F" w:rsidP="005C4B8F">
      <w:r>
        <w:t xml:space="preserve">This care ranged from “general care” including visiting, talking, providing meals and having people to stay, to more intensive work sometimes on a live in basis doing household chores, taking them shopping, cooking meals or providing personal care. </w:t>
      </w:r>
    </w:p>
    <w:p w14:paraId="006ACF77" w14:textId="77777777" w:rsidR="005C4B8F" w:rsidRDefault="005C4B8F" w:rsidP="005C4B8F"/>
    <w:p w14:paraId="1CA5BDA8" w14:textId="77777777" w:rsidR="005C4B8F" w:rsidRDefault="005C4B8F" w:rsidP="005C4B8F"/>
    <w:p w14:paraId="1D699D11" w14:textId="77777777" w:rsidR="005C4B8F" w:rsidRDefault="005C4B8F" w:rsidP="005C4B8F">
      <w:r w:rsidRPr="00B8700E">
        <w:rPr>
          <w:i/>
        </w:rPr>
        <w:t xml:space="preserve">See the attached Who Helps the Over 65s in New Zealand and How.  </w:t>
      </w:r>
      <w:r>
        <w:rPr>
          <w:i/>
        </w:rPr>
        <w:t xml:space="preserve">This is an extract from the </w:t>
      </w:r>
      <w:r w:rsidRPr="00B8700E">
        <w:rPr>
          <w:i/>
        </w:rPr>
        <w:t xml:space="preserve">Horizon Research </w:t>
      </w:r>
      <w:r>
        <w:rPr>
          <w:i/>
        </w:rPr>
        <w:t xml:space="preserve">Financial Future report </w:t>
      </w:r>
      <w:r w:rsidRPr="00B8700E">
        <w:rPr>
          <w:i/>
        </w:rPr>
        <w:t>August 2015.</w:t>
      </w:r>
    </w:p>
    <w:p w14:paraId="77BB5BA5" w14:textId="77777777" w:rsidR="005C4B8F" w:rsidRDefault="005C4B8F" w:rsidP="005C4B8F">
      <w:pPr>
        <w:jc w:val="both"/>
      </w:pPr>
    </w:p>
    <w:p w14:paraId="69B7AF8E" w14:textId="77777777" w:rsidR="005C4B8F" w:rsidRDefault="005C4B8F" w:rsidP="005C4B8F">
      <w:pPr>
        <w:jc w:val="both"/>
      </w:pPr>
    </w:p>
    <w:p w14:paraId="46D6BE51" w14:textId="77777777" w:rsidR="005C4B8F" w:rsidRDefault="005C4B8F" w:rsidP="005C4B8F">
      <w:pPr>
        <w:jc w:val="both"/>
      </w:pPr>
    </w:p>
    <w:p w14:paraId="374FFA33" w14:textId="77777777" w:rsidR="005C4B8F" w:rsidRDefault="005C4B8F" w:rsidP="005C4B8F">
      <w:pPr>
        <w:jc w:val="both"/>
      </w:pPr>
    </w:p>
    <w:p w14:paraId="123E4907" w14:textId="77777777" w:rsidR="005C4B8F" w:rsidRDefault="005C4B8F" w:rsidP="005C4B8F">
      <w:pPr>
        <w:jc w:val="both"/>
      </w:pPr>
    </w:p>
    <w:p w14:paraId="7A84447E" w14:textId="77777777" w:rsidR="005C4B8F" w:rsidRDefault="005C4B8F" w:rsidP="005C4B8F">
      <w:pPr>
        <w:jc w:val="both"/>
      </w:pPr>
    </w:p>
    <w:p w14:paraId="3F448365" w14:textId="77777777" w:rsidR="005C4B8F" w:rsidRDefault="005C4B8F" w:rsidP="005C4B8F">
      <w:pPr>
        <w:jc w:val="both"/>
      </w:pPr>
    </w:p>
    <w:p w14:paraId="427189A4" w14:textId="77777777" w:rsidR="005C4B8F" w:rsidRDefault="005C4B8F" w:rsidP="005C4B8F">
      <w:pPr>
        <w:jc w:val="both"/>
      </w:pPr>
    </w:p>
    <w:p w14:paraId="18BA2B27" w14:textId="77777777" w:rsidR="005C4B8F" w:rsidRDefault="005C4B8F" w:rsidP="005C4B8F">
      <w:pPr>
        <w:jc w:val="both"/>
      </w:pPr>
    </w:p>
    <w:p w14:paraId="39163117" w14:textId="77777777" w:rsidR="005C4B8F" w:rsidRDefault="005C4B8F" w:rsidP="005C4B8F">
      <w:r>
        <w:t>For more information contact:</w:t>
      </w:r>
    </w:p>
    <w:p w14:paraId="2366027E" w14:textId="77777777" w:rsidR="005C4B8F" w:rsidRDefault="005C4B8F" w:rsidP="005C4B8F">
      <w:pPr>
        <w:jc w:val="both"/>
      </w:pPr>
      <w:r>
        <w:t xml:space="preserve">Peter Neilson, CEO FSC </w:t>
      </w:r>
    </w:p>
    <w:p w14:paraId="1B7A6C06" w14:textId="77777777" w:rsidR="005C4B8F" w:rsidRDefault="005C4B8F" w:rsidP="005C4B8F">
      <w:pPr>
        <w:jc w:val="both"/>
      </w:pPr>
      <w:r>
        <w:t xml:space="preserve">021 395 891 or </w:t>
      </w:r>
      <w:hyperlink r:id="rId11" w:history="1">
        <w:r w:rsidRPr="00AF4C01">
          <w:rPr>
            <w:rStyle w:val="Hyperlink"/>
          </w:rPr>
          <w:t>peter.neilson@fsc.org.nz</w:t>
        </w:r>
      </w:hyperlink>
    </w:p>
    <w:p w14:paraId="428EEA43" w14:textId="77777777" w:rsidR="005C4B8F" w:rsidRDefault="005C4B8F" w:rsidP="005C4B8F">
      <w:pPr>
        <w:jc w:val="both"/>
      </w:pPr>
    </w:p>
    <w:p w14:paraId="7FBDDC23" w14:textId="77777777" w:rsidR="005C4B8F" w:rsidRDefault="005C4B8F" w:rsidP="005C4B8F">
      <w:pPr>
        <w:jc w:val="both"/>
        <w:rPr>
          <w:b/>
          <w:sz w:val="20"/>
          <w:szCs w:val="20"/>
        </w:rPr>
      </w:pPr>
      <w:r w:rsidRPr="0068453B">
        <w:rPr>
          <w:b/>
          <w:sz w:val="20"/>
          <w:szCs w:val="20"/>
        </w:rPr>
        <w:t>About the Financial Services Council</w:t>
      </w:r>
    </w:p>
    <w:p w14:paraId="31B315B7" w14:textId="77777777" w:rsidR="005C4B8F" w:rsidRDefault="005C4B8F" w:rsidP="005C4B8F">
      <w:pPr>
        <w:jc w:val="both"/>
        <w:rPr>
          <w:sz w:val="20"/>
          <w:szCs w:val="20"/>
        </w:rPr>
      </w:pPr>
      <w:r>
        <w:rPr>
          <w:sz w:val="20"/>
          <w:szCs w:val="20"/>
        </w:rPr>
        <w:t>The Financial Services Council (FSC) was established in 2011 to represent the interests of the New Zealand financial services industry and the financial well-being of all New Zealanders. Its objectives are to:</w:t>
      </w:r>
    </w:p>
    <w:p w14:paraId="3E54CFA5" w14:textId="77777777" w:rsidR="005C4B8F" w:rsidRDefault="005C4B8F" w:rsidP="005C4B8F">
      <w:pPr>
        <w:pStyle w:val="ListParagraph"/>
        <w:numPr>
          <w:ilvl w:val="0"/>
          <w:numId w:val="6"/>
        </w:numPr>
        <w:spacing w:after="0" w:line="259" w:lineRule="auto"/>
        <w:jc w:val="both"/>
        <w:rPr>
          <w:sz w:val="20"/>
          <w:szCs w:val="20"/>
        </w:rPr>
      </w:pPr>
      <w:r>
        <w:rPr>
          <w:sz w:val="20"/>
          <w:szCs w:val="20"/>
        </w:rPr>
        <w:t>Develop and promote evidence-based policies and practices designed to assist New Zealanders to build and protect their net wealth</w:t>
      </w:r>
    </w:p>
    <w:p w14:paraId="56AEAF54" w14:textId="77777777" w:rsidR="005C4B8F" w:rsidRDefault="005C4B8F" w:rsidP="005C4B8F">
      <w:pPr>
        <w:pStyle w:val="ListParagraph"/>
        <w:numPr>
          <w:ilvl w:val="0"/>
          <w:numId w:val="6"/>
        </w:numPr>
        <w:spacing w:after="0" w:line="259" w:lineRule="auto"/>
        <w:jc w:val="both"/>
        <w:rPr>
          <w:sz w:val="20"/>
          <w:szCs w:val="20"/>
        </w:rPr>
      </w:pPr>
      <w:r>
        <w:rPr>
          <w:sz w:val="20"/>
          <w:szCs w:val="20"/>
        </w:rPr>
        <w:t>Promote the financial services industry for the economic benefit of New Zealand</w:t>
      </w:r>
    </w:p>
    <w:p w14:paraId="068900D0" w14:textId="77777777" w:rsidR="005C4B8F" w:rsidRDefault="005C4B8F" w:rsidP="005C4B8F">
      <w:pPr>
        <w:pStyle w:val="ListParagraph"/>
        <w:numPr>
          <w:ilvl w:val="0"/>
          <w:numId w:val="6"/>
        </w:numPr>
        <w:spacing w:after="0" w:line="259" w:lineRule="auto"/>
        <w:jc w:val="both"/>
        <w:rPr>
          <w:sz w:val="20"/>
          <w:szCs w:val="20"/>
        </w:rPr>
      </w:pPr>
      <w:r>
        <w:rPr>
          <w:sz w:val="20"/>
          <w:szCs w:val="20"/>
        </w:rPr>
        <w:t>Promote best practice in the financial services industry, including the publication of guidance for industry participants</w:t>
      </w:r>
    </w:p>
    <w:p w14:paraId="50F0D020" w14:textId="77777777" w:rsidR="005C4B8F" w:rsidRDefault="005C4B8F" w:rsidP="005C4B8F">
      <w:pPr>
        <w:pStyle w:val="ListParagraph"/>
        <w:numPr>
          <w:ilvl w:val="0"/>
          <w:numId w:val="6"/>
        </w:numPr>
        <w:spacing w:after="0" w:line="259" w:lineRule="auto"/>
        <w:jc w:val="both"/>
        <w:rPr>
          <w:sz w:val="20"/>
          <w:szCs w:val="20"/>
        </w:rPr>
      </w:pPr>
      <w:r>
        <w:rPr>
          <w:sz w:val="20"/>
          <w:szCs w:val="20"/>
        </w:rPr>
        <w:t>Promote the financial services industry as a medium for investment or protection</w:t>
      </w:r>
    </w:p>
    <w:p w14:paraId="416D4E0A" w14:textId="77777777" w:rsidR="005C4B8F" w:rsidRPr="00B662DB" w:rsidRDefault="005C4B8F" w:rsidP="005C4B8F">
      <w:pPr>
        <w:jc w:val="both"/>
        <w:rPr>
          <w:sz w:val="20"/>
          <w:szCs w:val="20"/>
        </w:rPr>
      </w:pPr>
      <w:r>
        <w:rPr>
          <w:sz w:val="20"/>
          <w:szCs w:val="20"/>
        </w:rPr>
        <w:t>The FSC has 22 member companies and 16 associate members. Members manage more than $80 billion in savings and provide financial services to more than 2.5 million New Zealand investors and policyholders. FSC</w:t>
      </w:r>
      <w:r w:rsidRPr="00B662DB">
        <w:rPr>
          <w:sz w:val="20"/>
          <w:szCs w:val="20"/>
        </w:rPr>
        <w:t xml:space="preserve"> members help New </w:t>
      </w:r>
      <w:r>
        <w:rPr>
          <w:sz w:val="20"/>
          <w:szCs w:val="20"/>
        </w:rPr>
        <w:t>Zealanders achieve long term fi</w:t>
      </w:r>
      <w:r w:rsidRPr="00B662DB">
        <w:rPr>
          <w:sz w:val="20"/>
          <w:szCs w:val="20"/>
        </w:rPr>
        <w:t>nancial security by providing products and services which build wealth, prepare them for retirement and provide financial protection against unexpected health events.</w:t>
      </w:r>
    </w:p>
    <w:p w14:paraId="1957BD7C" w14:textId="77777777" w:rsidR="005C4B8F" w:rsidRDefault="005C4B8F" w:rsidP="005C4B8F"/>
    <w:p w14:paraId="560D0E72" w14:textId="77777777" w:rsidR="005C4B8F" w:rsidRDefault="005C4B8F" w:rsidP="005C4B8F"/>
    <w:p w14:paraId="4DF0016E" w14:textId="77777777" w:rsidR="005C4B8F" w:rsidRDefault="005C4B8F" w:rsidP="005C4B8F"/>
    <w:p w14:paraId="0B73C6E2" w14:textId="77777777" w:rsidR="005C4B8F" w:rsidRDefault="005C4B8F" w:rsidP="005C4B8F"/>
    <w:p w14:paraId="73A1917B" w14:textId="77777777" w:rsidR="005C4B8F" w:rsidRDefault="005C4B8F" w:rsidP="005C4B8F"/>
    <w:p w14:paraId="18572388" w14:textId="77777777" w:rsidR="005C4B8F" w:rsidRDefault="005C4B8F" w:rsidP="005C4B8F"/>
    <w:p w14:paraId="61FAD805" w14:textId="77777777" w:rsidR="005C4B8F" w:rsidRDefault="005C4B8F" w:rsidP="005C4B8F">
      <w:pPr>
        <w:tabs>
          <w:tab w:val="left" w:pos="-4111"/>
        </w:tabs>
        <w:ind w:hanging="425"/>
        <w:jc w:val="right"/>
        <w:rPr>
          <w:rFonts w:asciiTheme="majorHAnsi" w:hAnsiTheme="majorHAnsi"/>
          <w:b/>
          <w:noProof/>
          <w:color w:val="000000"/>
          <w:sz w:val="72"/>
          <w:szCs w:val="36"/>
          <w:lang w:eastAsia="en-NZ"/>
        </w:rPr>
      </w:pPr>
    </w:p>
    <w:p w14:paraId="6F3E19D2" w14:textId="77777777" w:rsidR="005C4B8F" w:rsidRDefault="005C4B8F" w:rsidP="005C4B8F">
      <w:pPr>
        <w:tabs>
          <w:tab w:val="left" w:pos="-4111"/>
        </w:tabs>
        <w:ind w:hanging="425"/>
        <w:jc w:val="right"/>
        <w:rPr>
          <w:rFonts w:asciiTheme="majorHAnsi" w:hAnsiTheme="majorHAnsi"/>
          <w:b/>
          <w:noProof/>
          <w:color w:val="000000"/>
          <w:sz w:val="72"/>
          <w:szCs w:val="36"/>
          <w:lang w:eastAsia="en-NZ"/>
        </w:rPr>
      </w:pPr>
    </w:p>
    <w:p w14:paraId="3C717D9B" w14:textId="77777777" w:rsidR="005C4B8F" w:rsidRDefault="005C4B8F" w:rsidP="005C4B8F">
      <w:pPr>
        <w:tabs>
          <w:tab w:val="left" w:pos="-4111"/>
        </w:tabs>
        <w:ind w:hanging="425"/>
        <w:jc w:val="right"/>
        <w:rPr>
          <w:rFonts w:asciiTheme="majorHAnsi" w:hAnsiTheme="majorHAnsi"/>
          <w:b/>
          <w:noProof/>
          <w:color w:val="000000"/>
          <w:sz w:val="72"/>
          <w:szCs w:val="36"/>
          <w:lang w:eastAsia="en-NZ"/>
        </w:rPr>
      </w:pPr>
    </w:p>
    <w:p w14:paraId="68EC87EF" w14:textId="77777777" w:rsidR="005C4B8F" w:rsidRPr="00BD0758" w:rsidRDefault="005C4B8F" w:rsidP="005C4B8F">
      <w:pPr>
        <w:tabs>
          <w:tab w:val="left" w:pos="-4111"/>
        </w:tabs>
        <w:ind w:hanging="425"/>
        <w:jc w:val="right"/>
        <w:rPr>
          <w:rFonts w:asciiTheme="majorHAnsi" w:hAnsiTheme="majorHAnsi"/>
          <w:b/>
          <w:noProof/>
          <w:color w:val="000000"/>
          <w:sz w:val="72"/>
          <w:szCs w:val="36"/>
          <w:lang w:eastAsia="en-NZ"/>
        </w:rPr>
      </w:pPr>
      <w:r w:rsidRPr="00BD0758">
        <w:rPr>
          <w:rFonts w:asciiTheme="majorHAnsi" w:hAnsiTheme="majorHAnsi"/>
          <w:b/>
          <w:noProof/>
          <w:color w:val="000000"/>
          <w:sz w:val="72"/>
          <w:szCs w:val="36"/>
          <w:lang w:eastAsia="en-NZ"/>
        </w:rPr>
        <w:t xml:space="preserve">Who helps the over 65s </w:t>
      </w:r>
    </w:p>
    <w:p w14:paraId="5527D9DA" w14:textId="77777777" w:rsidR="005C4B8F" w:rsidRPr="00BD0758" w:rsidRDefault="005C4B8F" w:rsidP="005C4B8F">
      <w:pPr>
        <w:tabs>
          <w:tab w:val="left" w:pos="-4111"/>
        </w:tabs>
        <w:ind w:hanging="425"/>
        <w:jc w:val="right"/>
        <w:rPr>
          <w:rFonts w:asciiTheme="majorHAnsi" w:hAnsiTheme="majorHAnsi"/>
          <w:b/>
          <w:noProof/>
          <w:color w:val="000000"/>
          <w:sz w:val="72"/>
          <w:szCs w:val="36"/>
          <w:lang w:eastAsia="en-NZ"/>
        </w:rPr>
      </w:pPr>
      <w:r w:rsidRPr="00BD0758">
        <w:rPr>
          <w:rFonts w:asciiTheme="majorHAnsi" w:hAnsiTheme="majorHAnsi"/>
          <w:b/>
          <w:noProof/>
          <w:color w:val="000000"/>
          <w:sz w:val="72"/>
          <w:szCs w:val="36"/>
          <w:lang w:eastAsia="en-NZ"/>
        </w:rPr>
        <w:t>in New Zealand and how</w:t>
      </w:r>
    </w:p>
    <w:p w14:paraId="71F9E9DB" w14:textId="77777777" w:rsidR="005C4B8F" w:rsidRDefault="005C4B8F" w:rsidP="005C4B8F">
      <w:pPr>
        <w:sectPr w:rsidR="005C4B8F" w:rsidSect="00935F4C">
          <w:headerReference w:type="default" r:id="rId12"/>
          <w:footerReference w:type="default" r:id="rId13"/>
          <w:pgSz w:w="11900" w:h="16840"/>
          <w:pgMar w:top="1440" w:right="1440" w:bottom="1440" w:left="1440" w:header="0" w:footer="708" w:gutter="0"/>
          <w:cols w:space="708"/>
          <w:docGrid w:linePitch="326"/>
        </w:sectPr>
      </w:pPr>
    </w:p>
    <w:p w14:paraId="236A6B95" w14:textId="77777777" w:rsidR="005C4B8F" w:rsidRPr="00BD0758" w:rsidRDefault="005C4B8F" w:rsidP="005C4B8F">
      <w:pPr>
        <w:pStyle w:val="Heading1"/>
        <w:ind w:left="0"/>
        <w:rPr>
          <w:color w:val="auto"/>
          <w:u w:val="single"/>
        </w:rPr>
      </w:pPr>
      <w:r w:rsidRPr="00BD0758">
        <w:rPr>
          <w:color w:val="auto"/>
          <w:u w:val="single"/>
        </w:rPr>
        <w:lastRenderedPageBreak/>
        <w:t>SURVEY</w:t>
      </w:r>
    </w:p>
    <w:p w14:paraId="44AE0147" w14:textId="77777777" w:rsidR="005C4B8F" w:rsidRPr="00BD0758" w:rsidRDefault="005C4B8F" w:rsidP="005C4B8F">
      <w:pPr>
        <w:rPr>
          <w:rFonts w:asciiTheme="majorHAnsi" w:hAnsiTheme="majorHAnsi"/>
        </w:rPr>
      </w:pPr>
      <w:r w:rsidRPr="00BD0758">
        <w:rPr>
          <w:rFonts w:asciiTheme="majorHAnsi" w:hAnsiTheme="majorHAnsi"/>
        </w:rPr>
        <w:t xml:space="preserve">This report </w:t>
      </w:r>
      <w:r>
        <w:rPr>
          <w:rFonts w:asciiTheme="majorHAnsi" w:hAnsiTheme="majorHAnsi"/>
        </w:rPr>
        <w:t xml:space="preserve">extract </w:t>
      </w:r>
      <w:r w:rsidRPr="00BD0758">
        <w:rPr>
          <w:rFonts w:asciiTheme="majorHAnsi" w:hAnsiTheme="majorHAnsi"/>
        </w:rPr>
        <w:t>gives the results of a survey of 2,483 New Zealanders who are members of Horizon Research’s HorizonPoll panel, which represents the adult population.  The survey was conducted between 24 and 29 July 2015.  The sample was weighted to match New Zealand demographics for the population 18+ at the 2013 Census.</w:t>
      </w:r>
    </w:p>
    <w:p w14:paraId="6273EBF0" w14:textId="77777777" w:rsidR="005C4B8F" w:rsidRPr="00BD0758" w:rsidRDefault="005C4B8F" w:rsidP="005C4B8F">
      <w:pPr>
        <w:pStyle w:val="Heading1"/>
        <w:ind w:left="0"/>
        <w:rPr>
          <w:color w:val="auto"/>
        </w:rPr>
      </w:pPr>
      <w:bookmarkStart w:id="0" w:name="_Toc431294310"/>
      <w:r w:rsidRPr="00BD0758">
        <w:rPr>
          <w:color w:val="auto"/>
        </w:rPr>
        <w:t>Assistance for people over 65 years of age</w:t>
      </w:r>
      <w:bookmarkEnd w:id="0"/>
    </w:p>
    <w:p w14:paraId="142F4CA7" w14:textId="77777777" w:rsidR="005C4B8F" w:rsidRPr="00BD0758" w:rsidRDefault="005C4B8F" w:rsidP="005C4B8F">
      <w:pPr>
        <w:pStyle w:val="Heading2"/>
        <w:ind w:left="568" w:hanging="568"/>
        <w:rPr>
          <w:color w:val="auto"/>
        </w:rPr>
      </w:pPr>
      <w:bookmarkStart w:id="1" w:name="_Toc431294311"/>
      <w:r w:rsidRPr="00BD0758">
        <w:rPr>
          <w:color w:val="auto"/>
        </w:rPr>
        <w:t>Assistance level</w:t>
      </w:r>
      <w:bookmarkEnd w:id="1"/>
    </w:p>
    <w:p w14:paraId="759C5CCF" w14:textId="77777777" w:rsidR="005C4B8F" w:rsidRPr="00BD0758" w:rsidRDefault="005C4B8F" w:rsidP="005C4B8F">
      <w:pPr>
        <w:rPr>
          <w:rFonts w:asciiTheme="majorHAnsi" w:hAnsiTheme="majorHAnsi"/>
        </w:rPr>
      </w:pPr>
      <w:r w:rsidRPr="00BD0758">
        <w:rPr>
          <w:rFonts w:asciiTheme="majorHAnsi" w:hAnsiTheme="majorHAnsi"/>
        </w:rPr>
        <w:t>Respondents were asked if they personally provided unpaid private care, or provided any assistance for anyone, including friends, family or spouse/partner, who was over the age of 65.</w:t>
      </w:r>
    </w:p>
    <w:p w14:paraId="0AA16F9B" w14:textId="77777777" w:rsidR="005C4B8F" w:rsidRPr="00BD0758" w:rsidRDefault="005C4B8F" w:rsidP="005C4B8F">
      <w:pPr>
        <w:rPr>
          <w:rFonts w:asciiTheme="majorHAnsi" w:hAnsiTheme="majorHAnsi"/>
        </w:rPr>
      </w:pPr>
    </w:p>
    <w:p w14:paraId="6E435144" w14:textId="77777777" w:rsidR="005C4B8F" w:rsidRPr="00BD0758" w:rsidRDefault="005C4B8F" w:rsidP="005C4B8F">
      <w:pPr>
        <w:rPr>
          <w:rFonts w:asciiTheme="majorHAnsi" w:hAnsiTheme="majorHAnsi"/>
        </w:rPr>
      </w:pPr>
      <w:r w:rsidRPr="00BD0758">
        <w:rPr>
          <w:rFonts w:asciiTheme="majorHAnsi" w:hAnsiTheme="majorHAnsi"/>
        </w:rPr>
        <w:t>13% of all respondents – equivalent to around 427,500 New Zealanders 18+ - indicated they did.  Of those providing care or assistance:</w:t>
      </w:r>
    </w:p>
    <w:p w14:paraId="2791943E" w14:textId="77777777" w:rsidR="005C4B8F" w:rsidRPr="00BD0758" w:rsidRDefault="005C4B8F" w:rsidP="005C4B8F">
      <w:pPr>
        <w:pStyle w:val="ListParagraph"/>
        <w:numPr>
          <w:ilvl w:val="0"/>
          <w:numId w:val="15"/>
        </w:numPr>
        <w:spacing w:after="0"/>
        <w:rPr>
          <w:rFonts w:asciiTheme="majorHAnsi" w:hAnsiTheme="majorHAnsi"/>
        </w:rPr>
      </w:pPr>
      <w:r w:rsidRPr="00BD0758">
        <w:rPr>
          <w:rFonts w:asciiTheme="majorHAnsi" w:hAnsiTheme="majorHAnsi"/>
        </w:rPr>
        <w:t>58% were female, above the 18+ female population proportion.</w:t>
      </w:r>
    </w:p>
    <w:p w14:paraId="16F0CFCA" w14:textId="77777777" w:rsidR="005C4B8F" w:rsidRPr="00BD0758" w:rsidRDefault="005C4B8F" w:rsidP="005C4B8F">
      <w:pPr>
        <w:pStyle w:val="ListParagraph"/>
        <w:numPr>
          <w:ilvl w:val="0"/>
          <w:numId w:val="15"/>
        </w:numPr>
        <w:spacing w:after="0"/>
        <w:rPr>
          <w:rFonts w:asciiTheme="majorHAnsi" w:hAnsiTheme="majorHAnsi"/>
        </w:rPr>
      </w:pPr>
      <w:r w:rsidRPr="00BD0758">
        <w:rPr>
          <w:rFonts w:asciiTheme="majorHAnsi" w:hAnsiTheme="majorHAnsi"/>
        </w:rPr>
        <w:t xml:space="preserve">31% were aged 45-54 years, above this age group’s proportion of the 18+ population (18.8%).  </w:t>
      </w:r>
    </w:p>
    <w:p w14:paraId="2F6033E1" w14:textId="77777777" w:rsidR="005C4B8F" w:rsidRPr="00BD0758" w:rsidRDefault="005C4B8F" w:rsidP="005C4B8F">
      <w:pPr>
        <w:rPr>
          <w:rFonts w:asciiTheme="majorHAnsi" w:hAnsiTheme="majorHAnsi"/>
        </w:rPr>
      </w:pPr>
    </w:p>
    <w:p w14:paraId="18B2FAC2" w14:textId="77777777" w:rsidR="005C4B8F" w:rsidRPr="00BD0758" w:rsidRDefault="005C4B8F" w:rsidP="005C4B8F">
      <w:pPr>
        <w:jc w:val="center"/>
        <w:rPr>
          <w:rFonts w:asciiTheme="majorHAnsi" w:hAnsiTheme="majorHAnsi"/>
        </w:rPr>
      </w:pPr>
      <w:r w:rsidRPr="00BD0758">
        <w:rPr>
          <w:rFonts w:asciiTheme="majorHAnsi" w:hAnsiTheme="majorHAnsi"/>
          <w:noProof/>
          <w:lang w:val="en-NZ" w:eastAsia="en-NZ"/>
        </w:rPr>
        <w:drawing>
          <wp:inline distT="0" distB="0" distL="0" distR="0" wp14:anchorId="2346D870" wp14:editId="6FE9FDAD">
            <wp:extent cx="4516581" cy="3290455"/>
            <wp:effectExtent l="0" t="0" r="1778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4AAAE9" w14:textId="77777777" w:rsidR="005C4B8F" w:rsidRPr="00BD0758" w:rsidRDefault="005C4B8F" w:rsidP="005C4B8F">
      <w:pPr>
        <w:rPr>
          <w:rFonts w:asciiTheme="majorHAnsi" w:hAnsiTheme="majorHAnsi"/>
        </w:rPr>
      </w:pPr>
    </w:p>
    <w:p w14:paraId="3C8B7C98" w14:textId="77777777" w:rsidR="005C4B8F" w:rsidRPr="00BD0758" w:rsidRDefault="005C4B8F" w:rsidP="005C4B8F">
      <w:pPr>
        <w:pStyle w:val="ListParagraph"/>
        <w:numPr>
          <w:ilvl w:val="0"/>
          <w:numId w:val="16"/>
        </w:numPr>
        <w:spacing w:after="0"/>
        <w:rPr>
          <w:rFonts w:asciiTheme="majorHAnsi" w:hAnsiTheme="majorHAnsi"/>
        </w:rPr>
      </w:pPr>
      <w:r w:rsidRPr="00BD0758">
        <w:rPr>
          <w:rFonts w:asciiTheme="majorHAnsi" w:hAnsiTheme="majorHAnsi"/>
        </w:rPr>
        <w:t>The percentage providing assistance was lower where personal income was between $30,000 and $150,000 per annum and household income was between $50,000 and $200,000 per annum.</w:t>
      </w:r>
    </w:p>
    <w:p w14:paraId="4E37A5CA" w14:textId="77777777" w:rsidR="005C4B8F" w:rsidRDefault="005C4B8F" w:rsidP="005C4B8F">
      <w:pPr>
        <w:pStyle w:val="ListParagraph"/>
        <w:numPr>
          <w:ilvl w:val="0"/>
          <w:numId w:val="16"/>
        </w:numPr>
        <w:spacing w:after="0"/>
        <w:rPr>
          <w:rFonts w:asciiTheme="majorHAnsi" w:hAnsiTheme="majorHAnsi"/>
        </w:rPr>
      </w:pPr>
      <w:r w:rsidRPr="00BD0758">
        <w:rPr>
          <w:rFonts w:asciiTheme="majorHAnsi" w:hAnsiTheme="majorHAnsi"/>
        </w:rPr>
        <w:t>Household income for those providing care or assistance is 4% below and personal income 9% below the population averages.</w:t>
      </w:r>
    </w:p>
    <w:p w14:paraId="47E016AA" w14:textId="77777777" w:rsidR="005C4B8F" w:rsidRDefault="005C4B8F" w:rsidP="005C4B8F">
      <w:pPr>
        <w:pStyle w:val="ListParagraph"/>
        <w:numPr>
          <w:ilvl w:val="0"/>
          <w:numId w:val="16"/>
        </w:numPr>
        <w:spacing w:after="0"/>
        <w:rPr>
          <w:rFonts w:asciiTheme="majorHAnsi" w:hAnsiTheme="majorHAnsi"/>
        </w:rPr>
      </w:pPr>
      <w:r w:rsidRPr="00BD0758">
        <w:rPr>
          <w:rFonts w:asciiTheme="majorHAnsi" w:hAnsiTheme="majorHAnsi"/>
        </w:rPr>
        <w:lastRenderedPageBreak/>
        <w:t>Ethnicity is more likely than average to be Asian or Pacific Island and less likely than average to NZ European/Pakeha.</w:t>
      </w:r>
    </w:p>
    <w:p w14:paraId="7AD26141" w14:textId="77777777" w:rsidR="005C4B8F" w:rsidRPr="00BD0758" w:rsidRDefault="005C4B8F" w:rsidP="005C4B8F">
      <w:pPr>
        <w:pStyle w:val="Heading2"/>
        <w:ind w:left="568" w:hanging="568"/>
        <w:rPr>
          <w:color w:val="auto"/>
        </w:rPr>
      </w:pPr>
      <w:bookmarkStart w:id="2" w:name="_Toc431294312"/>
      <w:r w:rsidRPr="00BD0758">
        <w:rPr>
          <w:color w:val="auto"/>
        </w:rPr>
        <w:t>Assistance in person and financial assistance</w:t>
      </w:r>
      <w:bookmarkEnd w:id="2"/>
    </w:p>
    <w:p w14:paraId="73E9F139" w14:textId="77777777" w:rsidR="005C4B8F" w:rsidRPr="00741BD2" w:rsidRDefault="005C4B8F" w:rsidP="005C4B8F">
      <w:pPr>
        <w:rPr>
          <w:rFonts w:asciiTheme="majorHAnsi" w:hAnsiTheme="majorHAnsi"/>
        </w:rPr>
      </w:pPr>
      <w:r w:rsidRPr="00BD0758">
        <w:rPr>
          <w:rFonts w:asciiTheme="majorHAnsi" w:hAnsiTheme="majorHAnsi"/>
        </w:rPr>
        <w:t>Respondents who personally provided unpaid private care, or provided any assistance for anyone, including friends, family or spouse/partner, who was over the age of 65 were given a list of possible forms of assistance and asked which ones, if any, they provided.</w:t>
      </w:r>
    </w:p>
    <w:p w14:paraId="70D80639" w14:textId="77777777" w:rsidR="005C4B8F" w:rsidRPr="00BD0758" w:rsidRDefault="005C4B8F" w:rsidP="005C4B8F">
      <w:pPr>
        <w:pStyle w:val="Heading3"/>
        <w:ind w:left="0"/>
        <w:rPr>
          <w:color w:val="auto"/>
          <w:sz w:val="24"/>
        </w:rPr>
      </w:pPr>
      <w:bookmarkStart w:id="3" w:name="_Toc431294313"/>
      <w:r w:rsidRPr="00BD0758">
        <w:rPr>
          <w:color w:val="auto"/>
          <w:sz w:val="24"/>
        </w:rPr>
        <w:t>General care</w:t>
      </w:r>
      <w:bookmarkStart w:id="4" w:name="_GoBack"/>
      <w:bookmarkEnd w:id="3"/>
      <w:bookmarkEnd w:id="4"/>
    </w:p>
    <w:p w14:paraId="2A73B5EA" w14:textId="77777777" w:rsidR="005C4B8F" w:rsidRPr="00BD0758" w:rsidRDefault="005C4B8F" w:rsidP="005C4B8F">
      <w:pPr>
        <w:rPr>
          <w:rFonts w:asciiTheme="majorHAnsi" w:hAnsiTheme="majorHAnsi"/>
        </w:rPr>
      </w:pPr>
      <w:r w:rsidRPr="00BD0758">
        <w:rPr>
          <w:rFonts w:asciiTheme="majorHAnsi" w:hAnsiTheme="majorHAnsi"/>
        </w:rPr>
        <w:t>81% of those providing some care or assistance selected options from the list that could be described as “general care”, as shown below:</w:t>
      </w:r>
    </w:p>
    <w:p w14:paraId="34169991" w14:textId="77777777" w:rsidR="005C4B8F" w:rsidRPr="00BD0758" w:rsidRDefault="005C4B8F" w:rsidP="005C4B8F">
      <w:pPr>
        <w:rPr>
          <w:rFonts w:asciiTheme="majorHAnsi" w:hAnsiTheme="majorHAnsi"/>
        </w:rPr>
      </w:pPr>
    </w:p>
    <w:p w14:paraId="620E150F" w14:textId="77777777" w:rsidR="005C4B8F" w:rsidRPr="00BD0758" w:rsidRDefault="005C4B8F" w:rsidP="005C4B8F">
      <w:pPr>
        <w:rPr>
          <w:rFonts w:asciiTheme="majorHAnsi" w:hAnsiTheme="majorHAnsi"/>
        </w:rPr>
      </w:pPr>
      <w:r w:rsidRPr="00BD0758">
        <w:rPr>
          <w:rFonts w:asciiTheme="majorHAnsi" w:hAnsiTheme="majorHAnsi"/>
        </w:rPr>
        <w:t>The percentage of respondents providing “general care” is equivalent to around 347,900 New Zealanders 18+.  On average, respondents providing support “general care” were providing it in 3.6 different ways.</w:t>
      </w:r>
    </w:p>
    <w:p w14:paraId="514AC1EE" w14:textId="77777777" w:rsidR="005C4B8F" w:rsidRPr="00BD0758" w:rsidRDefault="005C4B8F" w:rsidP="005C4B8F">
      <w:pPr>
        <w:rPr>
          <w:rFonts w:asciiTheme="majorHAnsi" w:hAnsiTheme="majorHAnsi"/>
        </w:rPr>
      </w:pPr>
    </w:p>
    <w:p w14:paraId="3BFEAD5D" w14:textId="77777777" w:rsidR="005C4B8F" w:rsidRPr="00BD0758" w:rsidRDefault="005C4B8F" w:rsidP="005C4B8F">
      <w:pPr>
        <w:jc w:val="center"/>
        <w:rPr>
          <w:rFonts w:asciiTheme="majorHAnsi" w:hAnsiTheme="majorHAnsi"/>
        </w:rPr>
      </w:pPr>
      <w:r w:rsidRPr="00BD0758">
        <w:rPr>
          <w:rFonts w:asciiTheme="majorHAnsi" w:hAnsiTheme="majorHAnsi"/>
          <w:noProof/>
          <w:lang w:val="en-NZ" w:eastAsia="en-NZ"/>
        </w:rPr>
        <w:drawing>
          <wp:inline distT="0" distB="0" distL="0" distR="0" wp14:anchorId="7EB5D080" wp14:editId="200CCC0B">
            <wp:extent cx="4572000" cy="3052762"/>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4DA3D3" w14:textId="77777777" w:rsidR="005C4B8F" w:rsidRDefault="005C4B8F" w:rsidP="005C4B8F">
      <w:pPr>
        <w:pStyle w:val="ListParagraph"/>
        <w:spacing w:after="0"/>
        <w:ind w:left="1145"/>
        <w:rPr>
          <w:rFonts w:asciiTheme="majorHAnsi" w:hAnsiTheme="majorHAnsi"/>
        </w:rPr>
      </w:pPr>
    </w:p>
    <w:p w14:paraId="2192A3BB" w14:textId="77777777" w:rsidR="005C4B8F" w:rsidRDefault="005C4B8F" w:rsidP="005C4B8F">
      <w:pPr>
        <w:rPr>
          <w:rFonts w:asciiTheme="majorHAnsi" w:hAnsiTheme="majorHAnsi"/>
          <w:sz w:val="22"/>
          <w:szCs w:val="22"/>
          <w:lang w:val="en-NZ"/>
        </w:rPr>
      </w:pPr>
      <w:r>
        <w:rPr>
          <w:rFonts w:asciiTheme="majorHAnsi" w:hAnsiTheme="majorHAnsi"/>
        </w:rPr>
        <w:br w:type="page"/>
      </w:r>
    </w:p>
    <w:p w14:paraId="119FFAC1" w14:textId="77777777" w:rsidR="005C4B8F" w:rsidRPr="00BD0758" w:rsidRDefault="005C4B8F" w:rsidP="005C4B8F">
      <w:pPr>
        <w:pStyle w:val="Heading3"/>
        <w:ind w:left="0"/>
        <w:rPr>
          <w:color w:val="auto"/>
          <w:sz w:val="24"/>
        </w:rPr>
      </w:pPr>
      <w:bookmarkStart w:id="5" w:name="_Toc431294314"/>
      <w:r w:rsidRPr="00BD0758">
        <w:rPr>
          <w:color w:val="auto"/>
          <w:sz w:val="24"/>
        </w:rPr>
        <w:lastRenderedPageBreak/>
        <w:t>Care or support “in person”</w:t>
      </w:r>
      <w:bookmarkEnd w:id="5"/>
    </w:p>
    <w:p w14:paraId="41636BF8" w14:textId="77777777" w:rsidR="005C4B8F" w:rsidRPr="00BD0758" w:rsidRDefault="005C4B8F" w:rsidP="005C4B8F">
      <w:pPr>
        <w:rPr>
          <w:rFonts w:asciiTheme="majorHAnsi" w:hAnsiTheme="majorHAnsi"/>
        </w:rPr>
      </w:pPr>
      <w:r w:rsidRPr="00BD0758">
        <w:rPr>
          <w:rFonts w:asciiTheme="majorHAnsi" w:hAnsiTheme="majorHAnsi"/>
        </w:rPr>
        <w:t>95% of those providing some care or assistance selected options from the list that could be described as “in person”, as shown below.  This included moving in with the person or people for whom they were providing support or having them move in with the person providing support.</w:t>
      </w:r>
    </w:p>
    <w:p w14:paraId="1E31E93B" w14:textId="77777777" w:rsidR="005C4B8F" w:rsidRPr="00BD0758" w:rsidRDefault="005C4B8F" w:rsidP="005C4B8F">
      <w:pPr>
        <w:rPr>
          <w:rFonts w:asciiTheme="majorHAnsi" w:hAnsiTheme="majorHAnsi"/>
        </w:rPr>
      </w:pPr>
    </w:p>
    <w:p w14:paraId="7BCD31A1" w14:textId="77777777" w:rsidR="005C4B8F" w:rsidRPr="00EA131E" w:rsidRDefault="005C4B8F" w:rsidP="005C4B8F">
      <w:pPr>
        <w:rPr>
          <w:rFonts w:asciiTheme="majorHAnsi" w:hAnsiTheme="majorHAnsi"/>
        </w:rPr>
      </w:pPr>
      <w:r w:rsidRPr="00BD0758">
        <w:rPr>
          <w:rFonts w:asciiTheme="majorHAnsi" w:hAnsiTheme="majorHAnsi"/>
        </w:rPr>
        <w:t>The percentage of respondents providing care or support “in person” is equivalent to around 405,300 New Zealanders 18+.  On average, respondents providing support “in person” were providing it in 3.7 different ways.</w:t>
      </w:r>
    </w:p>
    <w:p w14:paraId="09F5EC58" w14:textId="77777777" w:rsidR="005C4B8F" w:rsidRPr="00BD0758" w:rsidRDefault="005C4B8F" w:rsidP="005C4B8F">
      <w:pPr>
        <w:rPr>
          <w:rFonts w:asciiTheme="majorHAnsi" w:hAnsiTheme="majorHAnsi"/>
        </w:rPr>
      </w:pPr>
    </w:p>
    <w:p w14:paraId="3A78B360" w14:textId="77777777" w:rsidR="005C4B8F" w:rsidRPr="00BD0758" w:rsidRDefault="005C4B8F" w:rsidP="005C4B8F">
      <w:pPr>
        <w:jc w:val="center"/>
        <w:rPr>
          <w:rFonts w:asciiTheme="majorHAnsi" w:hAnsiTheme="majorHAnsi"/>
        </w:rPr>
      </w:pPr>
      <w:r w:rsidRPr="00BD0758">
        <w:rPr>
          <w:rFonts w:asciiTheme="majorHAnsi" w:hAnsiTheme="majorHAnsi"/>
          <w:noProof/>
          <w:lang w:val="en-NZ" w:eastAsia="en-NZ"/>
        </w:rPr>
        <w:drawing>
          <wp:inline distT="0" distB="0" distL="0" distR="0" wp14:anchorId="25FC7A1F" wp14:editId="61E5AC9C">
            <wp:extent cx="4502727" cy="4128655"/>
            <wp:effectExtent l="0" t="0" r="1270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8647AF" w14:textId="77777777" w:rsidR="005C4B8F" w:rsidRPr="00BD0758" w:rsidRDefault="005C4B8F" w:rsidP="005C4B8F">
      <w:pPr>
        <w:rPr>
          <w:rFonts w:asciiTheme="majorHAnsi" w:hAnsiTheme="majorHAnsi"/>
        </w:rPr>
      </w:pPr>
    </w:p>
    <w:p w14:paraId="1178EE4D" w14:textId="77777777" w:rsidR="005C4B8F" w:rsidRPr="00BD0758" w:rsidRDefault="005C4B8F" w:rsidP="005C4B8F">
      <w:pPr>
        <w:pStyle w:val="Heading3"/>
        <w:ind w:left="0"/>
        <w:rPr>
          <w:color w:val="auto"/>
          <w:sz w:val="24"/>
        </w:rPr>
      </w:pPr>
      <w:bookmarkStart w:id="6" w:name="_Toc431294315"/>
      <w:r w:rsidRPr="00BD0758">
        <w:rPr>
          <w:color w:val="auto"/>
          <w:sz w:val="24"/>
        </w:rPr>
        <w:t>Financial support</w:t>
      </w:r>
      <w:bookmarkEnd w:id="6"/>
    </w:p>
    <w:p w14:paraId="675ABEC3" w14:textId="77777777" w:rsidR="005C4B8F" w:rsidRPr="00BD0758" w:rsidRDefault="005C4B8F" w:rsidP="005C4B8F">
      <w:pPr>
        <w:rPr>
          <w:rFonts w:asciiTheme="majorHAnsi" w:hAnsiTheme="majorHAnsi"/>
        </w:rPr>
      </w:pPr>
      <w:r w:rsidRPr="00BD0758">
        <w:rPr>
          <w:rFonts w:asciiTheme="majorHAnsi" w:hAnsiTheme="majorHAnsi"/>
        </w:rPr>
        <w:t>Financial support for people aged over 65 was the least common, although 69% of those providing some care or assistance selected financial support options from the list.  The most common financial support was to buy food or provide money.  The least common was to pay all or part of the rent or mortgage or all bills.</w:t>
      </w:r>
    </w:p>
    <w:p w14:paraId="1F5520EC" w14:textId="77777777" w:rsidR="005C4B8F" w:rsidRDefault="005C4B8F" w:rsidP="005C4B8F">
      <w:pPr>
        <w:rPr>
          <w:rFonts w:asciiTheme="majorHAnsi" w:hAnsiTheme="majorHAnsi"/>
        </w:rPr>
      </w:pPr>
      <w:r w:rsidRPr="00BD0758">
        <w:rPr>
          <w:rFonts w:asciiTheme="majorHAnsi" w:hAnsiTheme="majorHAnsi"/>
        </w:rPr>
        <w:t>The percentage of respondents providing financial support or assistance is equivalent to around 295,300 New Zealanders 18+.  On average, respondents providing financial support or assistance were providing it in 2.3 different ways.</w:t>
      </w:r>
    </w:p>
    <w:p w14:paraId="1FDCCEA9" w14:textId="77777777" w:rsidR="005C4B8F" w:rsidRPr="00BD0758" w:rsidRDefault="005C4B8F" w:rsidP="005C4B8F">
      <w:pPr>
        <w:rPr>
          <w:rFonts w:asciiTheme="majorHAnsi" w:hAnsiTheme="majorHAnsi"/>
        </w:rPr>
      </w:pPr>
    </w:p>
    <w:p w14:paraId="74F0E376" w14:textId="77777777" w:rsidR="005C4B8F" w:rsidRDefault="005C4B8F" w:rsidP="005C4B8F">
      <w:pPr>
        <w:jc w:val="both"/>
      </w:pPr>
      <w:r w:rsidRPr="00BD0758">
        <w:rPr>
          <w:rFonts w:asciiTheme="majorHAnsi" w:hAnsiTheme="majorHAnsi"/>
          <w:noProof/>
          <w:lang w:val="en-NZ" w:eastAsia="en-NZ"/>
        </w:rPr>
        <w:lastRenderedPageBreak/>
        <w:drawing>
          <wp:inline distT="0" distB="0" distL="0" distR="0" wp14:anchorId="431BC319" wp14:editId="1B187B8A">
            <wp:extent cx="4530436" cy="6560127"/>
            <wp:effectExtent l="0" t="0" r="381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531D4D" w14:textId="77777777" w:rsidR="005C4B8F" w:rsidRPr="00BD0758" w:rsidRDefault="005C4B8F" w:rsidP="005C4B8F">
      <w:pPr>
        <w:pStyle w:val="Heading3"/>
        <w:ind w:left="0"/>
        <w:rPr>
          <w:color w:val="auto"/>
        </w:rPr>
      </w:pPr>
      <w:r w:rsidRPr="00BD0758">
        <w:rPr>
          <w:color w:val="auto"/>
          <w:sz w:val="24"/>
        </w:rPr>
        <w:t>Other support</w:t>
      </w:r>
    </w:p>
    <w:p w14:paraId="0798017F" w14:textId="77777777" w:rsidR="005C4B8F" w:rsidRPr="00BD0758" w:rsidRDefault="005C4B8F" w:rsidP="005C4B8F">
      <w:pPr>
        <w:rPr>
          <w:rFonts w:asciiTheme="majorHAnsi" w:hAnsiTheme="majorHAnsi"/>
        </w:rPr>
      </w:pPr>
      <w:r w:rsidRPr="00BD0758">
        <w:rPr>
          <w:rFonts w:asciiTheme="majorHAnsi" w:hAnsiTheme="majorHAnsi"/>
        </w:rPr>
        <w:t>11% of those providing some care or assistance indicated that they provided support of a form that was not listed.  Most was of an “in person” nature.</w:t>
      </w:r>
    </w:p>
    <w:p w14:paraId="6D7E158A" w14:textId="77777777" w:rsidR="005C4B8F" w:rsidRPr="00BD0758" w:rsidRDefault="005C4B8F" w:rsidP="005C4B8F">
      <w:pPr>
        <w:rPr>
          <w:rFonts w:asciiTheme="majorHAnsi" w:hAnsiTheme="majorHAnsi"/>
        </w:rPr>
      </w:pPr>
    </w:p>
    <w:p w14:paraId="190D3603" w14:textId="77777777" w:rsidR="005C4B8F" w:rsidRPr="00BD0758" w:rsidRDefault="005C4B8F" w:rsidP="005C4B8F">
      <w:pPr>
        <w:rPr>
          <w:rFonts w:asciiTheme="majorHAnsi" w:hAnsiTheme="majorHAnsi"/>
        </w:rPr>
      </w:pPr>
      <w:r w:rsidRPr="00BD0758">
        <w:rPr>
          <w:rFonts w:asciiTheme="majorHAnsi" w:hAnsiTheme="majorHAnsi"/>
        </w:rPr>
        <w:t>A representative selection of respondent comments covering the other assistance provided is shown below:</w:t>
      </w:r>
    </w:p>
    <w:p w14:paraId="2ADDD3B4" w14:textId="77777777" w:rsidR="005C4B8F" w:rsidRPr="00BD0758" w:rsidRDefault="005C4B8F" w:rsidP="005C4B8F">
      <w:pPr>
        <w:rPr>
          <w:rFonts w:asciiTheme="majorHAnsi" w:hAnsiTheme="majorHAnsi"/>
        </w:rPr>
      </w:pPr>
    </w:p>
    <w:p w14:paraId="1B0F663A" w14:textId="77777777" w:rsidR="005C4B8F" w:rsidRPr="00BD0758" w:rsidRDefault="005C4B8F" w:rsidP="005C4B8F">
      <w:pPr>
        <w:ind w:left="720"/>
        <w:rPr>
          <w:rFonts w:asciiTheme="majorHAnsi" w:hAnsiTheme="majorHAnsi"/>
          <w:i/>
        </w:rPr>
      </w:pPr>
      <w:r w:rsidRPr="00BD0758">
        <w:rPr>
          <w:rFonts w:asciiTheme="majorHAnsi" w:hAnsiTheme="majorHAnsi"/>
          <w:i/>
        </w:rPr>
        <w:t xml:space="preserve"> “Do gardening chores; chop firewood.”</w:t>
      </w:r>
    </w:p>
    <w:p w14:paraId="38D17DA3"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“General support. We help each other where necessary</w:t>
      </w:r>
    </w:p>
    <w:p w14:paraId="57CDA364"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“Help look after their pets (feed them and or walk them).”</w:t>
      </w:r>
    </w:p>
    <w:p w14:paraId="0702109E"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“Help them organise their affairs and routines.”</w:t>
      </w:r>
    </w:p>
    <w:p w14:paraId="75443657"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lastRenderedPageBreak/>
        <w:t>“Help with computer problems, and provide advice for legal matters.”</w:t>
      </w:r>
    </w:p>
    <w:p w14:paraId="54E5A99B"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“Sort/setup their electronics (computer, phone etc.).”</w:t>
      </w:r>
    </w:p>
    <w:p w14:paraId="09A87ED9"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“Help with medical treatments e.g. dressings on a wound.”</w:t>
      </w:r>
    </w:p>
    <w:p w14:paraId="2016EEA6"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“Hospital appointments and DTs visits.”</w:t>
      </w:r>
    </w:p>
    <w:p w14:paraId="2ACE2967"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“I do all medical &amp; my sister does all financial aspects.”</w:t>
      </w:r>
    </w:p>
    <w:p w14:paraId="421718C1"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“I pay for and make up herbal medicine for her obtained from overseas.”</w:t>
      </w:r>
    </w:p>
    <w:p w14:paraId="0B1D70C5"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“Mow lawns and other property maintenance. Deal with legal matters. Drive to/from hospital for eye surgery.”</w:t>
      </w:r>
    </w:p>
    <w:p w14:paraId="037BE214"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“Provide firewood.”</w:t>
      </w:r>
    </w:p>
    <w:p w14:paraId="429CC8B2"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“Provide veg, milk &amp; eggs from my garden, cow &amp; hens.”</w:t>
      </w:r>
    </w:p>
    <w:p w14:paraId="13CC2DAF"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“Pay for taxi fares 24 / 7 &amp; they don't use it much.”</w:t>
      </w:r>
    </w:p>
    <w:p w14:paraId="1B013DF6"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“Buy clothes, furniture, household goods.”</w:t>
      </w:r>
    </w:p>
    <w:p w14:paraId="19B2C05D"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“Change library books &amp; do errands for them.”</w:t>
      </w:r>
    </w:p>
    <w:p w14:paraId="798A79E3"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“Counsel/advice.”</w:t>
      </w:r>
    </w:p>
    <w:p w14:paraId="5072EBF4"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“The family have purchased a home and pay the mortgage.”</w:t>
      </w:r>
    </w:p>
    <w:p w14:paraId="63D2DE75"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“Voluntarily do home cleaning, mow lawns and garden for elderly people.”</w:t>
      </w:r>
    </w:p>
    <w:p w14:paraId="2BAD2125"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“Take to all forms of medical treatment.”</w:t>
      </w:r>
    </w:p>
    <w:p w14:paraId="2BDD5ED6" w14:textId="77777777" w:rsidR="005C4B8F" w:rsidRPr="00BD0758" w:rsidRDefault="005C4B8F" w:rsidP="005C4B8F">
      <w:pPr>
        <w:spacing w:after="60"/>
        <w:ind w:left="720"/>
        <w:rPr>
          <w:rFonts w:asciiTheme="majorHAnsi" w:hAnsiTheme="majorHAnsi"/>
          <w:i/>
        </w:rPr>
      </w:pPr>
      <w:r w:rsidRPr="00BD0758">
        <w:rPr>
          <w:rFonts w:asciiTheme="majorHAnsi" w:hAnsiTheme="majorHAnsi"/>
          <w:i/>
        </w:rPr>
        <w:t>“Take to all medical appointments, go to pay their bills.”</w:t>
      </w:r>
    </w:p>
    <w:p w14:paraId="668BFBC6" w14:textId="77777777" w:rsidR="005C4B8F" w:rsidRPr="00604245" w:rsidRDefault="005C4B8F" w:rsidP="005C4B8F">
      <w:pPr>
        <w:ind w:firstLine="720"/>
      </w:pPr>
      <w:r w:rsidRPr="00BD0758">
        <w:rPr>
          <w:rFonts w:asciiTheme="majorHAnsi" w:hAnsiTheme="majorHAnsi"/>
          <w:i/>
        </w:rPr>
        <w:t>“</w:t>
      </w:r>
      <w:r>
        <w:rPr>
          <w:rFonts w:asciiTheme="majorHAnsi" w:hAnsiTheme="majorHAnsi"/>
          <w:i/>
        </w:rPr>
        <w:t>Taking to medical appointments.”</w:t>
      </w:r>
    </w:p>
    <w:p w14:paraId="1664CE72" w14:textId="6DD07A8A" w:rsidR="00F803E3" w:rsidRPr="005C4B8F" w:rsidRDefault="00F803E3" w:rsidP="005C4B8F"/>
    <w:sectPr w:rsidR="00F803E3" w:rsidRPr="005C4B8F" w:rsidSect="00935F4C">
      <w:headerReference w:type="default" r:id="rId18"/>
      <w:footerReference w:type="default" r:id="rId19"/>
      <w:pgSz w:w="11900" w:h="16840"/>
      <w:pgMar w:top="1440" w:right="1440" w:bottom="1440" w:left="1440" w:header="0"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01AF0" w14:textId="77777777" w:rsidR="00F46FB5" w:rsidRDefault="00F46FB5">
      <w:r>
        <w:separator/>
      </w:r>
    </w:p>
  </w:endnote>
  <w:endnote w:type="continuationSeparator" w:id="0">
    <w:p w14:paraId="5B0DCD6A" w14:textId="77777777" w:rsidR="00F46FB5" w:rsidRDefault="00F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105"/>
      <w:docPartObj>
        <w:docPartGallery w:val="Page Numbers (Bottom of Page)"/>
        <w:docPartUnique/>
      </w:docPartObj>
    </w:sdtPr>
    <w:sdtEndPr>
      <w:rPr>
        <w:noProof/>
      </w:rPr>
    </w:sdtEndPr>
    <w:sdtContent>
      <w:p w14:paraId="6861D15A" w14:textId="7B28870E" w:rsidR="00935F4C" w:rsidRDefault="00935F4C">
        <w:pPr>
          <w:pStyle w:val="Footer"/>
          <w:jc w:val="right"/>
        </w:pPr>
        <w:r>
          <w:fldChar w:fldCharType="begin"/>
        </w:r>
        <w:r>
          <w:instrText xml:space="preserve"> PAGE   \* MERGEFORMAT </w:instrText>
        </w:r>
        <w:r>
          <w:fldChar w:fldCharType="separate"/>
        </w:r>
        <w:r w:rsidR="005C4B8F">
          <w:rPr>
            <w:noProof/>
          </w:rPr>
          <w:t>3</w:t>
        </w:r>
        <w:r>
          <w:rPr>
            <w:noProof/>
          </w:rPr>
          <w:fldChar w:fldCharType="end"/>
        </w:r>
      </w:p>
    </w:sdtContent>
  </w:sdt>
  <w:p w14:paraId="0659E6F4" w14:textId="77777777" w:rsidR="009766F8" w:rsidRDefault="00976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13090"/>
      <w:docPartObj>
        <w:docPartGallery w:val="Page Numbers (Bottom of Page)"/>
        <w:docPartUnique/>
      </w:docPartObj>
    </w:sdtPr>
    <w:sdtEndPr>
      <w:rPr>
        <w:noProof/>
      </w:rPr>
    </w:sdtEndPr>
    <w:sdtContent>
      <w:p w14:paraId="2771EAD4" w14:textId="77777777" w:rsidR="00935F4C" w:rsidRDefault="00935F4C">
        <w:pPr>
          <w:pStyle w:val="Footer"/>
          <w:jc w:val="right"/>
        </w:pPr>
        <w:r>
          <w:fldChar w:fldCharType="begin"/>
        </w:r>
        <w:r>
          <w:instrText xml:space="preserve"> PAGE   \* MERGEFORMAT </w:instrText>
        </w:r>
        <w:r>
          <w:fldChar w:fldCharType="separate"/>
        </w:r>
        <w:r w:rsidR="005C4B8F">
          <w:rPr>
            <w:noProof/>
          </w:rPr>
          <w:t>8</w:t>
        </w:r>
        <w:r>
          <w:rPr>
            <w:noProof/>
          </w:rPr>
          <w:fldChar w:fldCharType="end"/>
        </w:r>
      </w:p>
    </w:sdtContent>
  </w:sdt>
  <w:p w14:paraId="584A8C53" w14:textId="77777777" w:rsidR="009766F8" w:rsidRDefault="0097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6DEA" w14:textId="77777777" w:rsidR="00F46FB5" w:rsidRDefault="00F46FB5">
      <w:r>
        <w:separator/>
      </w:r>
    </w:p>
  </w:footnote>
  <w:footnote w:type="continuationSeparator" w:id="0">
    <w:p w14:paraId="0032967D" w14:textId="77777777" w:rsidR="00F46FB5" w:rsidRDefault="00F4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D17E" w14:textId="77777777" w:rsidR="00053987" w:rsidRDefault="004013AC" w:rsidP="00053987">
    <w:pPr>
      <w:pStyle w:val="Header"/>
      <w:ind w:left="-1800"/>
    </w:pPr>
    <w:r>
      <w:rPr>
        <w:noProof/>
        <w:lang w:val="en-NZ" w:eastAsia="en-NZ"/>
      </w:rPr>
      <w:drawing>
        <wp:inline distT="0" distB="0" distL="0" distR="0" wp14:anchorId="2BEDD17F" wp14:editId="2BEDD180">
          <wp:extent cx="7560000" cy="2131373"/>
          <wp:effectExtent l="25400" t="0" r="9200" b="0"/>
          <wp:docPr id="9" name="Picture 0" descr="FSC_media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media release.jpg"/>
                  <pic:cNvPicPr/>
                </pic:nvPicPr>
                <pic:blipFill>
                  <a:blip r:embed="rId1"/>
                  <a:stretch>
                    <a:fillRect/>
                  </a:stretch>
                </pic:blipFill>
                <pic:spPr>
                  <a:xfrm>
                    <a:off x="0" y="0"/>
                    <a:ext cx="7560000" cy="213137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965F" w14:textId="57698741" w:rsidR="00053987" w:rsidRDefault="00053987" w:rsidP="00053987">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80E"/>
    <w:multiLevelType w:val="hybridMultilevel"/>
    <w:tmpl w:val="32B0F1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E956697"/>
    <w:multiLevelType w:val="hybridMultilevel"/>
    <w:tmpl w:val="DECE3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2B39C1"/>
    <w:multiLevelType w:val="hybridMultilevel"/>
    <w:tmpl w:val="CAAA9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A6090D"/>
    <w:multiLevelType w:val="hybridMultilevel"/>
    <w:tmpl w:val="BC36127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501513B"/>
    <w:multiLevelType w:val="hybridMultilevel"/>
    <w:tmpl w:val="261ED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63831E1"/>
    <w:multiLevelType w:val="hybridMultilevel"/>
    <w:tmpl w:val="44A2549E"/>
    <w:lvl w:ilvl="0" w:tplc="B0A2B572">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855417"/>
    <w:multiLevelType w:val="hybridMultilevel"/>
    <w:tmpl w:val="8042C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7C4D3E"/>
    <w:multiLevelType w:val="hybridMultilevel"/>
    <w:tmpl w:val="EC921F8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8" w15:restartNumberingAfterBreak="0">
    <w:nsid w:val="3AFB71EA"/>
    <w:multiLevelType w:val="hybridMultilevel"/>
    <w:tmpl w:val="FA4AAF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26976EB"/>
    <w:multiLevelType w:val="hybridMultilevel"/>
    <w:tmpl w:val="B5AAE3B4"/>
    <w:lvl w:ilvl="0" w:tplc="191EDF44">
      <w:start w:val="1"/>
      <w:numFmt w:val="decimal"/>
      <w:lvlText w:val="%1."/>
      <w:lvlJc w:val="left"/>
      <w:pPr>
        <w:ind w:left="408" w:hanging="360"/>
      </w:pPr>
      <w:rPr>
        <w:rFonts w:hint="default"/>
      </w:rPr>
    </w:lvl>
    <w:lvl w:ilvl="1" w:tplc="14090019" w:tentative="1">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abstractNum w:abstractNumId="10" w15:restartNumberingAfterBreak="0">
    <w:nsid w:val="4653333E"/>
    <w:multiLevelType w:val="hybridMultilevel"/>
    <w:tmpl w:val="3410CB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4DAD1E17"/>
    <w:multiLevelType w:val="hybridMultilevel"/>
    <w:tmpl w:val="2A30BB8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15:restartNumberingAfterBreak="0">
    <w:nsid w:val="5DDD3AE0"/>
    <w:multiLevelType w:val="hybridMultilevel"/>
    <w:tmpl w:val="B66837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D3013A3"/>
    <w:multiLevelType w:val="hybridMultilevel"/>
    <w:tmpl w:val="F36E7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F2B1C37"/>
    <w:multiLevelType w:val="hybridMultilevel"/>
    <w:tmpl w:val="20C2241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7B1825D6"/>
    <w:multiLevelType w:val="hybridMultilevel"/>
    <w:tmpl w:val="760AE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5"/>
  </w:num>
  <w:num w:numId="5">
    <w:abstractNumId w:val="13"/>
  </w:num>
  <w:num w:numId="6">
    <w:abstractNumId w:val="1"/>
  </w:num>
  <w:num w:numId="7">
    <w:abstractNumId w:val="9"/>
  </w:num>
  <w:num w:numId="8">
    <w:abstractNumId w:val="4"/>
  </w:num>
  <w:num w:numId="9">
    <w:abstractNumId w:val="8"/>
  </w:num>
  <w:num w:numId="10">
    <w:abstractNumId w:val="12"/>
  </w:num>
  <w:num w:numId="11">
    <w:abstractNumId w:val="14"/>
  </w:num>
  <w:num w:numId="12">
    <w:abstractNumId w:val="3"/>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87"/>
    <w:rsid w:val="00051B0B"/>
    <w:rsid w:val="00053987"/>
    <w:rsid w:val="000C6E9C"/>
    <w:rsid w:val="000D7E6F"/>
    <w:rsid w:val="001434D1"/>
    <w:rsid w:val="00164233"/>
    <w:rsid w:val="0017159F"/>
    <w:rsid w:val="001843C5"/>
    <w:rsid w:val="00185453"/>
    <w:rsid w:val="001C56DD"/>
    <w:rsid w:val="001C7AB5"/>
    <w:rsid w:val="001F1E30"/>
    <w:rsid w:val="001F2D80"/>
    <w:rsid w:val="002065E9"/>
    <w:rsid w:val="002078E7"/>
    <w:rsid w:val="0022285A"/>
    <w:rsid w:val="00233816"/>
    <w:rsid w:val="00254984"/>
    <w:rsid w:val="002C7EC6"/>
    <w:rsid w:val="003231A8"/>
    <w:rsid w:val="00331687"/>
    <w:rsid w:val="003348AD"/>
    <w:rsid w:val="0033570D"/>
    <w:rsid w:val="003424AA"/>
    <w:rsid w:val="0037050F"/>
    <w:rsid w:val="00373D6D"/>
    <w:rsid w:val="003C4147"/>
    <w:rsid w:val="003C5037"/>
    <w:rsid w:val="003F383D"/>
    <w:rsid w:val="004013AC"/>
    <w:rsid w:val="00415305"/>
    <w:rsid w:val="00416826"/>
    <w:rsid w:val="004C0C43"/>
    <w:rsid w:val="004E6E55"/>
    <w:rsid w:val="00504FD8"/>
    <w:rsid w:val="00537BB7"/>
    <w:rsid w:val="00563703"/>
    <w:rsid w:val="00564D11"/>
    <w:rsid w:val="00565930"/>
    <w:rsid w:val="005C4B8F"/>
    <w:rsid w:val="005D6DE2"/>
    <w:rsid w:val="005F251E"/>
    <w:rsid w:val="005F6742"/>
    <w:rsid w:val="00615587"/>
    <w:rsid w:val="00622C3D"/>
    <w:rsid w:val="00640C8A"/>
    <w:rsid w:val="00644323"/>
    <w:rsid w:val="00682BA6"/>
    <w:rsid w:val="00687868"/>
    <w:rsid w:val="00703F7B"/>
    <w:rsid w:val="00705829"/>
    <w:rsid w:val="007135DB"/>
    <w:rsid w:val="00744349"/>
    <w:rsid w:val="007945F3"/>
    <w:rsid w:val="007D7266"/>
    <w:rsid w:val="007F4B03"/>
    <w:rsid w:val="00844F03"/>
    <w:rsid w:val="008F1494"/>
    <w:rsid w:val="00934B96"/>
    <w:rsid w:val="00935F4C"/>
    <w:rsid w:val="009729D1"/>
    <w:rsid w:val="009766F8"/>
    <w:rsid w:val="009913E4"/>
    <w:rsid w:val="009B0336"/>
    <w:rsid w:val="009E6CF6"/>
    <w:rsid w:val="00A00153"/>
    <w:rsid w:val="00A83AFF"/>
    <w:rsid w:val="00A86C84"/>
    <w:rsid w:val="00A9382D"/>
    <w:rsid w:val="00AA46C3"/>
    <w:rsid w:val="00B063C6"/>
    <w:rsid w:val="00B144D9"/>
    <w:rsid w:val="00B14A4B"/>
    <w:rsid w:val="00B662DB"/>
    <w:rsid w:val="00B955A4"/>
    <w:rsid w:val="00BB423A"/>
    <w:rsid w:val="00BB5F33"/>
    <w:rsid w:val="00BC4928"/>
    <w:rsid w:val="00C2597F"/>
    <w:rsid w:val="00C46E6D"/>
    <w:rsid w:val="00C73E27"/>
    <w:rsid w:val="00C877D8"/>
    <w:rsid w:val="00C90203"/>
    <w:rsid w:val="00CA51AE"/>
    <w:rsid w:val="00CF2C83"/>
    <w:rsid w:val="00CF6BF4"/>
    <w:rsid w:val="00D004CF"/>
    <w:rsid w:val="00D02EF9"/>
    <w:rsid w:val="00D35A46"/>
    <w:rsid w:val="00D37BEB"/>
    <w:rsid w:val="00D53980"/>
    <w:rsid w:val="00D8538F"/>
    <w:rsid w:val="00D94473"/>
    <w:rsid w:val="00D96ABA"/>
    <w:rsid w:val="00DB3052"/>
    <w:rsid w:val="00DB42FA"/>
    <w:rsid w:val="00DD7210"/>
    <w:rsid w:val="00DF5F69"/>
    <w:rsid w:val="00E0135E"/>
    <w:rsid w:val="00E07560"/>
    <w:rsid w:val="00E82841"/>
    <w:rsid w:val="00E846C1"/>
    <w:rsid w:val="00EC7465"/>
    <w:rsid w:val="00F128D1"/>
    <w:rsid w:val="00F4586E"/>
    <w:rsid w:val="00F46FB5"/>
    <w:rsid w:val="00F7643B"/>
    <w:rsid w:val="00F80034"/>
    <w:rsid w:val="00F803E3"/>
    <w:rsid w:val="00FD5BF0"/>
    <w:rsid w:val="00FF113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EDD15C"/>
  <w15:docId w15:val="{9AD4DFFE-AA3D-44B8-9403-A268172A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FA"/>
    <w:rPr>
      <w:sz w:val="24"/>
      <w:szCs w:val="24"/>
    </w:rPr>
  </w:style>
  <w:style w:type="paragraph" w:styleId="Heading1">
    <w:name w:val="heading 1"/>
    <w:basedOn w:val="Normal"/>
    <w:next w:val="Normal"/>
    <w:link w:val="Heading1Char"/>
    <w:uiPriority w:val="9"/>
    <w:qFormat/>
    <w:rsid w:val="005C4B8F"/>
    <w:pPr>
      <w:keepNext/>
      <w:keepLines/>
      <w:spacing w:before="480" w:line="276" w:lineRule="auto"/>
      <w:ind w:left="425"/>
      <w:outlineLvl w:val="0"/>
    </w:pPr>
    <w:rPr>
      <w:rFonts w:asciiTheme="majorHAnsi" w:eastAsiaTheme="majorEastAsia" w:hAnsiTheme="majorHAnsi" w:cstheme="majorBidi"/>
      <w:b/>
      <w:bCs/>
      <w:color w:val="365F91" w:themeColor="accent1" w:themeShade="BF"/>
      <w:sz w:val="28"/>
      <w:szCs w:val="28"/>
      <w:lang w:val="en-NZ"/>
    </w:rPr>
  </w:style>
  <w:style w:type="paragraph" w:styleId="Heading2">
    <w:name w:val="heading 2"/>
    <w:basedOn w:val="Normal"/>
    <w:next w:val="Normal"/>
    <w:link w:val="Heading2Char"/>
    <w:uiPriority w:val="9"/>
    <w:unhideWhenUsed/>
    <w:qFormat/>
    <w:rsid w:val="005C4B8F"/>
    <w:pPr>
      <w:keepNext/>
      <w:keepLines/>
      <w:spacing w:before="200" w:line="276" w:lineRule="auto"/>
      <w:ind w:left="425"/>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unhideWhenUsed/>
    <w:qFormat/>
    <w:rsid w:val="005C4B8F"/>
    <w:pPr>
      <w:keepNext/>
      <w:keepLines/>
      <w:spacing w:before="200" w:line="276" w:lineRule="auto"/>
      <w:ind w:left="425"/>
      <w:outlineLvl w:val="2"/>
    </w:pPr>
    <w:rPr>
      <w:rFonts w:asciiTheme="majorHAnsi" w:eastAsiaTheme="majorEastAsia" w:hAnsiTheme="majorHAnsi" w:cstheme="majorBidi"/>
      <w:b/>
      <w:bCs/>
      <w:color w:val="4F81BD" w:themeColor="accent1"/>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987"/>
    <w:pPr>
      <w:tabs>
        <w:tab w:val="center" w:pos="4320"/>
        <w:tab w:val="right" w:pos="8640"/>
      </w:tabs>
    </w:pPr>
  </w:style>
  <w:style w:type="character" w:customStyle="1" w:styleId="HeaderChar">
    <w:name w:val="Header Char"/>
    <w:basedOn w:val="DefaultParagraphFont"/>
    <w:link w:val="Header"/>
    <w:uiPriority w:val="99"/>
    <w:rsid w:val="00053987"/>
    <w:rPr>
      <w:sz w:val="24"/>
      <w:szCs w:val="24"/>
    </w:rPr>
  </w:style>
  <w:style w:type="paragraph" w:styleId="Footer">
    <w:name w:val="footer"/>
    <w:basedOn w:val="Normal"/>
    <w:link w:val="FooterChar"/>
    <w:uiPriority w:val="99"/>
    <w:unhideWhenUsed/>
    <w:rsid w:val="00053987"/>
    <w:pPr>
      <w:tabs>
        <w:tab w:val="center" w:pos="4320"/>
        <w:tab w:val="right" w:pos="8640"/>
      </w:tabs>
    </w:pPr>
  </w:style>
  <w:style w:type="character" w:customStyle="1" w:styleId="FooterChar">
    <w:name w:val="Footer Char"/>
    <w:basedOn w:val="DefaultParagraphFont"/>
    <w:link w:val="Footer"/>
    <w:uiPriority w:val="99"/>
    <w:rsid w:val="00053987"/>
    <w:rPr>
      <w:sz w:val="24"/>
      <w:szCs w:val="24"/>
    </w:rPr>
  </w:style>
  <w:style w:type="paragraph" w:styleId="BalloonText">
    <w:name w:val="Balloon Text"/>
    <w:basedOn w:val="Normal"/>
    <w:link w:val="BalloonTextChar"/>
    <w:uiPriority w:val="99"/>
    <w:semiHidden/>
    <w:unhideWhenUsed/>
    <w:rsid w:val="00934B96"/>
    <w:rPr>
      <w:rFonts w:ascii="Tahoma" w:hAnsi="Tahoma" w:cs="Tahoma"/>
      <w:sz w:val="16"/>
      <w:szCs w:val="16"/>
    </w:rPr>
  </w:style>
  <w:style w:type="character" w:customStyle="1" w:styleId="BalloonTextChar">
    <w:name w:val="Balloon Text Char"/>
    <w:basedOn w:val="DefaultParagraphFont"/>
    <w:link w:val="BalloonText"/>
    <w:uiPriority w:val="99"/>
    <w:semiHidden/>
    <w:rsid w:val="00934B96"/>
    <w:rPr>
      <w:rFonts w:ascii="Tahoma" w:hAnsi="Tahoma" w:cs="Tahoma"/>
      <w:sz w:val="16"/>
      <w:szCs w:val="16"/>
    </w:rPr>
  </w:style>
  <w:style w:type="paragraph" w:styleId="ListParagraph">
    <w:name w:val="List Paragraph"/>
    <w:basedOn w:val="Normal"/>
    <w:uiPriority w:val="34"/>
    <w:qFormat/>
    <w:rsid w:val="00185453"/>
    <w:pPr>
      <w:spacing w:after="200" w:line="276" w:lineRule="auto"/>
      <w:ind w:left="720"/>
      <w:contextualSpacing/>
    </w:pPr>
    <w:rPr>
      <w:sz w:val="22"/>
      <w:szCs w:val="22"/>
      <w:lang w:val="en-NZ"/>
    </w:rPr>
  </w:style>
  <w:style w:type="character" w:styleId="Hyperlink">
    <w:name w:val="Hyperlink"/>
    <w:basedOn w:val="DefaultParagraphFont"/>
    <w:uiPriority w:val="99"/>
    <w:unhideWhenUsed/>
    <w:rsid w:val="00622C3D"/>
    <w:rPr>
      <w:color w:val="0000FF" w:themeColor="hyperlink"/>
      <w:u w:val="single"/>
    </w:rPr>
  </w:style>
  <w:style w:type="table" w:styleId="TableGrid">
    <w:name w:val="Table Grid"/>
    <w:basedOn w:val="TableNormal"/>
    <w:uiPriority w:val="59"/>
    <w:rsid w:val="008F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AA"/>
    <w:rPr>
      <w:sz w:val="16"/>
      <w:szCs w:val="16"/>
    </w:rPr>
  </w:style>
  <w:style w:type="paragraph" w:styleId="CommentText">
    <w:name w:val="annotation text"/>
    <w:basedOn w:val="Normal"/>
    <w:link w:val="CommentTextChar"/>
    <w:uiPriority w:val="99"/>
    <w:semiHidden/>
    <w:unhideWhenUsed/>
    <w:rsid w:val="003424AA"/>
    <w:rPr>
      <w:sz w:val="20"/>
      <w:szCs w:val="20"/>
    </w:rPr>
  </w:style>
  <w:style w:type="character" w:customStyle="1" w:styleId="CommentTextChar">
    <w:name w:val="Comment Text Char"/>
    <w:basedOn w:val="DefaultParagraphFont"/>
    <w:link w:val="CommentText"/>
    <w:uiPriority w:val="99"/>
    <w:semiHidden/>
    <w:rsid w:val="003424AA"/>
  </w:style>
  <w:style w:type="paragraph" w:styleId="CommentSubject">
    <w:name w:val="annotation subject"/>
    <w:basedOn w:val="CommentText"/>
    <w:next w:val="CommentText"/>
    <w:link w:val="CommentSubjectChar"/>
    <w:uiPriority w:val="99"/>
    <w:semiHidden/>
    <w:unhideWhenUsed/>
    <w:rsid w:val="003424AA"/>
    <w:rPr>
      <w:b/>
      <w:bCs/>
    </w:rPr>
  </w:style>
  <w:style w:type="character" w:customStyle="1" w:styleId="CommentSubjectChar">
    <w:name w:val="Comment Subject Char"/>
    <w:basedOn w:val="CommentTextChar"/>
    <w:link w:val="CommentSubject"/>
    <w:uiPriority w:val="99"/>
    <w:semiHidden/>
    <w:rsid w:val="003424AA"/>
    <w:rPr>
      <w:b/>
      <w:bCs/>
    </w:rPr>
  </w:style>
  <w:style w:type="character" w:styleId="HTMLCite">
    <w:name w:val="HTML Cite"/>
    <w:basedOn w:val="DefaultParagraphFont"/>
    <w:uiPriority w:val="99"/>
    <w:semiHidden/>
    <w:unhideWhenUsed/>
    <w:rsid w:val="009B0336"/>
    <w:rPr>
      <w:i/>
      <w:iCs/>
    </w:rPr>
  </w:style>
  <w:style w:type="character" w:styleId="FollowedHyperlink">
    <w:name w:val="FollowedHyperlink"/>
    <w:basedOn w:val="DefaultParagraphFont"/>
    <w:uiPriority w:val="99"/>
    <w:semiHidden/>
    <w:unhideWhenUsed/>
    <w:rsid w:val="009B0336"/>
    <w:rPr>
      <w:color w:val="800080" w:themeColor="followedHyperlink"/>
      <w:u w:val="single"/>
    </w:rPr>
  </w:style>
  <w:style w:type="character" w:customStyle="1" w:styleId="Heading1Char">
    <w:name w:val="Heading 1 Char"/>
    <w:basedOn w:val="DefaultParagraphFont"/>
    <w:link w:val="Heading1"/>
    <w:uiPriority w:val="9"/>
    <w:rsid w:val="005C4B8F"/>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rsid w:val="005C4B8F"/>
    <w:rPr>
      <w:rFonts w:asciiTheme="majorHAnsi" w:eastAsiaTheme="majorEastAsia" w:hAnsiTheme="majorHAnsi" w:cstheme="majorBidi"/>
      <w:b/>
      <w:bCs/>
      <w:color w:val="4F81BD" w:themeColor="accent1"/>
      <w:sz w:val="26"/>
      <w:szCs w:val="26"/>
      <w:lang w:val="en-NZ"/>
    </w:rPr>
  </w:style>
  <w:style w:type="character" w:customStyle="1" w:styleId="Heading3Char">
    <w:name w:val="Heading 3 Char"/>
    <w:basedOn w:val="DefaultParagraphFont"/>
    <w:link w:val="Heading3"/>
    <w:uiPriority w:val="9"/>
    <w:rsid w:val="005C4B8F"/>
    <w:rPr>
      <w:rFonts w:asciiTheme="majorHAnsi" w:eastAsiaTheme="majorEastAsia" w:hAnsiTheme="majorHAnsi" w:cstheme="majorBidi"/>
      <w:b/>
      <w:bCs/>
      <w:color w:val="4F81BD" w:themeColor="accent1"/>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neilson@fsc.org.nz"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My%20Documents\Grant\Horizon\FSC\August%202015%20KiwiSaver\Financial%20Future%20July%2021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Grant\Horizon\FSC\August%202015%20KiwiSaver\Financial%20Future%20July%2021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Documents\Grant\Horizon\FSC\August%202015%20KiwiSaver\Financial%20Future%20July%2021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Documents\Grant\Horizon\FSC\August%202015%20KiwiSaver\Financial%20Future%20July%2021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j-lt"/>
                <a:ea typeface="+mn-ea"/>
                <a:cs typeface="+mn-cs"/>
              </a:defRPr>
            </a:pPr>
            <a:r>
              <a:rPr lang="en-NZ" sz="1200">
                <a:latin typeface="+mj-lt"/>
              </a:rPr>
              <a:t>Do you personally provide unpaid private care or provide any assistance for anyone, including friends, family or spouse/partner, who is over the age of 65?</a:t>
            </a:r>
          </a:p>
        </c:rich>
      </c:tx>
      <c:overlay val="0"/>
      <c:spPr>
        <a:noFill/>
        <a:ln>
          <a:noFill/>
        </a:ln>
        <a:effectLst/>
      </c:spPr>
    </c:title>
    <c:autoTitleDeleted val="0"/>
    <c:plotArea>
      <c:layout/>
      <c:lineChart>
        <c:grouping val="standard"/>
        <c:varyColors val="0"/>
        <c:ser>
          <c:idx val="0"/>
          <c:order val="0"/>
          <c:tx>
            <c:strRef>
              <c:f>'D Profiles Carers'!$D$5</c:f>
              <c:strCache>
                <c:ptCount val="1"/>
                <c:pt idx="0">
                  <c:v>ALL Respondents</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dLblPos val="t"/>
              <c:showLegendKey val="0"/>
              <c:showVal val="1"/>
              <c:showCatName val="0"/>
              <c:showSerName val="0"/>
              <c:showPercent val="0"/>
              <c:showBubbleSize val="0"/>
              <c:extLst>
                <c:ext xmlns:c15="http://schemas.microsoft.com/office/drawing/2012/chart" uri="{CE6537A1-D6FC-4f65-9D91-7224C49458BB}"/>
              </c:extLst>
            </c:dLbl>
            <c:dLbl>
              <c:idx val="1"/>
              <c:layout>
                <c:manualLayout>
                  <c:x val="-9.2437664041994744E-2"/>
                  <c:y val="-3.2773794337160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8722222222222221E-2"/>
                  <c:y val="3.90782856053608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388888888888888E-2"/>
                  <c:y val="6.88734438921391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8166666666666666E-2"/>
                  <c:y val="5.6144518248068152E-3"/>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7611111111111108E-2"/>
                  <c:y val="-4.65270751770553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0"/>
                  <c:y val="7.4487895716945996E-3"/>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j-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 Profiles Carers'!$C$11:$C$17</c:f>
              <c:strCache>
                <c:ptCount val="7"/>
                <c:pt idx="0">
                  <c:v>Under 25 years</c:v>
                </c:pt>
                <c:pt idx="1">
                  <c:v>25-34 years</c:v>
                </c:pt>
                <c:pt idx="2">
                  <c:v>35-44 years</c:v>
                </c:pt>
                <c:pt idx="3">
                  <c:v>45-54 years</c:v>
                </c:pt>
                <c:pt idx="4">
                  <c:v>55-64 years</c:v>
                </c:pt>
                <c:pt idx="5">
                  <c:v>65-74 years</c:v>
                </c:pt>
                <c:pt idx="6">
                  <c:v>75 years or over</c:v>
                </c:pt>
              </c:strCache>
            </c:strRef>
          </c:cat>
          <c:val>
            <c:numRef>
              <c:f>'D Profiles Carers'!$D$11:$D$17</c:f>
              <c:numCache>
                <c:formatCode>0.0%</c:formatCode>
                <c:ptCount val="7"/>
                <c:pt idx="0">
                  <c:v>0.12879625018128368</c:v>
                </c:pt>
                <c:pt idx="1">
                  <c:v>0.16137287409555062</c:v>
                </c:pt>
                <c:pt idx="2">
                  <c:v>0.14309528456602205</c:v>
                </c:pt>
                <c:pt idx="3">
                  <c:v>0.25670990446814379</c:v>
                </c:pt>
                <c:pt idx="4">
                  <c:v>0.13835720481486358</c:v>
                </c:pt>
                <c:pt idx="5">
                  <c:v>0.12775406304889955</c:v>
                </c:pt>
                <c:pt idx="6">
                  <c:v>4.3914418825236702E-2</c:v>
                </c:pt>
              </c:numCache>
            </c:numRef>
          </c:val>
          <c:smooth val="0"/>
        </c:ser>
        <c:ser>
          <c:idx val="1"/>
          <c:order val="1"/>
          <c:tx>
            <c:strRef>
              <c:f>'D Profiles Carers'!$F$5</c:f>
              <c:strCache>
                <c:ptCount val="1"/>
                <c:pt idx="0">
                  <c:v>Yes</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dLblPos val="l"/>
              <c:showLegendKey val="0"/>
              <c:showVal val="1"/>
              <c:showCatName val="0"/>
              <c:showSerName val="0"/>
              <c:showPercent val="0"/>
              <c:showBubbleSize val="0"/>
              <c:extLst>
                <c:ext xmlns:c15="http://schemas.microsoft.com/office/drawing/2012/chart" uri="{CE6537A1-D6FC-4f65-9D91-7224C49458BB}"/>
              </c:extLst>
            </c:dLbl>
            <c:dLbl>
              <c:idx val="1"/>
              <c:dLblPos val="b"/>
              <c:showLegendKey val="0"/>
              <c:showVal val="1"/>
              <c:showCatName val="0"/>
              <c:showSerName val="0"/>
              <c:showPercent val="0"/>
              <c:showBubbleSize val="0"/>
              <c:extLst>
                <c:ext xmlns:c15="http://schemas.microsoft.com/office/drawing/2012/chart" uri="{CE6537A1-D6FC-4f65-9D91-7224C49458BB}"/>
              </c:extLst>
            </c:dLbl>
            <c:dLbl>
              <c:idx val="4"/>
              <c:layout>
                <c:manualLayout>
                  <c:x val="-2.5944444444444548E-2"/>
                  <c:y val="-3.9078285605360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9277777777777881E-2"/>
                  <c:y val="3.16852153257379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dLblPos val="b"/>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 Profiles Carers'!$C$11:$C$17</c:f>
              <c:strCache>
                <c:ptCount val="7"/>
                <c:pt idx="0">
                  <c:v>Under 25 years</c:v>
                </c:pt>
                <c:pt idx="1">
                  <c:v>25-34 years</c:v>
                </c:pt>
                <c:pt idx="2">
                  <c:v>35-44 years</c:v>
                </c:pt>
                <c:pt idx="3">
                  <c:v>45-54 years</c:v>
                </c:pt>
                <c:pt idx="4">
                  <c:v>55-64 years</c:v>
                </c:pt>
                <c:pt idx="5">
                  <c:v>65-74 years</c:v>
                </c:pt>
                <c:pt idx="6">
                  <c:v>75 years or over</c:v>
                </c:pt>
              </c:strCache>
            </c:strRef>
          </c:cat>
          <c:val>
            <c:numRef>
              <c:f>'D Profiles Carers'!$F$11:$F$17</c:f>
              <c:numCache>
                <c:formatCode>0.0%</c:formatCode>
                <c:ptCount val="7"/>
                <c:pt idx="0">
                  <c:v>6.845055699757252E-2</c:v>
                </c:pt>
                <c:pt idx="1">
                  <c:v>0.16300501984358901</c:v>
                </c:pt>
                <c:pt idx="2">
                  <c:v>0.16338290077999862</c:v>
                </c:pt>
                <c:pt idx="3">
                  <c:v>0.30560561809064124</c:v>
                </c:pt>
                <c:pt idx="4">
                  <c:v>0.14650728580637154</c:v>
                </c:pt>
                <c:pt idx="5">
                  <c:v>0.11607323678271508</c:v>
                </c:pt>
                <c:pt idx="6">
                  <c:v>3.6975381699111999E-2</c:v>
                </c:pt>
              </c:numCache>
            </c:numRef>
          </c:val>
          <c:smooth val="0"/>
        </c:ser>
        <c:ser>
          <c:idx val="2"/>
          <c:order val="2"/>
          <c:tx>
            <c:strRef>
              <c:f>'D Profiles Carers'!$G$5</c:f>
              <c:strCache>
                <c:ptCount val="1"/>
                <c:pt idx="0">
                  <c:v>No</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1"/>
              <c:layout>
                <c:manualLayout>
                  <c:x val="-3.5222222222222224E-2"/>
                  <c:y val="-3.35195530726256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1022222222222217"/>
                  <c:y val="-2.979515828677839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75000"/>
                      </a:schemeClr>
                    </a:solidFill>
                    <a:latin typeface="+mj-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 Profiles Carers'!$C$11:$C$17</c:f>
              <c:strCache>
                <c:ptCount val="7"/>
                <c:pt idx="0">
                  <c:v>Under 25 years</c:v>
                </c:pt>
                <c:pt idx="1">
                  <c:v>25-34 years</c:v>
                </c:pt>
                <c:pt idx="2">
                  <c:v>35-44 years</c:v>
                </c:pt>
                <c:pt idx="3">
                  <c:v>45-54 years</c:v>
                </c:pt>
                <c:pt idx="4">
                  <c:v>55-64 years</c:v>
                </c:pt>
                <c:pt idx="5">
                  <c:v>65-74 years</c:v>
                </c:pt>
                <c:pt idx="6">
                  <c:v>75 years or over</c:v>
                </c:pt>
              </c:strCache>
            </c:strRef>
          </c:cat>
          <c:val>
            <c:numRef>
              <c:f>'D Profiles Carers'!$G$11:$G$17</c:f>
              <c:numCache>
                <c:formatCode>0.0%</c:formatCode>
                <c:ptCount val="7"/>
                <c:pt idx="0">
                  <c:v>0.11806526521842253</c:v>
                </c:pt>
                <c:pt idx="1">
                  <c:v>0.16830175436358222</c:v>
                </c:pt>
                <c:pt idx="2">
                  <c:v>0.14058703763794228</c:v>
                </c:pt>
                <c:pt idx="3">
                  <c:v>0.26580882391191479</c:v>
                </c:pt>
                <c:pt idx="4">
                  <c:v>0.13585449697815008</c:v>
                </c:pt>
                <c:pt idx="5">
                  <c:v>0.12744192094038903</c:v>
                </c:pt>
                <c:pt idx="6">
                  <c:v>4.394070094959919E-2</c:v>
                </c:pt>
              </c:numCache>
            </c:numRef>
          </c:val>
          <c:smooth val="0"/>
        </c:ser>
        <c:dLbls>
          <c:showLegendKey val="0"/>
          <c:showVal val="0"/>
          <c:showCatName val="0"/>
          <c:showSerName val="0"/>
          <c:showPercent val="0"/>
          <c:showBubbleSize val="0"/>
        </c:dLbls>
        <c:marker val="1"/>
        <c:smooth val="0"/>
        <c:axId val="413720176"/>
        <c:axId val="413719000"/>
      </c:lineChart>
      <c:catAx>
        <c:axId val="413720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413719000"/>
        <c:crosses val="autoZero"/>
        <c:auto val="1"/>
        <c:lblAlgn val="ctr"/>
        <c:lblOffset val="100"/>
        <c:noMultiLvlLbl val="0"/>
      </c:catAx>
      <c:valAx>
        <c:axId val="413719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4137201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1" i="0" u="none" strike="noStrike" kern="1200" baseline="0">
                <a:solidFill>
                  <a:schemeClr val="accent1">
                    <a:lumMod val="75000"/>
                  </a:schemeClr>
                </a:solidFill>
                <a:latin typeface="+mj-lt"/>
                <a:ea typeface="+mn-ea"/>
                <a:cs typeface="+mn-cs"/>
              </a:defRPr>
            </a:pPr>
            <a:endParaRPr lang="en-US"/>
          </a:p>
        </c:txPr>
      </c:legendEntry>
      <c:legendEntry>
        <c:idx val="1"/>
        <c:txPr>
          <a:bodyPr rot="0" spcFirstLastPara="1" vertOverflow="ellipsis" vert="horz" wrap="square" anchor="ctr" anchorCtr="1"/>
          <a:lstStyle/>
          <a:p>
            <a:pPr>
              <a:defRPr sz="1050" b="1" i="0" u="none" strike="noStrike" kern="1200" baseline="0">
                <a:solidFill>
                  <a:schemeClr val="accent2">
                    <a:lumMod val="75000"/>
                  </a:schemeClr>
                </a:solidFill>
                <a:latin typeface="+mj-lt"/>
                <a:ea typeface="+mn-ea"/>
                <a:cs typeface="+mn-cs"/>
              </a:defRPr>
            </a:pPr>
            <a:endParaRPr lang="en-US"/>
          </a:p>
        </c:txPr>
      </c:legendEntry>
      <c:legendEntry>
        <c:idx val="2"/>
        <c:txPr>
          <a:bodyPr rot="0" spcFirstLastPara="1" vertOverflow="ellipsis" vert="horz" wrap="square" anchor="ctr" anchorCtr="1"/>
          <a:lstStyle/>
          <a:p>
            <a:pPr>
              <a:defRPr sz="1050" b="1" i="0" u="none" strike="noStrike" kern="1200" baseline="0">
                <a:solidFill>
                  <a:schemeClr val="accent3">
                    <a:lumMod val="75000"/>
                  </a:schemeClr>
                </a:solidFill>
                <a:latin typeface="+mj-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j-lt"/>
                <a:ea typeface="+mn-ea"/>
                <a:cs typeface="+mn-cs"/>
              </a:defRPr>
            </a:pPr>
            <a:r>
              <a:rPr lang="en-NZ" sz="1200">
                <a:latin typeface="+mj-lt"/>
              </a:rPr>
              <a:t>In what ways do you personally provide unpaid private care or assistance for anyone, including friends, family or spouse/partner, who is over the age of 65?</a:t>
            </a:r>
          </a:p>
          <a:p>
            <a:pPr>
              <a:defRPr sz="1200" b="1" i="0" u="none" strike="noStrike" kern="1200" baseline="0">
                <a:solidFill>
                  <a:schemeClr val="tx1">
                    <a:lumMod val="65000"/>
                    <a:lumOff val="35000"/>
                  </a:schemeClr>
                </a:solidFill>
                <a:latin typeface="+mj-lt"/>
                <a:ea typeface="+mn-ea"/>
                <a:cs typeface="+mn-cs"/>
              </a:defRPr>
            </a:pPr>
            <a:r>
              <a:rPr lang="en-NZ" sz="1200">
                <a:latin typeface="+mj-lt"/>
              </a:rPr>
              <a:t>-</a:t>
            </a:r>
            <a:r>
              <a:rPr lang="en-NZ" sz="1200" baseline="0">
                <a:latin typeface="+mj-lt"/>
              </a:rPr>
              <a:t> General</a:t>
            </a:r>
            <a:endParaRPr lang="en-NZ" sz="1200">
              <a:latin typeface="+mj-lt"/>
            </a:endParaRP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Results!$I$1218:$I$1223</c:f>
              <c:strCache>
                <c:ptCount val="6"/>
                <c:pt idx="0">
                  <c:v>Listen to them</c:v>
                </c:pt>
                <c:pt idx="1">
                  <c:v>Be there for them when they need me</c:v>
                </c:pt>
                <c:pt idx="2">
                  <c:v>Talk with them</c:v>
                </c:pt>
                <c:pt idx="3">
                  <c:v>Visit</c:v>
                </c:pt>
                <c:pt idx="4">
                  <c:v>Have them stay</c:v>
                </c:pt>
                <c:pt idx="5">
                  <c:v>Invite them for meals</c:v>
                </c:pt>
              </c:strCache>
            </c:strRef>
          </c:cat>
          <c:val>
            <c:numRef>
              <c:f>Results!$J$1218:$J$1223</c:f>
              <c:numCache>
                <c:formatCode>0.0%</c:formatCode>
                <c:ptCount val="6"/>
                <c:pt idx="0">
                  <c:v>0.65900000000000003</c:v>
                </c:pt>
                <c:pt idx="1">
                  <c:v>0.65500000000000003</c:v>
                </c:pt>
                <c:pt idx="2">
                  <c:v>0.64800000000000002</c:v>
                </c:pt>
                <c:pt idx="3">
                  <c:v>0.57399999999999995</c:v>
                </c:pt>
                <c:pt idx="4">
                  <c:v>0.14199999999999999</c:v>
                </c:pt>
                <c:pt idx="5">
                  <c:v>0.28699999999999998</c:v>
                </c:pt>
              </c:numCache>
            </c:numRef>
          </c:val>
        </c:ser>
        <c:dLbls>
          <c:showLegendKey val="0"/>
          <c:showVal val="0"/>
          <c:showCatName val="0"/>
          <c:showSerName val="0"/>
          <c:showPercent val="0"/>
          <c:showBubbleSize val="0"/>
        </c:dLbls>
        <c:gapWidth val="115"/>
        <c:overlap val="-20"/>
        <c:axId val="413720960"/>
        <c:axId val="413721744"/>
      </c:barChart>
      <c:catAx>
        <c:axId val="41372096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crossAx val="413721744"/>
        <c:crosses val="autoZero"/>
        <c:auto val="1"/>
        <c:lblAlgn val="ctr"/>
        <c:lblOffset val="100"/>
        <c:noMultiLvlLbl val="0"/>
      </c:catAx>
      <c:valAx>
        <c:axId val="4137217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41372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j-lt"/>
                <a:ea typeface="+mn-ea"/>
                <a:cs typeface="+mn-cs"/>
              </a:defRPr>
            </a:pPr>
            <a:r>
              <a:rPr lang="en-NZ" sz="1200">
                <a:latin typeface="+mj-lt"/>
              </a:rPr>
              <a:t>In what ways do you personally provide unpaid private care or assistance for anyone, including friends, family or spouse/partner, who is over the age of 65?</a:t>
            </a:r>
          </a:p>
          <a:p>
            <a:pPr>
              <a:defRPr sz="1200" b="1" i="0" u="none" strike="noStrike" kern="1200" baseline="0">
                <a:solidFill>
                  <a:schemeClr val="tx1">
                    <a:lumMod val="65000"/>
                    <a:lumOff val="35000"/>
                  </a:schemeClr>
                </a:solidFill>
                <a:latin typeface="+mj-lt"/>
                <a:ea typeface="+mn-ea"/>
                <a:cs typeface="+mn-cs"/>
              </a:defRPr>
            </a:pPr>
            <a:r>
              <a:rPr lang="en-NZ" sz="1200">
                <a:latin typeface="+mj-lt"/>
              </a:rPr>
              <a:t>-</a:t>
            </a:r>
            <a:r>
              <a:rPr lang="en-NZ" sz="1200" baseline="0">
                <a:latin typeface="+mj-lt"/>
              </a:rPr>
              <a:t> In person</a:t>
            </a:r>
            <a:endParaRPr lang="en-NZ" sz="1200">
              <a:latin typeface="+mj-lt"/>
            </a:endParaRP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Results!$I$1227:$I$1236</c:f>
              <c:strCache>
                <c:ptCount val="10"/>
                <c:pt idx="0">
                  <c:v>Drive them around</c:v>
                </c:pt>
                <c:pt idx="1">
                  <c:v>Take them shoppping</c:v>
                </c:pt>
                <c:pt idx="2">
                  <c:v>I do household chores</c:v>
                </c:pt>
                <c:pt idx="3">
                  <c:v>Take them to family events or entertainment</c:v>
                </c:pt>
                <c:pt idx="4">
                  <c:v>Cook meals</c:v>
                </c:pt>
                <c:pt idx="5">
                  <c:v>Help with household maintenance</c:v>
                </c:pt>
                <c:pt idx="6">
                  <c:v>Help them undertake activities they enjoy</c:v>
                </c:pt>
                <c:pt idx="7">
                  <c:v>Help with their personal care</c:v>
                </c:pt>
                <c:pt idx="8">
                  <c:v>They have moved in with me</c:v>
                </c:pt>
                <c:pt idx="9">
                  <c:v>I have moved in with them</c:v>
                </c:pt>
              </c:strCache>
            </c:strRef>
          </c:cat>
          <c:val>
            <c:numRef>
              <c:f>Results!$J$1227:$J$1236</c:f>
              <c:numCache>
                <c:formatCode>0.0%</c:formatCode>
                <c:ptCount val="10"/>
                <c:pt idx="0">
                  <c:v>0.51700000000000002</c:v>
                </c:pt>
                <c:pt idx="1">
                  <c:v>0.48299999999999998</c:v>
                </c:pt>
                <c:pt idx="2">
                  <c:v>0.46700000000000003</c:v>
                </c:pt>
                <c:pt idx="3">
                  <c:v>0.41899999999999998</c:v>
                </c:pt>
                <c:pt idx="4">
                  <c:v>0.41799999999999998</c:v>
                </c:pt>
                <c:pt idx="5">
                  <c:v>0.41099999999999998</c:v>
                </c:pt>
                <c:pt idx="6">
                  <c:v>0.28599999999999998</c:v>
                </c:pt>
                <c:pt idx="7">
                  <c:v>0.26900000000000002</c:v>
                </c:pt>
                <c:pt idx="8">
                  <c:v>0.14499999999999999</c:v>
                </c:pt>
                <c:pt idx="9">
                  <c:v>0.111</c:v>
                </c:pt>
              </c:numCache>
            </c:numRef>
          </c:val>
        </c:ser>
        <c:dLbls>
          <c:showLegendKey val="0"/>
          <c:showVal val="0"/>
          <c:showCatName val="0"/>
          <c:showSerName val="0"/>
          <c:showPercent val="0"/>
          <c:showBubbleSize val="0"/>
        </c:dLbls>
        <c:gapWidth val="115"/>
        <c:overlap val="-20"/>
        <c:axId val="515619912"/>
        <c:axId val="515618344"/>
      </c:barChart>
      <c:catAx>
        <c:axId val="51561991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515618344"/>
        <c:crosses val="autoZero"/>
        <c:auto val="1"/>
        <c:lblAlgn val="ctr"/>
        <c:lblOffset val="100"/>
        <c:noMultiLvlLbl val="0"/>
      </c:catAx>
      <c:valAx>
        <c:axId val="5156183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515619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j-lt"/>
                <a:ea typeface="+mn-ea"/>
                <a:cs typeface="+mn-cs"/>
              </a:defRPr>
            </a:pPr>
            <a:r>
              <a:rPr lang="en-NZ" sz="1200">
                <a:latin typeface="+mj-lt"/>
              </a:rPr>
              <a:t>In what ways do you personally provide unpaid private care or assistance for anyone, including friends, family or spouse/partner, who is over the age of 65?</a:t>
            </a:r>
          </a:p>
          <a:p>
            <a:pPr>
              <a:defRPr sz="1200" b="1" i="0" u="none" strike="noStrike" kern="1200" baseline="0">
                <a:solidFill>
                  <a:schemeClr val="tx1">
                    <a:lumMod val="65000"/>
                    <a:lumOff val="35000"/>
                  </a:schemeClr>
                </a:solidFill>
                <a:latin typeface="+mj-lt"/>
                <a:ea typeface="+mn-ea"/>
                <a:cs typeface="+mn-cs"/>
              </a:defRPr>
            </a:pPr>
            <a:r>
              <a:rPr lang="en-NZ" sz="1200">
                <a:latin typeface="+mj-lt"/>
              </a:rPr>
              <a:t>-</a:t>
            </a:r>
            <a:r>
              <a:rPr lang="en-NZ" sz="1200" baseline="0">
                <a:latin typeface="+mj-lt"/>
              </a:rPr>
              <a:t> Financial</a:t>
            </a:r>
            <a:endParaRPr lang="en-NZ" sz="1200">
              <a:latin typeface="+mj-lt"/>
            </a:endParaRPr>
          </a:p>
        </c:rich>
      </c:tx>
      <c:overlay val="0"/>
      <c:spPr>
        <a:noFill/>
        <a:ln>
          <a:noFill/>
        </a:ln>
        <a:effectLst/>
      </c:spPr>
    </c:title>
    <c:autoTitleDeleted val="0"/>
    <c:plotArea>
      <c:layout>
        <c:manualLayout>
          <c:layoutTarget val="inner"/>
          <c:xMode val="edge"/>
          <c:yMode val="edge"/>
          <c:x val="0.48490288713910762"/>
          <c:y val="0.17099485445675222"/>
          <c:w val="0.46293744531933506"/>
          <c:h val="0.80075655797262635"/>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Results!$I$1239:$I$1256</c:f>
              <c:strCache>
                <c:ptCount val="18"/>
                <c:pt idx="0">
                  <c:v>Buy food for them</c:v>
                </c:pt>
                <c:pt idx="1">
                  <c:v>Provide money</c:v>
                </c:pt>
                <c:pt idx="2">
                  <c:v>Pay some of their other bills</c:v>
                </c:pt>
                <c:pt idx="3">
                  <c:v>Help pay for entertainment (outings, movies, television subscriptions)</c:v>
                </c:pt>
                <c:pt idx="4">
                  <c:v>Help pay medical bills</c:v>
                </c:pt>
                <c:pt idx="5">
                  <c:v>Help pay for communications (telephone, mobile, internet, etc.)</c:v>
                </c:pt>
                <c:pt idx="6">
                  <c:v>Pay to replace appliances, TV, whiteware or computer</c:v>
                </c:pt>
                <c:pt idx="7">
                  <c:v>Help pay for magazines, newspaper, books</c:v>
                </c:pt>
                <c:pt idx="8">
                  <c:v>Pay for their transport or vehicle running expenses</c:v>
                </c:pt>
                <c:pt idx="9">
                  <c:v>Pay for their personal care</c:v>
                </c:pt>
                <c:pt idx="10">
                  <c:v>Pay for their holidays</c:v>
                </c:pt>
                <c:pt idx="11">
                  <c:v>Pay someone to do their home cleaning, their garden or mow their lawns</c:v>
                </c:pt>
                <c:pt idx="12">
                  <c:v>Pay for somebody else to provide home help for them</c:v>
                </c:pt>
                <c:pt idx="13">
                  <c:v>Pay some of their rent</c:v>
                </c:pt>
                <c:pt idx="14">
                  <c:v>Pay all their mortgage</c:v>
                </c:pt>
                <c:pt idx="15">
                  <c:v>Pay all their other bills</c:v>
                </c:pt>
                <c:pt idx="16">
                  <c:v>Pay their rent</c:v>
                </c:pt>
                <c:pt idx="17">
                  <c:v>Pay some of their mortgage</c:v>
                </c:pt>
              </c:strCache>
            </c:strRef>
          </c:cat>
          <c:val>
            <c:numRef>
              <c:f>Results!$J$1239:$J$1256</c:f>
              <c:numCache>
                <c:formatCode>0.0%</c:formatCode>
                <c:ptCount val="18"/>
                <c:pt idx="0">
                  <c:v>0.32700000000000001</c:v>
                </c:pt>
                <c:pt idx="1">
                  <c:v>0.26500000000000001</c:v>
                </c:pt>
                <c:pt idx="2">
                  <c:v>0.128</c:v>
                </c:pt>
                <c:pt idx="3">
                  <c:v>0.122</c:v>
                </c:pt>
                <c:pt idx="4">
                  <c:v>0.121</c:v>
                </c:pt>
                <c:pt idx="5">
                  <c:v>9.6000000000000002E-2</c:v>
                </c:pt>
                <c:pt idx="6">
                  <c:v>9.5000000000000001E-2</c:v>
                </c:pt>
                <c:pt idx="7">
                  <c:v>8.8999999999999996E-2</c:v>
                </c:pt>
                <c:pt idx="8">
                  <c:v>8.6999999999999994E-2</c:v>
                </c:pt>
                <c:pt idx="9">
                  <c:v>4.8000000000000001E-2</c:v>
                </c:pt>
                <c:pt idx="10">
                  <c:v>3.9E-2</c:v>
                </c:pt>
                <c:pt idx="11">
                  <c:v>3.5999999999999997E-2</c:v>
                </c:pt>
                <c:pt idx="12">
                  <c:v>2.4E-2</c:v>
                </c:pt>
                <c:pt idx="13">
                  <c:v>2.1999999999999999E-2</c:v>
                </c:pt>
                <c:pt idx="14">
                  <c:v>2.1000000000000001E-2</c:v>
                </c:pt>
                <c:pt idx="15">
                  <c:v>1.6E-2</c:v>
                </c:pt>
                <c:pt idx="16">
                  <c:v>1.4999999999999999E-2</c:v>
                </c:pt>
                <c:pt idx="17">
                  <c:v>8.9999999999999993E-3</c:v>
                </c:pt>
              </c:numCache>
            </c:numRef>
          </c:val>
        </c:ser>
        <c:dLbls>
          <c:showLegendKey val="0"/>
          <c:showVal val="0"/>
          <c:showCatName val="0"/>
          <c:showSerName val="0"/>
          <c:showPercent val="0"/>
          <c:showBubbleSize val="0"/>
        </c:dLbls>
        <c:gapWidth val="115"/>
        <c:overlap val="-20"/>
        <c:axId val="226328408"/>
        <c:axId val="226328800"/>
      </c:barChart>
      <c:catAx>
        <c:axId val="2263284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26328800"/>
        <c:crosses val="autoZero"/>
        <c:auto val="1"/>
        <c:lblAlgn val="ctr"/>
        <c:lblOffset val="100"/>
        <c:noMultiLvlLbl val="0"/>
      </c:catAx>
      <c:valAx>
        <c:axId val="22632880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26328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B559DC73A84D970EECF6002CCDCB" ma:contentTypeVersion="2" ma:contentTypeDescription="Create a new document." ma:contentTypeScope="" ma:versionID="4c0dd53b4fd3d11d1bb76e53b15684bb">
  <xsd:schema xmlns:xsd="http://www.w3.org/2001/XMLSchema" xmlns:xs="http://www.w3.org/2001/XMLSchema" xmlns:p="http://schemas.microsoft.com/office/2006/metadata/properties" xmlns:ns2="0d408ff8-54f8-48ce-b4c6-ecb70a701b77" targetNamespace="http://schemas.microsoft.com/office/2006/metadata/properties" ma:root="true" ma:fieldsID="abc21975263084898dc40f43f60371bf" ns2:_="">
    <xsd:import namespace="0d408ff8-54f8-48ce-b4c6-ecb70a701b7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08ff8-54f8-48ce-b4c6-ecb70a701b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FF0F-A08B-4A4F-A560-5459E979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08ff8-54f8-48ce-b4c6-ecb70a70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634AE-CE6C-48BF-A0DC-6AAD1349F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3057F-AEB4-4CC5-8ED4-7858F19978D1}">
  <ds:schemaRefs>
    <ds:schemaRef ds:uri="http://schemas.microsoft.com/sharepoint/v3/contenttype/forms"/>
  </ds:schemaRefs>
</ds:datastoreItem>
</file>

<file path=customXml/itemProps4.xml><?xml version="1.0" encoding="utf-8"?>
<ds:datastoreItem xmlns:ds="http://schemas.openxmlformats.org/officeDocument/2006/customXml" ds:itemID="{0DE9ACAD-E092-43A4-89D2-C6C8F430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Design Solutions</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O'Neill</dc:creator>
  <cp:lastModifiedBy>Virginia Gomes</cp:lastModifiedBy>
  <cp:revision>2</cp:revision>
  <cp:lastPrinted>2015-08-25T03:45:00Z</cp:lastPrinted>
  <dcterms:created xsi:type="dcterms:W3CDTF">2015-09-30T02:23:00Z</dcterms:created>
  <dcterms:modified xsi:type="dcterms:W3CDTF">2015-09-30T02:23:00Z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0x0101007514B559DC73A84D970EECF6002CCDCB</vt:lpwstr>
  </property>
</Properties>
</file>