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EF" w:rsidRDefault="000B5BEF" w:rsidP="000B5BEF">
      <w:pPr>
        <w:spacing w:after="0" w:line="360" w:lineRule="auto"/>
        <w:rPr>
          <w:rFonts w:ascii="Lucida Sans" w:hAnsi="Lucida Sans"/>
          <w:b/>
          <w:sz w:val="24"/>
          <w:lang w:val="en-US"/>
        </w:rPr>
      </w:pPr>
    </w:p>
    <w:p w:rsidR="00E8206D" w:rsidRPr="00056066" w:rsidRDefault="009B7341" w:rsidP="00CB3DBE">
      <w:pPr>
        <w:spacing w:after="200" w:line="276" w:lineRule="auto"/>
        <w:rPr>
          <w:b/>
          <w:sz w:val="24"/>
        </w:rPr>
      </w:pPr>
      <w:r w:rsidRPr="00056066">
        <w:rPr>
          <w:b/>
          <w:sz w:val="24"/>
        </w:rPr>
        <w:t>Why the Local Government Commission's report</w:t>
      </w:r>
      <w:r w:rsidR="00B97262">
        <w:rPr>
          <w:b/>
          <w:sz w:val="24"/>
        </w:rPr>
        <w:t xml:space="preserve"> on Council owned infrastructure in Hawke's Bay</w:t>
      </w:r>
      <w:r w:rsidRPr="00056066">
        <w:rPr>
          <w:b/>
          <w:sz w:val="24"/>
        </w:rPr>
        <w:t xml:space="preserve"> is wrong</w:t>
      </w:r>
    </w:p>
    <w:p w:rsidR="00860DBE" w:rsidRDefault="00860DBE">
      <w:pPr>
        <w:rPr>
          <w:b/>
        </w:rPr>
      </w:pPr>
      <w:r>
        <w:rPr>
          <w:b/>
        </w:rPr>
        <w:t xml:space="preserve">Johan </w:t>
      </w:r>
      <w:r w:rsidR="00A073F7">
        <w:rPr>
          <w:b/>
        </w:rPr>
        <w:t>Ehlers</w:t>
      </w:r>
      <w:r w:rsidR="00293824">
        <w:rPr>
          <w:b/>
        </w:rPr>
        <w:t xml:space="preserve">, </w:t>
      </w:r>
      <w:proofErr w:type="spellStart"/>
      <w:proofErr w:type="gramStart"/>
      <w:r w:rsidR="00293824">
        <w:rPr>
          <w:b/>
        </w:rPr>
        <w:t>B.Eng</w:t>
      </w:r>
      <w:proofErr w:type="spellEnd"/>
      <w:r w:rsidR="00293824">
        <w:rPr>
          <w:b/>
        </w:rPr>
        <w:t>(</w:t>
      </w:r>
      <w:proofErr w:type="spellStart"/>
      <w:proofErr w:type="gramEnd"/>
      <w:r w:rsidR="00293824">
        <w:rPr>
          <w:b/>
        </w:rPr>
        <w:t>Hons</w:t>
      </w:r>
      <w:proofErr w:type="spellEnd"/>
      <w:r w:rsidR="00293824">
        <w:rPr>
          <w:b/>
        </w:rPr>
        <w:t>)</w:t>
      </w:r>
      <w:r w:rsidR="00125DD2">
        <w:rPr>
          <w:b/>
        </w:rPr>
        <w:t>, MIPENZ,</w:t>
      </w:r>
      <w:r w:rsidR="00293824">
        <w:rPr>
          <w:b/>
        </w:rPr>
        <w:t xml:space="preserve"> </w:t>
      </w:r>
      <w:proofErr w:type="spellStart"/>
      <w:r w:rsidR="00293824">
        <w:rPr>
          <w:b/>
        </w:rPr>
        <w:t>CPEng</w:t>
      </w:r>
      <w:proofErr w:type="spellEnd"/>
      <w:r w:rsidR="00125DD2">
        <w:rPr>
          <w:b/>
        </w:rPr>
        <w:t>,</w:t>
      </w:r>
      <w:r w:rsidR="00293824">
        <w:rPr>
          <w:b/>
        </w:rPr>
        <w:t xml:space="preserve"> </w:t>
      </w:r>
      <w:proofErr w:type="spellStart"/>
      <w:r w:rsidR="00293824">
        <w:rPr>
          <w:b/>
        </w:rPr>
        <w:t>IntPE</w:t>
      </w:r>
      <w:proofErr w:type="spellEnd"/>
      <w:r w:rsidR="00293824">
        <w:rPr>
          <w:b/>
        </w:rPr>
        <w:t>(NZ)</w:t>
      </w:r>
      <w:r>
        <w:rPr>
          <w:b/>
        </w:rPr>
        <w:t>, Works Asset Development Manager</w:t>
      </w:r>
    </w:p>
    <w:p w:rsidR="00860DBE" w:rsidRDefault="00F123F6">
      <w:pPr>
        <w:rPr>
          <w:b/>
        </w:rPr>
      </w:pPr>
      <w:r>
        <w:rPr>
          <w:b/>
        </w:rPr>
        <w:t>1</w:t>
      </w:r>
      <w:r w:rsidR="00B97262">
        <w:rPr>
          <w:b/>
        </w:rPr>
        <w:t>1</w:t>
      </w:r>
      <w:r>
        <w:rPr>
          <w:b/>
        </w:rPr>
        <w:t xml:space="preserve"> March 2015</w:t>
      </w:r>
    </w:p>
    <w:p w:rsidR="0018108A" w:rsidRPr="00E8206D" w:rsidRDefault="0018108A">
      <w:pPr>
        <w:rPr>
          <w:b/>
        </w:rPr>
      </w:pPr>
      <w:r>
        <w:t>The Local Government Commission (LGC) commissioned MWH, an engineering consultancy, to prepare a report to compare the condition of the infrastructure assets of the five Councils in Hawke's Bay. MWH mailed questionnaires to the Councils to obtain the information they needed to do the comparison. The report that was produced by MWH is</w:t>
      </w:r>
      <w:r w:rsidR="00A073F7">
        <w:t xml:space="preserve"> available</w:t>
      </w:r>
      <w:r>
        <w:t xml:space="preserve"> </w:t>
      </w:r>
      <w:hyperlink r:id="rId7" w:history="1">
        <w:r w:rsidRPr="00A073F7">
          <w:rPr>
            <w:rStyle w:val="Hyperlink"/>
          </w:rPr>
          <w:t>on the LGC website</w:t>
        </w:r>
      </w:hyperlink>
      <w:r>
        <w:t>.</w:t>
      </w:r>
    </w:p>
    <w:p w:rsidR="0018108A" w:rsidRDefault="0018108A">
      <w:r>
        <w:t>The LGC has focussed on the following tables:</w:t>
      </w:r>
    </w:p>
    <w:p w:rsidR="0018108A" w:rsidRDefault="0018108A" w:rsidP="0018108A">
      <w:pPr>
        <w:pStyle w:val="ListParagraph"/>
        <w:numPr>
          <w:ilvl w:val="0"/>
          <w:numId w:val="5"/>
        </w:numPr>
      </w:pPr>
      <w:r>
        <w:t xml:space="preserve">Table 3.3 on page 22 that </w:t>
      </w:r>
      <w:r w:rsidR="00A073F7">
        <w:t xml:space="preserve">shows </w:t>
      </w:r>
      <w:r>
        <w:t>the total Replacement Value (RV) and Depreciated Replacement Value (DRV) for each Council's infrastructure assets. It shows that, on average, Hawke's Bay Regional Council's assets are 10% through its life (DRV÷RV=90%) and Hastings' infrastructure is almost a quarter through its life (DRV÷RV=77%). Napier</w:t>
      </w:r>
      <w:r w:rsidR="00204EB2">
        <w:t>'s assets have 58% life remaining, Central Hawke's Bay 73% and Wairoa 63%.</w:t>
      </w:r>
    </w:p>
    <w:p w:rsidR="00204EB2" w:rsidRDefault="00204EB2" w:rsidP="0018108A">
      <w:pPr>
        <w:pStyle w:val="ListParagraph"/>
        <w:numPr>
          <w:ilvl w:val="0"/>
          <w:numId w:val="5"/>
        </w:numPr>
      </w:pPr>
      <w:r>
        <w:t xml:space="preserve">Table 4.5A on page 28 that </w:t>
      </w:r>
      <w:r w:rsidR="00A073F7">
        <w:t xml:space="preserve">shows </w:t>
      </w:r>
      <w:r>
        <w:t>DR</w:t>
      </w:r>
      <w:r w:rsidR="00E8206D">
        <w:t>V÷RV values for each Council's roads, water supply, wastewater and stormwater/flood c</w:t>
      </w:r>
      <w:r>
        <w:t xml:space="preserve">ontrol assets. Three of the numbers on this table immediately stood out when we first read the report: The DRV÷RV value for Hastings' Roads is shown as 90%, the Regional Council's flood control assets is shown as 90% and Central Hawke's Bay's Roads is shown as 76%. </w:t>
      </w:r>
      <w:r w:rsidR="00A073F7">
        <w:t>T</w:t>
      </w:r>
      <w:r>
        <w:t xml:space="preserve">hese values are </w:t>
      </w:r>
      <w:r w:rsidR="00A073F7">
        <w:t xml:space="preserve">very </w:t>
      </w:r>
      <w:r>
        <w:t>high and this is why Napier immediately questioned the accuracy of the MWH report.</w:t>
      </w:r>
    </w:p>
    <w:p w:rsidR="00877250" w:rsidRDefault="00877250" w:rsidP="00204EB2">
      <w:pPr>
        <w:rPr>
          <w:b/>
        </w:rPr>
      </w:pPr>
      <w:r>
        <w:rPr>
          <w:noProof/>
          <w:lang w:val="en-US"/>
        </w:rPr>
        <mc:AlternateContent>
          <mc:Choice Requires="wps">
            <w:drawing>
              <wp:anchor distT="0" distB="0" distL="114300" distR="114300" simplePos="0" relativeHeight="251659264" behindDoc="0" locked="0" layoutInCell="1" allowOverlap="1" wp14:anchorId="0E578772" wp14:editId="4EF3DA8F">
                <wp:simplePos x="0" y="0"/>
                <wp:positionH relativeFrom="column">
                  <wp:posOffset>28575</wp:posOffset>
                </wp:positionH>
                <wp:positionV relativeFrom="paragraph">
                  <wp:posOffset>154305</wp:posOffset>
                </wp:positionV>
                <wp:extent cx="5934075" cy="3248025"/>
                <wp:effectExtent l="0" t="0" r="28575" b="28575"/>
                <wp:wrapSquare wrapText="left"/>
                <wp:docPr id="1" name="Text Box 1"/>
                <wp:cNvGraphicFramePr/>
                <a:graphic xmlns:a="http://schemas.openxmlformats.org/drawingml/2006/main">
                  <a:graphicData uri="http://schemas.microsoft.com/office/word/2010/wordprocessingShape">
                    <wps:wsp>
                      <wps:cNvSpPr txBox="1"/>
                      <wps:spPr>
                        <a:xfrm>
                          <a:off x="0" y="0"/>
                          <a:ext cx="5934075"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5DD2" w:rsidRPr="009B7341" w:rsidRDefault="00125DD2" w:rsidP="00877250">
                            <w:pPr>
                              <w:rPr>
                                <w:u w:val="single"/>
                              </w:rPr>
                            </w:pPr>
                            <w:r w:rsidRPr="009B7341">
                              <w:rPr>
                                <w:u w:val="single"/>
                              </w:rPr>
                              <w:t>Infrastructure Valuations</w:t>
                            </w:r>
                          </w:p>
                          <w:p w:rsidR="00125DD2" w:rsidRDefault="00125DD2" w:rsidP="00877250">
                            <w:r>
                              <w:t>Infrastructure is generally valued using a method known as "Depreciated Replacement Value". This works as follows:</w:t>
                            </w:r>
                          </w:p>
                          <w:p w:rsidR="00125DD2" w:rsidRDefault="00125DD2" w:rsidP="00877250">
                            <w:pPr>
                              <w:pStyle w:val="ListParagraph"/>
                              <w:numPr>
                                <w:ilvl w:val="0"/>
                                <w:numId w:val="4"/>
                              </w:numPr>
                              <w:ind w:left="426" w:hanging="426"/>
                            </w:pPr>
                            <w:r>
                              <w:t>Calculate the replacement cost (also known as 'Replacement Value' or RV) of an infrastructure asset, for example a pipeline. Complex assets such as roads are broken up into components such as the seal (the black stuff) which has a much shorter life than the pavement layers (the gravel that is used to build roads).</w:t>
                            </w:r>
                          </w:p>
                          <w:p w:rsidR="00125DD2" w:rsidRDefault="00125DD2" w:rsidP="00877250">
                            <w:pPr>
                              <w:pStyle w:val="ListParagraph"/>
                              <w:numPr>
                                <w:ilvl w:val="0"/>
                                <w:numId w:val="4"/>
                              </w:numPr>
                              <w:ind w:left="426" w:hanging="426"/>
                            </w:pPr>
                            <w:r>
                              <w:t>Estimate the remaining life of the asset.</w:t>
                            </w:r>
                          </w:p>
                          <w:p w:rsidR="00125DD2" w:rsidRDefault="00125DD2" w:rsidP="00877250">
                            <w:pPr>
                              <w:pStyle w:val="ListParagraph"/>
                              <w:numPr>
                                <w:ilvl w:val="0"/>
                                <w:numId w:val="4"/>
                              </w:numPr>
                              <w:ind w:left="426" w:hanging="426"/>
                            </w:pPr>
                            <w:r>
                              <w:t>Add the age of the asset to the remaining life. This is the asset's useful life.</w:t>
                            </w:r>
                          </w:p>
                          <w:p w:rsidR="00125DD2" w:rsidRDefault="00125DD2" w:rsidP="00877250">
                            <w:pPr>
                              <w:pStyle w:val="ListParagraph"/>
                              <w:numPr>
                                <w:ilvl w:val="0"/>
                                <w:numId w:val="4"/>
                              </w:numPr>
                              <w:ind w:left="426" w:hanging="426"/>
                            </w:pPr>
                            <w:r>
                              <w:t>Divide the replacement value into the useful life. This gives the annual depreciation, which measures the dollar value of asset that is consumed each year.</w:t>
                            </w:r>
                          </w:p>
                          <w:p w:rsidR="00125DD2" w:rsidRDefault="00125DD2" w:rsidP="00877250">
                            <w:pPr>
                              <w:pStyle w:val="ListParagraph"/>
                              <w:numPr>
                                <w:ilvl w:val="0"/>
                                <w:numId w:val="4"/>
                              </w:numPr>
                              <w:ind w:left="426" w:hanging="426"/>
                            </w:pPr>
                            <w:r>
                              <w:t>Multiply the remaining life with the annual depreciation. This gives the Depreciated Replacement Value (DRV). This is the book value of the asset and a measure of the remaining service potential of the asset.</w:t>
                            </w:r>
                          </w:p>
                          <w:p w:rsidR="00125DD2" w:rsidRDefault="00125DD2" w:rsidP="00877250">
                            <w:pPr>
                              <w:pStyle w:val="ListParagraph"/>
                              <w:numPr>
                                <w:ilvl w:val="0"/>
                                <w:numId w:val="4"/>
                              </w:numPr>
                              <w:ind w:left="426" w:hanging="426"/>
                            </w:pPr>
                            <w:r>
                              <w:t>By looking at the ratio of DRV÷RV one gets an idea of how far an asset has progressed through its life. When an asset is new DRV÷RV=100%, if it is at the end of its life DRV÷RV=0% and when it is a quarter through its life DRV÷RV=75%.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12.15pt;width:467.25pt;height:2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" fillcolor="white [3201]" strokeweight=".5pt">
                <v:textbox>
                  <w:txbxContent>
                    <w:p w:rsidR="00125DD2" w:rsidRPr="009B7341" w:rsidRDefault="00125DD2" w:rsidP="00877250">
                      <w:pPr>
                        <w:rPr>
                          <w:u w:val="single"/>
                        </w:rPr>
                      </w:pPr>
                      <w:r w:rsidRPr="009B7341">
                        <w:rPr>
                          <w:u w:val="single"/>
                        </w:rPr>
                        <w:t>Infrastructure Valuations</w:t>
                      </w:r>
                    </w:p>
                    <w:p w:rsidR="00125DD2" w:rsidRDefault="00125DD2" w:rsidP="00877250">
                      <w:r>
                        <w:t>Infrastructure is generally valued using a method known as "Depreciated Replacement Value". This works as follows:</w:t>
                      </w:r>
                    </w:p>
                    <w:p w:rsidR="00125DD2" w:rsidRDefault="00125DD2" w:rsidP="00877250">
                      <w:pPr>
                        <w:pStyle w:val="ListParagraph"/>
                        <w:numPr>
                          <w:ilvl w:val="0"/>
                          <w:numId w:val="4"/>
                        </w:numPr>
                        <w:ind w:left="426" w:hanging="426"/>
                      </w:pPr>
                      <w:r>
                        <w:t>Calculate the replacement cost (also known as 'Replacement Value' or RV) of an infrastructure asset, for example a pipeline. Complex assets such as roads are broken up into components such as the seal (the black stuff) which has a much shorter life than the pavement layers (the gravel that is used to build roads).</w:t>
                      </w:r>
                    </w:p>
                    <w:p w:rsidR="00125DD2" w:rsidRDefault="00125DD2" w:rsidP="00877250">
                      <w:pPr>
                        <w:pStyle w:val="ListParagraph"/>
                        <w:numPr>
                          <w:ilvl w:val="0"/>
                          <w:numId w:val="4"/>
                        </w:numPr>
                        <w:ind w:left="426" w:hanging="426"/>
                      </w:pPr>
                      <w:r>
                        <w:t>Estimate the remaining life of the asset.</w:t>
                      </w:r>
                    </w:p>
                    <w:p w:rsidR="00125DD2" w:rsidRDefault="00125DD2" w:rsidP="00877250">
                      <w:pPr>
                        <w:pStyle w:val="ListParagraph"/>
                        <w:numPr>
                          <w:ilvl w:val="0"/>
                          <w:numId w:val="4"/>
                        </w:numPr>
                        <w:ind w:left="426" w:hanging="426"/>
                      </w:pPr>
                      <w:r>
                        <w:t>Add the age of the asset to the remaining life. This is the asset's useful life.</w:t>
                      </w:r>
                    </w:p>
                    <w:p w:rsidR="00125DD2" w:rsidRDefault="00125DD2" w:rsidP="00877250">
                      <w:pPr>
                        <w:pStyle w:val="ListParagraph"/>
                        <w:numPr>
                          <w:ilvl w:val="0"/>
                          <w:numId w:val="4"/>
                        </w:numPr>
                        <w:ind w:left="426" w:hanging="426"/>
                      </w:pPr>
                      <w:r>
                        <w:t>Divide the replacement value into the useful life. This gives the annual depreciation, which measures the dollar value of asset that is consumed each year.</w:t>
                      </w:r>
                    </w:p>
                    <w:p w:rsidR="00125DD2" w:rsidRDefault="00125DD2" w:rsidP="00877250">
                      <w:pPr>
                        <w:pStyle w:val="ListParagraph"/>
                        <w:numPr>
                          <w:ilvl w:val="0"/>
                          <w:numId w:val="4"/>
                        </w:numPr>
                        <w:ind w:left="426" w:hanging="426"/>
                      </w:pPr>
                      <w:r>
                        <w:t>Multiply the remaining life with the annual depreciation. This gives the Depreciated Replacement Value (DRV). This is the book value of the asset and a measure of the remaining service potential of the asset.</w:t>
                      </w:r>
                    </w:p>
                    <w:p w:rsidR="00125DD2" w:rsidRDefault="00125DD2" w:rsidP="00877250">
                      <w:pPr>
                        <w:pStyle w:val="ListParagraph"/>
                        <w:numPr>
                          <w:ilvl w:val="0"/>
                          <w:numId w:val="4"/>
                        </w:numPr>
                        <w:ind w:left="426" w:hanging="426"/>
                      </w:pPr>
                      <w:r>
                        <w:t>By looking at the ratio of DRV÷RV one gets an idea of how far an asset has progressed through its life. When an asset is new DRV÷RV=100%, if it is at the end of its life DRV÷RV=0% and when it is a quarter through its life DRV÷RV=75%.</w:t>
                      </w:r>
                    </w:p>
                  </w:txbxContent>
                </v:textbox>
                <w10:wrap type="square" side="left"/>
              </v:shape>
            </w:pict>
          </mc:Fallback>
        </mc:AlternateContent>
      </w:r>
    </w:p>
    <w:p w:rsidR="00204EB2" w:rsidRPr="00204EB2" w:rsidRDefault="00204EB2" w:rsidP="00204EB2">
      <w:pPr>
        <w:rPr>
          <w:b/>
        </w:rPr>
      </w:pPr>
      <w:r w:rsidRPr="00204EB2">
        <w:rPr>
          <w:b/>
        </w:rPr>
        <w:t>Why does DRV÷RV matter?</w:t>
      </w:r>
    </w:p>
    <w:p w:rsidR="009B7341" w:rsidRDefault="00204EB2">
      <w:r>
        <w:t>The LGC calculated the average DRV÷RV for Hawke</w:t>
      </w:r>
      <w:r w:rsidR="006D4B54">
        <w:t>’</w:t>
      </w:r>
      <w:r>
        <w:t xml:space="preserve">s Bay (the LGC says it is 72%). It then compared each Council's DRV÷RV with the </w:t>
      </w:r>
      <w:r w:rsidR="00241847">
        <w:t xml:space="preserve">Hawke's Bay </w:t>
      </w:r>
      <w:r>
        <w:t xml:space="preserve">average and calculated what the dollar difference is. For example, if a Council has assets with a RV of $100 million and </w:t>
      </w:r>
      <w:proofErr w:type="gramStart"/>
      <w:r>
        <w:t>its</w:t>
      </w:r>
      <w:proofErr w:type="gramEnd"/>
      <w:r>
        <w:t xml:space="preserve"> DRV÷RV=60%, then it is 12% below the average. </w:t>
      </w:r>
      <w:r w:rsidR="00B97262">
        <w:t>To change</w:t>
      </w:r>
      <w:r>
        <w:t xml:space="preserve"> the DRV÷RV from 60% to 72% for asset</w:t>
      </w:r>
      <w:r w:rsidR="00241847">
        <w:t>s</w:t>
      </w:r>
      <w:r>
        <w:t xml:space="preserve"> with a RV of $100 million will cost $12 million.</w:t>
      </w:r>
    </w:p>
    <w:p w:rsidR="00204EB2" w:rsidRPr="00204EB2" w:rsidRDefault="00B97262" w:rsidP="0023128B">
      <w:pPr>
        <w:spacing w:after="200" w:line="276" w:lineRule="auto"/>
        <w:rPr>
          <w:b/>
        </w:rPr>
      </w:pPr>
      <w:r>
        <w:rPr>
          <w:b/>
        </w:rPr>
        <w:br w:type="page"/>
      </w:r>
      <w:bookmarkStart w:id="0" w:name="_GoBack"/>
      <w:bookmarkEnd w:id="0"/>
      <w:r w:rsidR="00204EB2" w:rsidRPr="00204EB2">
        <w:rPr>
          <w:b/>
        </w:rPr>
        <w:lastRenderedPageBreak/>
        <w:t>Where did the LGC g</w:t>
      </w:r>
      <w:r w:rsidR="00241847">
        <w:rPr>
          <w:b/>
        </w:rPr>
        <w:t>o</w:t>
      </w:r>
      <w:r w:rsidR="00204EB2" w:rsidRPr="00204EB2">
        <w:rPr>
          <w:b/>
        </w:rPr>
        <w:t xml:space="preserve"> wrong?</w:t>
      </w:r>
    </w:p>
    <w:p w:rsidR="00556F61" w:rsidRDefault="00FF392E">
      <w:r>
        <w:t>The MWH report included assets that will never require replacement in its analysis</w:t>
      </w:r>
      <w:r w:rsidR="000D4391">
        <w:t xml:space="preserve"> (non-depreciable assets)</w:t>
      </w:r>
      <w:r w:rsidR="00241847">
        <w:t xml:space="preserve">. </w:t>
      </w:r>
      <w:r>
        <w:t>These are things such as the land under roads, road formation (the platform one builds roads on top of) and stop banks.</w:t>
      </w:r>
      <w:r w:rsidR="000D4391">
        <w:t xml:space="preserve"> This is a major issue, because non-depreciable assets' DRV÷RV is always 100%. T</w:t>
      </w:r>
      <w:r w:rsidR="006D4B54">
        <w:t>hey do not lose value, so if you</w:t>
      </w:r>
      <w:r w:rsidR="000D4391">
        <w:t xml:space="preserve"> compared two Councils that </w:t>
      </w:r>
      <w:r w:rsidR="00241847">
        <w:t>have</w:t>
      </w:r>
      <w:r w:rsidR="000D4391">
        <w:t xml:space="preserve"> exactly the same</w:t>
      </w:r>
      <w:r w:rsidR="00241847">
        <w:t xml:space="preserve"> </w:t>
      </w:r>
      <w:r w:rsidR="00B97262">
        <w:t xml:space="preserve">depreciable </w:t>
      </w:r>
      <w:r w:rsidR="00241847">
        <w:t>assets</w:t>
      </w:r>
      <w:r w:rsidR="000D4391">
        <w:t xml:space="preserve"> </w:t>
      </w:r>
      <w:r w:rsidR="00241847">
        <w:t xml:space="preserve">but </w:t>
      </w:r>
      <w:r w:rsidR="000D4391">
        <w:t xml:space="preserve">one of </w:t>
      </w:r>
      <w:r w:rsidR="00B97262">
        <w:t xml:space="preserve">the Councils also had </w:t>
      </w:r>
      <w:r w:rsidR="00241847">
        <w:t xml:space="preserve">a large proportion </w:t>
      </w:r>
      <w:r w:rsidR="00B97262">
        <w:t>of</w:t>
      </w:r>
      <w:r w:rsidR="000D4391">
        <w:t xml:space="preserve"> non-depreciable assets, then the one with the non-depreciable assets will have a DRV÷RV that is </w:t>
      </w:r>
      <w:r w:rsidR="00B97262">
        <w:t xml:space="preserve">much </w:t>
      </w:r>
      <w:r w:rsidR="000D4391">
        <w:t>higher. Th</w:t>
      </w:r>
      <w:r w:rsidR="00B97262">
        <w:t>is is the situation in Hawk</w:t>
      </w:r>
      <w:r w:rsidR="000D4391">
        <w:t>e</w:t>
      </w:r>
      <w:r w:rsidR="00B97262">
        <w:t>'s Bay and the</w:t>
      </w:r>
      <w:r w:rsidR="000D4391">
        <w:t xml:space="preserve"> way the LGC look</w:t>
      </w:r>
      <w:r w:rsidR="00B97262">
        <w:t>ed</w:t>
      </w:r>
      <w:r w:rsidR="000D4391">
        <w:t xml:space="preserve"> at it is that the Council with the higher DRV÷RV has done a better job, where in actual fact there is no difference.</w:t>
      </w:r>
    </w:p>
    <w:p w:rsidR="00556F61" w:rsidRDefault="00556F61">
      <w:r>
        <w:t>To illustrate the point, consider two Councils, Council A and Council B. Their roads consist of the following elements:</w:t>
      </w:r>
    </w:p>
    <w:p w:rsidR="00556F61" w:rsidRDefault="00CB3D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24.5pt">
            <v:imagedata r:id="rId8" o:title="FORMATION" croptop="15257f" cropbottom="9282f"/>
          </v:shape>
        </w:pict>
      </w:r>
    </w:p>
    <w:p w:rsidR="00556F61" w:rsidRDefault="00556F61"/>
    <w:tbl>
      <w:tblPr>
        <w:tblStyle w:val="TableGrid"/>
        <w:tblW w:w="0" w:type="auto"/>
        <w:tblLook w:val="04A0" w:firstRow="1" w:lastRow="0" w:firstColumn="1" w:lastColumn="0" w:noHBand="0" w:noVBand="1"/>
      </w:tblPr>
      <w:tblGrid>
        <w:gridCol w:w="2769"/>
        <w:gridCol w:w="1796"/>
        <w:gridCol w:w="1534"/>
        <w:gridCol w:w="1796"/>
        <w:gridCol w:w="1653"/>
      </w:tblGrid>
      <w:tr w:rsidR="00556F61" w:rsidRPr="00056066" w:rsidTr="00056066">
        <w:tc>
          <w:tcPr>
            <w:tcW w:w="2769" w:type="dxa"/>
          </w:tcPr>
          <w:p w:rsidR="00556F61" w:rsidRPr="00056066" w:rsidRDefault="00556F61">
            <w:pPr>
              <w:rPr>
                <w:b/>
              </w:rPr>
            </w:pPr>
          </w:p>
        </w:tc>
        <w:tc>
          <w:tcPr>
            <w:tcW w:w="3330" w:type="dxa"/>
            <w:gridSpan w:val="2"/>
            <w:vAlign w:val="center"/>
          </w:tcPr>
          <w:p w:rsidR="00556F61" w:rsidRPr="00056066" w:rsidRDefault="00556F61" w:rsidP="00056066">
            <w:pPr>
              <w:jc w:val="center"/>
              <w:rPr>
                <w:b/>
              </w:rPr>
            </w:pPr>
            <w:r w:rsidRPr="00056066">
              <w:rPr>
                <w:b/>
              </w:rPr>
              <w:t>Council A</w:t>
            </w:r>
          </w:p>
        </w:tc>
        <w:tc>
          <w:tcPr>
            <w:tcW w:w="3449" w:type="dxa"/>
            <w:gridSpan w:val="2"/>
            <w:vAlign w:val="center"/>
          </w:tcPr>
          <w:p w:rsidR="00556F61" w:rsidRPr="00056066" w:rsidRDefault="00556F61" w:rsidP="00056066">
            <w:pPr>
              <w:jc w:val="center"/>
              <w:rPr>
                <w:b/>
              </w:rPr>
            </w:pPr>
            <w:r w:rsidRPr="00056066">
              <w:rPr>
                <w:b/>
              </w:rPr>
              <w:t>Council B</w:t>
            </w:r>
          </w:p>
        </w:tc>
      </w:tr>
      <w:tr w:rsidR="00917D3C" w:rsidRPr="00056066" w:rsidTr="00556F61">
        <w:tc>
          <w:tcPr>
            <w:tcW w:w="2769" w:type="dxa"/>
          </w:tcPr>
          <w:p w:rsidR="00556F61" w:rsidRPr="00056066" w:rsidRDefault="000936A3" w:rsidP="00056066">
            <w:pPr>
              <w:rPr>
                <w:i/>
                <w:sz w:val="20"/>
              </w:rPr>
            </w:pPr>
            <w:r>
              <w:rPr>
                <w:i/>
                <w:sz w:val="20"/>
              </w:rPr>
              <w:t>($million)</w:t>
            </w:r>
          </w:p>
        </w:tc>
        <w:tc>
          <w:tcPr>
            <w:tcW w:w="1796" w:type="dxa"/>
          </w:tcPr>
          <w:p w:rsidR="00556F61" w:rsidRDefault="00556F61">
            <w:pPr>
              <w:rPr>
                <w:i/>
                <w:sz w:val="20"/>
              </w:rPr>
            </w:pPr>
            <w:r w:rsidRPr="00056066">
              <w:rPr>
                <w:i/>
                <w:sz w:val="20"/>
              </w:rPr>
              <w:t>Replacement Value</w:t>
            </w:r>
          </w:p>
          <w:p w:rsidR="000936A3" w:rsidRPr="00056066" w:rsidRDefault="000936A3">
            <w:pPr>
              <w:rPr>
                <w:i/>
                <w:sz w:val="20"/>
              </w:rPr>
            </w:pPr>
          </w:p>
        </w:tc>
        <w:tc>
          <w:tcPr>
            <w:tcW w:w="1534" w:type="dxa"/>
          </w:tcPr>
          <w:p w:rsidR="00556F61" w:rsidRPr="00056066" w:rsidRDefault="00556F61">
            <w:pPr>
              <w:rPr>
                <w:i/>
                <w:sz w:val="20"/>
              </w:rPr>
            </w:pPr>
            <w:r w:rsidRPr="00056066">
              <w:rPr>
                <w:i/>
                <w:sz w:val="20"/>
              </w:rPr>
              <w:t>Depreciated Replacement Value</w:t>
            </w:r>
          </w:p>
        </w:tc>
        <w:tc>
          <w:tcPr>
            <w:tcW w:w="1796" w:type="dxa"/>
          </w:tcPr>
          <w:p w:rsidR="00556F61" w:rsidRPr="00056066" w:rsidRDefault="00556F61">
            <w:pPr>
              <w:rPr>
                <w:i/>
                <w:sz w:val="20"/>
              </w:rPr>
            </w:pPr>
            <w:r w:rsidRPr="00056066">
              <w:rPr>
                <w:i/>
                <w:sz w:val="20"/>
              </w:rPr>
              <w:t>Replacement Value</w:t>
            </w:r>
          </w:p>
        </w:tc>
        <w:tc>
          <w:tcPr>
            <w:tcW w:w="1653" w:type="dxa"/>
          </w:tcPr>
          <w:p w:rsidR="00556F61" w:rsidRPr="00056066" w:rsidRDefault="00556F61">
            <w:pPr>
              <w:rPr>
                <w:i/>
                <w:sz w:val="20"/>
              </w:rPr>
            </w:pPr>
            <w:r w:rsidRPr="00056066">
              <w:rPr>
                <w:i/>
                <w:sz w:val="20"/>
              </w:rPr>
              <w:t>Depreciated Replacement Value</w:t>
            </w:r>
          </w:p>
        </w:tc>
      </w:tr>
      <w:tr w:rsidR="00917D3C" w:rsidTr="00556F61">
        <w:tc>
          <w:tcPr>
            <w:tcW w:w="2769" w:type="dxa"/>
            <w:vAlign w:val="center"/>
          </w:tcPr>
          <w:p w:rsidR="00556F61" w:rsidRPr="00056066" w:rsidRDefault="00556F61" w:rsidP="00056066">
            <w:r w:rsidRPr="00056066">
              <w:t>Formation</w:t>
            </w:r>
          </w:p>
        </w:tc>
        <w:tc>
          <w:tcPr>
            <w:tcW w:w="1796" w:type="dxa"/>
            <w:vAlign w:val="center"/>
          </w:tcPr>
          <w:p w:rsidR="00556F61" w:rsidRDefault="00556F61" w:rsidP="00056066">
            <w:pPr>
              <w:jc w:val="center"/>
            </w:pPr>
            <w:r>
              <w:t>60</w:t>
            </w:r>
          </w:p>
        </w:tc>
        <w:tc>
          <w:tcPr>
            <w:tcW w:w="1534" w:type="dxa"/>
            <w:vAlign w:val="center"/>
          </w:tcPr>
          <w:p w:rsidR="00556F61" w:rsidRDefault="00556F61" w:rsidP="00056066">
            <w:pPr>
              <w:jc w:val="center"/>
            </w:pPr>
            <w:r>
              <w:t>60</w:t>
            </w:r>
          </w:p>
        </w:tc>
        <w:tc>
          <w:tcPr>
            <w:tcW w:w="1796" w:type="dxa"/>
            <w:vAlign w:val="center"/>
          </w:tcPr>
          <w:p w:rsidR="00556F61" w:rsidRDefault="00556F61" w:rsidP="00056066">
            <w:pPr>
              <w:jc w:val="center"/>
            </w:pPr>
            <w:r>
              <w:t>540</w:t>
            </w:r>
          </w:p>
        </w:tc>
        <w:tc>
          <w:tcPr>
            <w:tcW w:w="1653" w:type="dxa"/>
            <w:vAlign w:val="center"/>
          </w:tcPr>
          <w:p w:rsidR="00556F61" w:rsidRDefault="00556F61" w:rsidP="00056066">
            <w:pPr>
              <w:jc w:val="center"/>
            </w:pPr>
            <w:r>
              <w:t>540</w:t>
            </w:r>
          </w:p>
        </w:tc>
      </w:tr>
      <w:tr w:rsidR="00917D3C" w:rsidTr="00556F61">
        <w:tc>
          <w:tcPr>
            <w:tcW w:w="2769" w:type="dxa"/>
            <w:vAlign w:val="center"/>
          </w:tcPr>
          <w:p w:rsidR="00556F61" w:rsidRPr="00056066" w:rsidRDefault="00556F61" w:rsidP="00056066">
            <w:r w:rsidRPr="00056066">
              <w:t>Pavement</w:t>
            </w:r>
          </w:p>
        </w:tc>
        <w:tc>
          <w:tcPr>
            <w:tcW w:w="1796" w:type="dxa"/>
            <w:vAlign w:val="center"/>
          </w:tcPr>
          <w:p w:rsidR="00556F61" w:rsidRDefault="00556F61" w:rsidP="00056066">
            <w:pPr>
              <w:jc w:val="center"/>
            </w:pPr>
            <w:r>
              <w:t>1,000</w:t>
            </w:r>
          </w:p>
        </w:tc>
        <w:tc>
          <w:tcPr>
            <w:tcW w:w="1534" w:type="dxa"/>
            <w:vAlign w:val="center"/>
          </w:tcPr>
          <w:p w:rsidR="00556F61" w:rsidRDefault="00556F61" w:rsidP="00056066">
            <w:pPr>
              <w:jc w:val="center"/>
            </w:pPr>
            <w:r>
              <w:t>500</w:t>
            </w:r>
          </w:p>
        </w:tc>
        <w:tc>
          <w:tcPr>
            <w:tcW w:w="1796" w:type="dxa"/>
            <w:vAlign w:val="center"/>
          </w:tcPr>
          <w:p w:rsidR="00556F61" w:rsidRDefault="00556F61" w:rsidP="00056066">
            <w:pPr>
              <w:jc w:val="center"/>
            </w:pPr>
            <w:r>
              <w:t>1,000</w:t>
            </w:r>
          </w:p>
        </w:tc>
        <w:tc>
          <w:tcPr>
            <w:tcW w:w="1653" w:type="dxa"/>
            <w:vAlign w:val="center"/>
          </w:tcPr>
          <w:p w:rsidR="00556F61" w:rsidRDefault="00556F61" w:rsidP="00056066">
            <w:pPr>
              <w:jc w:val="center"/>
            </w:pPr>
            <w:r>
              <w:t>500</w:t>
            </w:r>
          </w:p>
        </w:tc>
      </w:tr>
      <w:tr w:rsidR="00917D3C" w:rsidTr="00556F61">
        <w:tc>
          <w:tcPr>
            <w:tcW w:w="2769" w:type="dxa"/>
            <w:tcBorders>
              <w:bottom w:val="single" w:sz="4" w:space="0" w:color="auto"/>
            </w:tcBorders>
            <w:vAlign w:val="center"/>
          </w:tcPr>
          <w:p w:rsidR="00556F61" w:rsidRPr="00056066" w:rsidRDefault="00556F61" w:rsidP="00056066">
            <w:r w:rsidRPr="00056066">
              <w:t>Seal</w:t>
            </w:r>
          </w:p>
        </w:tc>
        <w:tc>
          <w:tcPr>
            <w:tcW w:w="1796" w:type="dxa"/>
            <w:tcBorders>
              <w:bottom w:val="single" w:sz="4" w:space="0" w:color="auto"/>
            </w:tcBorders>
            <w:vAlign w:val="center"/>
          </w:tcPr>
          <w:p w:rsidR="00556F61" w:rsidRDefault="00556F61" w:rsidP="00056066">
            <w:pPr>
              <w:jc w:val="center"/>
            </w:pPr>
            <w:r>
              <w:t>200</w:t>
            </w:r>
          </w:p>
        </w:tc>
        <w:tc>
          <w:tcPr>
            <w:tcW w:w="1534" w:type="dxa"/>
            <w:tcBorders>
              <w:bottom w:val="single" w:sz="4" w:space="0" w:color="auto"/>
            </w:tcBorders>
            <w:vAlign w:val="center"/>
          </w:tcPr>
          <w:p w:rsidR="00556F61" w:rsidRDefault="00556F61" w:rsidP="00056066">
            <w:pPr>
              <w:jc w:val="center"/>
            </w:pPr>
            <w:r>
              <w:t>100</w:t>
            </w:r>
          </w:p>
        </w:tc>
        <w:tc>
          <w:tcPr>
            <w:tcW w:w="1796" w:type="dxa"/>
            <w:tcBorders>
              <w:bottom w:val="single" w:sz="4" w:space="0" w:color="auto"/>
            </w:tcBorders>
            <w:vAlign w:val="center"/>
          </w:tcPr>
          <w:p w:rsidR="00556F61" w:rsidRDefault="00556F61" w:rsidP="00056066">
            <w:pPr>
              <w:jc w:val="center"/>
            </w:pPr>
            <w:r>
              <w:t>200</w:t>
            </w:r>
          </w:p>
        </w:tc>
        <w:tc>
          <w:tcPr>
            <w:tcW w:w="1653" w:type="dxa"/>
            <w:tcBorders>
              <w:bottom w:val="single" w:sz="4" w:space="0" w:color="auto"/>
            </w:tcBorders>
            <w:vAlign w:val="center"/>
          </w:tcPr>
          <w:p w:rsidR="00556F61" w:rsidRDefault="00556F61" w:rsidP="00056066">
            <w:pPr>
              <w:jc w:val="center"/>
            </w:pPr>
            <w:r>
              <w:t>100</w:t>
            </w:r>
          </w:p>
        </w:tc>
      </w:tr>
      <w:tr w:rsidR="00917D3C" w:rsidTr="00556F61">
        <w:tc>
          <w:tcPr>
            <w:tcW w:w="2769" w:type="dxa"/>
            <w:shd w:val="clear" w:color="auto" w:fill="E5B8B7" w:themeFill="accent2" w:themeFillTint="66"/>
            <w:vAlign w:val="center"/>
          </w:tcPr>
          <w:p w:rsidR="00556F61" w:rsidRPr="00056066" w:rsidRDefault="00556F61" w:rsidP="00056066">
            <w:r w:rsidRPr="00056066">
              <w:t xml:space="preserve">Total </w:t>
            </w:r>
            <w:r w:rsidR="00917D3C">
              <w:t xml:space="preserve">(LGC approach) </w:t>
            </w:r>
            <w:r w:rsidRPr="00056066">
              <w:t>(</w:t>
            </w:r>
            <w:proofErr w:type="spellStart"/>
            <w:r w:rsidRPr="00056066">
              <w:t>Formation+Pavement+Seal</w:t>
            </w:r>
            <w:proofErr w:type="spellEnd"/>
            <w:r w:rsidRPr="00056066">
              <w:t>)</w:t>
            </w:r>
          </w:p>
        </w:tc>
        <w:tc>
          <w:tcPr>
            <w:tcW w:w="1796" w:type="dxa"/>
            <w:shd w:val="clear" w:color="auto" w:fill="E5B8B7" w:themeFill="accent2" w:themeFillTint="66"/>
            <w:vAlign w:val="center"/>
          </w:tcPr>
          <w:p w:rsidR="00556F61" w:rsidRPr="00056066" w:rsidRDefault="00556F61" w:rsidP="00056066">
            <w:pPr>
              <w:jc w:val="center"/>
            </w:pPr>
            <w:r w:rsidRPr="00056066">
              <w:t>1,260</w:t>
            </w:r>
          </w:p>
        </w:tc>
        <w:tc>
          <w:tcPr>
            <w:tcW w:w="1534" w:type="dxa"/>
            <w:shd w:val="clear" w:color="auto" w:fill="E5B8B7" w:themeFill="accent2" w:themeFillTint="66"/>
            <w:vAlign w:val="center"/>
          </w:tcPr>
          <w:p w:rsidR="00556F61" w:rsidRPr="00056066" w:rsidRDefault="00556F61" w:rsidP="00056066">
            <w:pPr>
              <w:jc w:val="center"/>
            </w:pPr>
            <w:r w:rsidRPr="00056066">
              <w:t>660</w:t>
            </w:r>
          </w:p>
        </w:tc>
        <w:tc>
          <w:tcPr>
            <w:tcW w:w="1796" w:type="dxa"/>
            <w:shd w:val="clear" w:color="auto" w:fill="E5B8B7" w:themeFill="accent2" w:themeFillTint="66"/>
            <w:vAlign w:val="center"/>
          </w:tcPr>
          <w:p w:rsidR="00556F61" w:rsidRPr="00056066" w:rsidRDefault="00556F61" w:rsidP="00056066">
            <w:pPr>
              <w:jc w:val="center"/>
            </w:pPr>
            <w:r w:rsidRPr="00056066">
              <w:t>1,740</w:t>
            </w:r>
          </w:p>
        </w:tc>
        <w:tc>
          <w:tcPr>
            <w:tcW w:w="1653" w:type="dxa"/>
            <w:shd w:val="clear" w:color="auto" w:fill="E5B8B7" w:themeFill="accent2" w:themeFillTint="66"/>
            <w:vAlign w:val="center"/>
          </w:tcPr>
          <w:p w:rsidR="00556F61" w:rsidRPr="00056066" w:rsidRDefault="00556F61" w:rsidP="00056066">
            <w:pPr>
              <w:jc w:val="center"/>
            </w:pPr>
            <w:r w:rsidRPr="00056066">
              <w:t>1,140</w:t>
            </w:r>
          </w:p>
        </w:tc>
      </w:tr>
      <w:tr w:rsidR="00556F61" w:rsidTr="00056066">
        <w:tc>
          <w:tcPr>
            <w:tcW w:w="2769" w:type="dxa"/>
            <w:tcBorders>
              <w:bottom w:val="single" w:sz="4" w:space="0" w:color="auto"/>
            </w:tcBorders>
            <w:shd w:val="clear" w:color="auto" w:fill="E5B8B7" w:themeFill="accent2" w:themeFillTint="66"/>
            <w:vAlign w:val="center"/>
          </w:tcPr>
          <w:p w:rsidR="00556F61" w:rsidRPr="00056066" w:rsidRDefault="00556F61" w:rsidP="00056066">
            <w:r w:rsidRPr="00056066">
              <w:t>DRV÷RV</w:t>
            </w:r>
          </w:p>
        </w:tc>
        <w:tc>
          <w:tcPr>
            <w:tcW w:w="3330" w:type="dxa"/>
            <w:gridSpan w:val="2"/>
            <w:tcBorders>
              <w:bottom w:val="single" w:sz="4" w:space="0" w:color="auto"/>
            </w:tcBorders>
            <w:shd w:val="clear" w:color="auto" w:fill="E5B8B7" w:themeFill="accent2" w:themeFillTint="66"/>
            <w:vAlign w:val="center"/>
          </w:tcPr>
          <w:p w:rsidR="00556F61" w:rsidRPr="00056066" w:rsidRDefault="00556F61" w:rsidP="00056066">
            <w:pPr>
              <w:jc w:val="center"/>
              <w:rPr>
                <w:b/>
                <w:sz w:val="24"/>
              </w:rPr>
            </w:pPr>
            <w:r w:rsidRPr="00056066">
              <w:rPr>
                <w:b/>
                <w:sz w:val="24"/>
              </w:rPr>
              <w:t>52.4%</w:t>
            </w:r>
          </w:p>
        </w:tc>
        <w:tc>
          <w:tcPr>
            <w:tcW w:w="3449" w:type="dxa"/>
            <w:gridSpan w:val="2"/>
            <w:tcBorders>
              <w:bottom w:val="single" w:sz="4" w:space="0" w:color="auto"/>
            </w:tcBorders>
            <w:shd w:val="clear" w:color="auto" w:fill="E5B8B7" w:themeFill="accent2" w:themeFillTint="66"/>
            <w:vAlign w:val="center"/>
          </w:tcPr>
          <w:p w:rsidR="00556F61" w:rsidRPr="00056066" w:rsidRDefault="00556F61" w:rsidP="00056066">
            <w:pPr>
              <w:jc w:val="center"/>
              <w:rPr>
                <w:b/>
                <w:sz w:val="24"/>
              </w:rPr>
            </w:pPr>
            <w:r w:rsidRPr="00056066">
              <w:rPr>
                <w:b/>
                <w:sz w:val="24"/>
              </w:rPr>
              <w:t>65.5%</w:t>
            </w:r>
          </w:p>
        </w:tc>
      </w:tr>
      <w:tr w:rsidR="00917D3C" w:rsidTr="00556F61">
        <w:tc>
          <w:tcPr>
            <w:tcW w:w="2769" w:type="dxa"/>
            <w:shd w:val="clear" w:color="auto" w:fill="C2D69B" w:themeFill="accent3" w:themeFillTint="99"/>
            <w:vAlign w:val="center"/>
          </w:tcPr>
          <w:p w:rsidR="00556F61" w:rsidRPr="00056066" w:rsidRDefault="00556F61" w:rsidP="00056066">
            <w:r w:rsidRPr="00056066">
              <w:t>Total (</w:t>
            </w:r>
            <w:proofErr w:type="spellStart"/>
            <w:r w:rsidRPr="00056066">
              <w:t>Pavement+Seal</w:t>
            </w:r>
            <w:proofErr w:type="spellEnd"/>
            <w:r w:rsidRPr="00056066">
              <w:t>, excluding formation)</w:t>
            </w:r>
          </w:p>
        </w:tc>
        <w:tc>
          <w:tcPr>
            <w:tcW w:w="1796" w:type="dxa"/>
            <w:shd w:val="clear" w:color="auto" w:fill="C2D69B" w:themeFill="accent3" w:themeFillTint="99"/>
            <w:vAlign w:val="center"/>
          </w:tcPr>
          <w:p w:rsidR="00556F61" w:rsidRDefault="00556F61" w:rsidP="00056066">
            <w:pPr>
              <w:jc w:val="center"/>
            </w:pPr>
            <w:r>
              <w:t>1,200</w:t>
            </w:r>
          </w:p>
        </w:tc>
        <w:tc>
          <w:tcPr>
            <w:tcW w:w="1534" w:type="dxa"/>
            <w:shd w:val="clear" w:color="auto" w:fill="C2D69B" w:themeFill="accent3" w:themeFillTint="99"/>
            <w:vAlign w:val="center"/>
          </w:tcPr>
          <w:p w:rsidR="00556F61" w:rsidRDefault="00556F61" w:rsidP="00056066">
            <w:pPr>
              <w:jc w:val="center"/>
            </w:pPr>
            <w:r>
              <w:t>600</w:t>
            </w:r>
          </w:p>
        </w:tc>
        <w:tc>
          <w:tcPr>
            <w:tcW w:w="1796" w:type="dxa"/>
            <w:shd w:val="clear" w:color="auto" w:fill="C2D69B" w:themeFill="accent3" w:themeFillTint="99"/>
            <w:vAlign w:val="center"/>
          </w:tcPr>
          <w:p w:rsidR="00556F61" w:rsidRDefault="00556F61" w:rsidP="00056066">
            <w:pPr>
              <w:jc w:val="center"/>
            </w:pPr>
            <w:r>
              <w:t>1,200</w:t>
            </w:r>
          </w:p>
        </w:tc>
        <w:tc>
          <w:tcPr>
            <w:tcW w:w="1653" w:type="dxa"/>
            <w:shd w:val="clear" w:color="auto" w:fill="C2D69B" w:themeFill="accent3" w:themeFillTint="99"/>
            <w:vAlign w:val="center"/>
          </w:tcPr>
          <w:p w:rsidR="00556F61" w:rsidRDefault="00556F61" w:rsidP="00056066">
            <w:pPr>
              <w:jc w:val="center"/>
            </w:pPr>
            <w:r>
              <w:t>600</w:t>
            </w:r>
          </w:p>
        </w:tc>
      </w:tr>
      <w:tr w:rsidR="00556F61" w:rsidTr="00056066">
        <w:tc>
          <w:tcPr>
            <w:tcW w:w="2769" w:type="dxa"/>
            <w:shd w:val="clear" w:color="auto" w:fill="C2D69B" w:themeFill="accent3" w:themeFillTint="99"/>
            <w:vAlign w:val="center"/>
          </w:tcPr>
          <w:p w:rsidR="00556F61" w:rsidRPr="00056066" w:rsidRDefault="00556F61" w:rsidP="00056066">
            <w:r w:rsidRPr="00056066">
              <w:t>DRV÷RV</w:t>
            </w:r>
          </w:p>
        </w:tc>
        <w:tc>
          <w:tcPr>
            <w:tcW w:w="3330" w:type="dxa"/>
            <w:gridSpan w:val="2"/>
            <w:shd w:val="clear" w:color="auto" w:fill="C2D69B" w:themeFill="accent3" w:themeFillTint="99"/>
            <w:vAlign w:val="center"/>
          </w:tcPr>
          <w:p w:rsidR="00556F61" w:rsidRPr="00056066" w:rsidRDefault="00556F61" w:rsidP="00056066">
            <w:pPr>
              <w:jc w:val="center"/>
              <w:rPr>
                <w:b/>
                <w:sz w:val="24"/>
              </w:rPr>
            </w:pPr>
            <w:r w:rsidRPr="00056066">
              <w:rPr>
                <w:b/>
                <w:sz w:val="24"/>
              </w:rPr>
              <w:t>50%</w:t>
            </w:r>
          </w:p>
        </w:tc>
        <w:tc>
          <w:tcPr>
            <w:tcW w:w="3449" w:type="dxa"/>
            <w:gridSpan w:val="2"/>
            <w:shd w:val="clear" w:color="auto" w:fill="C2D69B" w:themeFill="accent3" w:themeFillTint="99"/>
            <w:vAlign w:val="center"/>
          </w:tcPr>
          <w:p w:rsidR="00556F61" w:rsidRPr="00056066" w:rsidRDefault="00556F61" w:rsidP="00056066">
            <w:pPr>
              <w:jc w:val="center"/>
              <w:rPr>
                <w:b/>
                <w:sz w:val="24"/>
              </w:rPr>
            </w:pPr>
            <w:r w:rsidRPr="00056066">
              <w:rPr>
                <w:b/>
                <w:sz w:val="24"/>
              </w:rPr>
              <w:t>50%</w:t>
            </w:r>
          </w:p>
        </w:tc>
      </w:tr>
    </w:tbl>
    <w:p w:rsidR="00556F61" w:rsidRPr="00056066" w:rsidRDefault="008E3D47">
      <w:pPr>
        <w:rPr>
          <w:i/>
        </w:rPr>
      </w:pPr>
      <w:r w:rsidRPr="00056066">
        <w:rPr>
          <w:i/>
          <w:sz w:val="20"/>
        </w:rPr>
        <w:t>Table 1: Effect of the Local Government Commission's approach to include Formation in the DRV÷RV calculation</w:t>
      </w:r>
    </w:p>
    <w:p w:rsidR="00917D3C" w:rsidRDefault="00917D3C">
      <w:r>
        <w:t>In this example the LGC would have considered Council B's roads as being in better condition because its DRV÷RV=65.5% compared to Council A's roads with a value of 52.4%, even though both Council's pavement and seal (the components that need to be renewed from time to time) are the same. When formation is excluded the true picture emerges: DRV÷RV=50% for both Councils.</w:t>
      </w:r>
    </w:p>
    <w:p w:rsidR="00EE5F66" w:rsidRDefault="00EE5F66">
      <w:pPr>
        <w:rPr>
          <w:b/>
        </w:rPr>
      </w:pPr>
    </w:p>
    <w:p w:rsidR="00FF392E" w:rsidRPr="00FF392E" w:rsidRDefault="00FF392E">
      <w:pPr>
        <w:rPr>
          <w:b/>
        </w:rPr>
      </w:pPr>
      <w:r w:rsidRPr="00FF392E">
        <w:rPr>
          <w:b/>
        </w:rPr>
        <w:t>How did this happen?</w:t>
      </w:r>
    </w:p>
    <w:p w:rsidR="00FF392E" w:rsidRDefault="00FF392E">
      <w:r>
        <w:t xml:space="preserve">The questionnaires did not </w:t>
      </w:r>
      <w:r w:rsidR="00EE5F66">
        <w:t xml:space="preserve">ask for </w:t>
      </w:r>
      <w:r>
        <w:t>information at this level of detail and MWH did not have time to check</w:t>
      </w:r>
      <w:r w:rsidR="00EE5F66">
        <w:t xml:space="preserve"> the information that was submitted</w:t>
      </w:r>
      <w:r>
        <w:t>.</w:t>
      </w:r>
      <w:r w:rsidR="00EE5F66">
        <w:t xml:space="preserve"> The information that was submitted simply gave the RV and </w:t>
      </w:r>
      <w:proofErr w:type="gramStart"/>
      <w:r w:rsidR="00EE5F66">
        <w:t>DRV values, no distinction was</w:t>
      </w:r>
      <w:proofErr w:type="gramEnd"/>
      <w:r w:rsidR="00EE5F66">
        <w:t xml:space="preserve"> made between depreciable and non-depreciable assets.</w:t>
      </w:r>
    </w:p>
    <w:p w:rsidR="00B97262" w:rsidRDefault="00B97262">
      <w:pPr>
        <w:rPr>
          <w:b/>
        </w:rPr>
      </w:pPr>
    </w:p>
    <w:p w:rsidR="00FF392E" w:rsidRPr="00FF392E" w:rsidRDefault="00FF392E">
      <w:pPr>
        <w:rPr>
          <w:b/>
        </w:rPr>
      </w:pPr>
      <w:r w:rsidRPr="00FF392E">
        <w:rPr>
          <w:b/>
        </w:rPr>
        <w:t>What are the numbers?</w:t>
      </w:r>
    </w:p>
    <w:p w:rsidR="00241847" w:rsidRDefault="00FF392E" w:rsidP="00056066">
      <w:r>
        <w:t>This is where it gets a bit more technical but the numbers are easy to follow. To start off, the numbers that were used by the LGC are as follows:</w:t>
      </w:r>
    </w:p>
    <w:tbl>
      <w:tblPr>
        <w:tblW w:w="10431" w:type="dxa"/>
        <w:tblInd w:w="-601" w:type="dxa"/>
        <w:tblLook w:val="04A0" w:firstRow="1" w:lastRow="0" w:firstColumn="1" w:lastColumn="0" w:noHBand="0" w:noVBand="1"/>
      </w:tblPr>
      <w:tblGrid>
        <w:gridCol w:w="2269"/>
        <w:gridCol w:w="708"/>
        <w:gridCol w:w="622"/>
        <w:gridCol w:w="775"/>
        <w:gridCol w:w="775"/>
        <w:gridCol w:w="622"/>
        <w:gridCol w:w="622"/>
        <w:gridCol w:w="622"/>
        <w:gridCol w:w="622"/>
        <w:gridCol w:w="622"/>
        <w:gridCol w:w="622"/>
        <w:gridCol w:w="775"/>
        <w:gridCol w:w="775"/>
      </w:tblGrid>
      <w:tr w:rsidR="00F123F6" w:rsidRPr="00241847" w:rsidTr="00056066">
        <w:trPr>
          <w:trHeight w:val="582"/>
        </w:trPr>
        <w:tc>
          <w:tcPr>
            <w:tcW w:w="10431" w:type="dxa"/>
            <w:gridSpan w:val="13"/>
            <w:tcBorders>
              <w:top w:val="single" w:sz="8" w:space="0" w:color="auto"/>
              <w:left w:val="single" w:sz="8" w:space="0" w:color="auto"/>
              <w:bottom w:val="nil"/>
              <w:right w:val="single" w:sz="8" w:space="0" w:color="auto"/>
            </w:tcBorders>
            <w:shd w:val="clear" w:color="auto" w:fill="auto"/>
            <w:noWrap/>
            <w:vAlign w:val="bottom"/>
            <w:hideMark/>
          </w:tcPr>
          <w:p w:rsidR="00F123F6" w:rsidRPr="00E1219C" w:rsidRDefault="00F123F6" w:rsidP="00E1219C">
            <w:pPr>
              <w:spacing w:after="0"/>
              <w:rPr>
                <w:rFonts w:ascii="Calibri" w:eastAsia="Times New Roman" w:hAnsi="Calibri" w:cs="Times New Roman"/>
                <w:color w:val="000000"/>
                <w:sz w:val="20"/>
                <w:lang w:eastAsia="en-NZ"/>
              </w:rPr>
            </w:pPr>
            <w:r w:rsidRPr="00056066">
              <w:rPr>
                <w:rFonts w:ascii="Calibri" w:eastAsia="Times New Roman" w:hAnsi="Calibri" w:cs="Times New Roman"/>
                <w:b/>
                <w:bCs/>
                <w:color w:val="000000"/>
                <w:sz w:val="20"/>
                <w:lang w:eastAsia="en-NZ"/>
              </w:rPr>
              <w:t>Comparative numbers based on Local Government Commission analysis and valuations obtained from the Councils</w:t>
            </w:r>
          </w:p>
          <w:p w:rsidR="00F123F6" w:rsidRPr="00056066" w:rsidRDefault="00F123F6" w:rsidP="00E1219C">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15"/>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i/>
                <w:color w:val="000000"/>
                <w:sz w:val="20"/>
                <w:lang w:eastAsia="en-NZ"/>
              </w:rPr>
            </w:pPr>
            <w:r w:rsidRPr="00056066">
              <w:rPr>
                <w:rFonts w:ascii="Calibri" w:eastAsia="Times New Roman" w:hAnsi="Calibri" w:cs="Times New Roman"/>
                <w:color w:val="000000"/>
                <w:sz w:val="20"/>
                <w:lang w:eastAsia="en-NZ"/>
              </w:rPr>
              <w:t> </w:t>
            </w:r>
            <w:r w:rsidR="00EE5F66" w:rsidRPr="00056066">
              <w:rPr>
                <w:rFonts w:ascii="Calibri" w:eastAsia="Times New Roman" w:hAnsi="Calibri" w:cs="Times New Roman"/>
                <w:i/>
                <w:color w:val="000000"/>
                <w:sz w:val="20"/>
                <w:lang w:eastAsia="en-NZ"/>
              </w:rPr>
              <w:t>($million)</w:t>
            </w:r>
          </w:p>
        </w:tc>
        <w:tc>
          <w:tcPr>
            <w:tcW w:w="1330" w:type="dxa"/>
            <w:gridSpan w:val="2"/>
            <w:tcBorders>
              <w:top w:val="nil"/>
              <w:left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Central Hawke's Bay</w:t>
            </w:r>
          </w:p>
        </w:tc>
        <w:tc>
          <w:tcPr>
            <w:tcW w:w="1550" w:type="dxa"/>
            <w:gridSpan w:val="2"/>
            <w:tcBorders>
              <w:top w:val="nil"/>
              <w:left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Hastings</w:t>
            </w:r>
          </w:p>
        </w:tc>
        <w:tc>
          <w:tcPr>
            <w:tcW w:w="1244" w:type="dxa"/>
            <w:gridSpan w:val="2"/>
            <w:tcBorders>
              <w:top w:val="nil"/>
              <w:left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Napier</w:t>
            </w:r>
          </w:p>
        </w:tc>
        <w:tc>
          <w:tcPr>
            <w:tcW w:w="1244" w:type="dxa"/>
            <w:gridSpan w:val="2"/>
            <w:tcBorders>
              <w:top w:val="nil"/>
              <w:left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Wairoa</w:t>
            </w:r>
          </w:p>
        </w:tc>
        <w:tc>
          <w:tcPr>
            <w:tcW w:w="1244" w:type="dxa"/>
            <w:gridSpan w:val="2"/>
            <w:tcBorders>
              <w:top w:val="nil"/>
              <w:left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HBRC</w:t>
            </w:r>
          </w:p>
        </w:tc>
        <w:tc>
          <w:tcPr>
            <w:tcW w:w="1550" w:type="dxa"/>
            <w:gridSpan w:val="2"/>
            <w:tcBorders>
              <w:top w:val="nil"/>
              <w:left w:val="nil"/>
              <w:right w:val="single" w:sz="8" w:space="0" w:color="000000"/>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Total</w:t>
            </w:r>
          </w:p>
        </w:tc>
      </w:tr>
      <w:tr w:rsidR="00241847" w:rsidRPr="00241847" w:rsidTr="00056066">
        <w:trPr>
          <w:trHeight w:val="300"/>
        </w:trPr>
        <w:tc>
          <w:tcPr>
            <w:tcW w:w="2269" w:type="dxa"/>
            <w:tcBorders>
              <w:top w:val="nil"/>
              <w:left w:val="single" w:sz="8" w:space="0" w:color="auto"/>
              <w:bottom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bottom w:val="single" w:sz="4" w:space="0" w:color="auto"/>
              <w:right w:val="single" w:sz="4" w:space="0" w:color="auto"/>
            </w:tcBorders>
            <w:shd w:val="clear" w:color="000000" w:fill="D6DCE4"/>
            <w:noWrap/>
            <w:vAlign w:val="bottom"/>
            <w:hideMark/>
          </w:tcPr>
          <w:p w:rsidR="00241847" w:rsidRPr="00E1219C" w:rsidRDefault="00241847" w:rsidP="00241847">
            <w:pPr>
              <w:spacing w:after="0"/>
              <w:jc w:val="center"/>
              <w:rPr>
                <w:rFonts w:ascii="Calibri" w:eastAsia="Times New Roman" w:hAnsi="Calibri" w:cs="Times New Roman"/>
                <w:b/>
                <w:bCs/>
                <w:i/>
                <w:iCs/>
                <w:color w:val="000000"/>
                <w:sz w:val="20"/>
                <w:szCs w:val="20"/>
                <w:lang w:eastAsia="en-NZ"/>
              </w:rPr>
            </w:pPr>
            <w:r w:rsidRPr="00E1219C">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D6DCE4"/>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RV</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c>
          <w:tcPr>
            <w:tcW w:w="622" w:type="dxa"/>
            <w:tcBorders>
              <w:top w:val="nil"/>
              <w:left w:val="single" w:sz="4" w:space="0" w:color="auto"/>
              <w:bottom w:val="single" w:sz="4" w:space="0" w:color="auto"/>
              <w:right w:val="single" w:sz="4" w:space="0" w:color="auto"/>
            </w:tcBorders>
            <w:shd w:val="clear" w:color="000000" w:fill="D9E1F2"/>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D9E1F2"/>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c>
          <w:tcPr>
            <w:tcW w:w="775" w:type="dxa"/>
            <w:tcBorders>
              <w:top w:val="nil"/>
              <w:left w:val="single" w:sz="4" w:space="0" w:color="auto"/>
              <w:bottom w:val="single" w:sz="4" w:space="0" w:color="auto"/>
              <w:right w:val="single" w:sz="4" w:space="0" w:color="auto"/>
            </w:tcBorders>
            <w:shd w:val="clear" w:color="000000" w:fill="E2EFDA"/>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RV</w:t>
            </w:r>
          </w:p>
        </w:tc>
        <w:tc>
          <w:tcPr>
            <w:tcW w:w="775" w:type="dxa"/>
            <w:tcBorders>
              <w:top w:val="nil"/>
              <w:left w:val="single" w:sz="4" w:space="0" w:color="auto"/>
              <w:bottom w:val="single" w:sz="4" w:space="0" w:color="auto"/>
              <w:right w:val="single" w:sz="8" w:space="0" w:color="auto"/>
            </w:tcBorders>
            <w:shd w:val="clear" w:color="000000" w:fill="E2EFDA"/>
            <w:noWrap/>
            <w:vAlign w:val="bottom"/>
            <w:hideMark/>
          </w:tcPr>
          <w:p w:rsidR="00241847" w:rsidRPr="00241847" w:rsidRDefault="00241847" w:rsidP="00241847">
            <w:pPr>
              <w:spacing w:after="0"/>
              <w:jc w:val="center"/>
              <w:rPr>
                <w:rFonts w:ascii="Calibri" w:eastAsia="Times New Roman" w:hAnsi="Calibri" w:cs="Times New Roman"/>
                <w:b/>
                <w:bCs/>
                <w:i/>
                <w:iCs/>
                <w:color w:val="000000"/>
                <w:sz w:val="20"/>
                <w:szCs w:val="20"/>
                <w:lang w:eastAsia="en-NZ"/>
              </w:rPr>
            </w:pPr>
            <w:r w:rsidRPr="00241847">
              <w:rPr>
                <w:rFonts w:ascii="Calibri" w:eastAsia="Times New Roman" w:hAnsi="Calibri" w:cs="Times New Roman"/>
                <w:b/>
                <w:bCs/>
                <w:i/>
                <w:iCs/>
                <w:color w:val="000000"/>
                <w:sz w:val="20"/>
                <w:szCs w:val="20"/>
                <w:lang w:eastAsia="en-NZ"/>
              </w:rPr>
              <w:t>DRV</w:t>
            </w:r>
          </w:p>
        </w:tc>
      </w:tr>
      <w:tr w:rsidR="00241847" w:rsidRPr="00241847" w:rsidTr="00056066">
        <w:trPr>
          <w:trHeight w:val="300"/>
        </w:trPr>
        <w:tc>
          <w:tcPr>
            <w:tcW w:w="2269" w:type="dxa"/>
            <w:tcBorders>
              <w:top w:val="nil"/>
              <w:left w:val="single" w:sz="8" w:space="0" w:color="auto"/>
              <w:bottom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 Formation &amp; Berm</w:t>
            </w:r>
          </w:p>
        </w:tc>
        <w:tc>
          <w:tcPr>
            <w:tcW w:w="708" w:type="dxa"/>
            <w:tcBorders>
              <w:top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$299</w:t>
            </w:r>
          </w:p>
        </w:tc>
        <w:tc>
          <w:tcPr>
            <w:tcW w:w="62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$299</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$541</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$541</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$28</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$28</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$53</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$53</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$920</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$920</w:t>
            </w:r>
          </w:p>
        </w:tc>
      </w:tr>
      <w:tr w:rsidR="00241847" w:rsidRPr="00241847" w:rsidTr="00056066">
        <w:trPr>
          <w:trHeight w:val="300"/>
        </w:trPr>
        <w:tc>
          <w:tcPr>
            <w:tcW w:w="2269" w:type="dxa"/>
            <w:tcBorders>
              <w:top w:val="nil"/>
              <w:left w:val="single" w:sz="8" w:space="0" w:color="auto"/>
              <w:bottom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 depreciable assets</w:t>
            </w:r>
          </w:p>
        </w:tc>
        <w:tc>
          <w:tcPr>
            <w:tcW w:w="708" w:type="dxa"/>
            <w:tcBorders>
              <w:top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$480</w:t>
            </w:r>
          </w:p>
        </w:tc>
        <w:tc>
          <w:tcPr>
            <w:tcW w:w="62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$297</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$661</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$538</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$299</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$158</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$213</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$124</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$1,654</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$1,118</w:t>
            </w:r>
          </w:p>
        </w:tc>
      </w:tr>
      <w:tr w:rsidR="00241847" w:rsidRPr="00241847" w:rsidTr="00056066">
        <w:trPr>
          <w:trHeight w:val="300"/>
        </w:trPr>
        <w:tc>
          <w:tcPr>
            <w:tcW w:w="2269" w:type="dxa"/>
            <w:tcBorders>
              <w:top w:val="nil"/>
              <w:left w:val="single" w:sz="8" w:space="0" w:color="auto"/>
              <w:bottom w:val="nil"/>
            </w:tcBorders>
            <w:shd w:val="clear" w:color="auto" w:fill="auto"/>
            <w:noWrap/>
            <w:vAlign w:val="bottom"/>
            <w:hideMark/>
          </w:tcPr>
          <w:p w:rsidR="00241847" w:rsidRPr="00056066" w:rsidRDefault="00241847" w:rsidP="00241847">
            <w:pPr>
              <w:spacing w:after="0"/>
              <w:rPr>
                <w:rFonts w:ascii="Calibri" w:eastAsia="Times New Roman" w:hAnsi="Calibri" w:cs="Times New Roman"/>
                <w:i/>
                <w:iCs/>
                <w:color w:val="000000"/>
                <w:sz w:val="20"/>
                <w:lang w:eastAsia="en-NZ"/>
              </w:rPr>
            </w:pPr>
            <w:proofErr w:type="spellStart"/>
            <w:r w:rsidRPr="00056066">
              <w:rPr>
                <w:rFonts w:ascii="Calibri" w:eastAsia="Times New Roman" w:hAnsi="Calibri" w:cs="Times New Roman"/>
                <w:i/>
                <w:iCs/>
                <w:color w:val="000000"/>
                <w:sz w:val="20"/>
                <w:lang w:eastAsia="en-NZ"/>
              </w:rPr>
              <w:t>Sub total</w:t>
            </w:r>
            <w:proofErr w:type="spellEnd"/>
            <w:r w:rsidRPr="00056066">
              <w:rPr>
                <w:rFonts w:ascii="Calibri" w:eastAsia="Times New Roman" w:hAnsi="Calibri" w:cs="Times New Roman"/>
                <w:i/>
                <w:iCs/>
                <w:color w:val="000000"/>
                <w:sz w:val="20"/>
                <w:lang w:eastAsia="en-NZ"/>
              </w:rPr>
              <w:t xml:space="preserve"> - Roads</w:t>
            </w:r>
          </w:p>
        </w:tc>
        <w:tc>
          <w:tcPr>
            <w:tcW w:w="708" w:type="dxa"/>
            <w:tcBorders>
              <w:top w:val="single" w:sz="4" w:space="0" w:color="auto"/>
              <w:bottom w:val="nil"/>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$779</w:t>
            </w:r>
          </w:p>
        </w:tc>
        <w:tc>
          <w:tcPr>
            <w:tcW w:w="622" w:type="dxa"/>
            <w:tcBorders>
              <w:top w:val="single" w:sz="4" w:space="0" w:color="auto"/>
              <w:left w:val="single" w:sz="4" w:space="0" w:color="auto"/>
              <w:bottom w:val="nil"/>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$596</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$1,202</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$1,079</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$327</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$186</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$266</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$177</w:t>
            </w:r>
          </w:p>
        </w:tc>
        <w:tc>
          <w:tcPr>
            <w:tcW w:w="622" w:type="dxa"/>
            <w:tcBorders>
              <w:top w:val="single" w:sz="4" w:space="0" w:color="auto"/>
              <w:left w:val="single" w:sz="4" w:space="0" w:color="auto"/>
              <w:bottom w:val="nil"/>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$0</w:t>
            </w:r>
          </w:p>
        </w:tc>
        <w:tc>
          <w:tcPr>
            <w:tcW w:w="622" w:type="dxa"/>
            <w:tcBorders>
              <w:top w:val="single" w:sz="4" w:space="0" w:color="auto"/>
              <w:left w:val="single" w:sz="4" w:space="0" w:color="auto"/>
              <w:bottom w:val="nil"/>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$0</w:t>
            </w:r>
          </w:p>
        </w:tc>
        <w:tc>
          <w:tcPr>
            <w:tcW w:w="775" w:type="dxa"/>
            <w:tcBorders>
              <w:top w:val="single" w:sz="4" w:space="0" w:color="auto"/>
              <w:left w:val="single" w:sz="4" w:space="0" w:color="auto"/>
              <w:bottom w:val="nil"/>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$2,574</w:t>
            </w:r>
          </w:p>
        </w:tc>
        <w:tc>
          <w:tcPr>
            <w:tcW w:w="775" w:type="dxa"/>
            <w:tcBorders>
              <w:top w:val="single" w:sz="4" w:space="0" w:color="auto"/>
              <w:left w:val="single" w:sz="4" w:space="0" w:color="auto"/>
              <w:bottom w:val="nil"/>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$2,038</w:t>
            </w:r>
          </w:p>
        </w:tc>
      </w:tr>
      <w:tr w:rsidR="00241847" w:rsidRPr="00241847" w:rsidTr="00056066">
        <w:trPr>
          <w:trHeight w:val="375"/>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056066">
              <w:rPr>
                <w:b/>
              </w:rPr>
              <w:t>÷</w:t>
            </w:r>
            <w:r w:rsidRPr="00056066">
              <w:rPr>
                <w:rFonts w:ascii="Calibri" w:eastAsia="Times New Roman" w:hAnsi="Calibri" w:cs="Times New Roman"/>
                <w:b/>
                <w:bCs/>
                <w:color w:val="000000"/>
                <w:sz w:val="20"/>
                <w:szCs w:val="28"/>
                <w:lang w:eastAsia="en-NZ"/>
              </w:rPr>
              <w:t xml:space="preserve"> RV for Roads</w:t>
            </w:r>
          </w:p>
        </w:tc>
        <w:tc>
          <w:tcPr>
            <w:tcW w:w="1330" w:type="dxa"/>
            <w:gridSpan w:val="2"/>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77%</w:t>
            </w:r>
          </w:p>
        </w:tc>
        <w:tc>
          <w:tcPr>
            <w:tcW w:w="1550" w:type="dxa"/>
            <w:gridSpan w:val="2"/>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90%</w:t>
            </w:r>
          </w:p>
        </w:tc>
        <w:tc>
          <w:tcPr>
            <w:tcW w:w="1244" w:type="dxa"/>
            <w:gridSpan w:val="2"/>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57%</w:t>
            </w:r>
          </w:p>
        </w:tc>
        <w:tc>
          <w:tcPr>
            <w:tcW w:w="1244" w:type="dxa"/>
            <w:gridSpan w:val="2"/>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67%</w:t>
            </w:r>
          </w:p>
        </w:tc>
        <w:tc>
          <w:tcPr>
            <w:tcW w:w="1244" w:type="dxa"/>
            <w:gridSpan w:val="2"/>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N/A</w:t>
            </w:r>
          </w:p>
        </w:tc>
        <w:tc>
          <w:tcPr>
            <w:tcW w:w="1550" w:type="dxa"/>
            <w:gridSpan w:val="2"/>
            <w:tcBorders>
              <w:top w:val="nil"/>
              <w:left w:val="nil"/>
              <w:bottom w:val="nil"/>
              <w:right w:val="single" w:sz="8" w:space="0" w:color="000000"/>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79%</w:t>
            </w:r>
          </w:p>
        </w:tc>
      </w:tr>
      <w:tr w:rsidR="00241847" w:rsidRPr="00241847" w:rsidTr="00F123F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nil"/>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F123F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Water Supply</w:t>
            </w:r>
          </w:p>
        </w:tc>
        <w:tc>
          <w:tcPr>
            <w:tcW w:w="708" w:type="dxa"/>
            <w:tcBorders>
              <w:top w:val="nil"/>
              <w:left w:val="nil"/>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$57</w:t>
            </w:r>
          </w:p>
        </w:tc>
        <w:tc>
          <w:tcPr>
            <w:tcW w:w="622" w:type="dxa"/>
            <w:tcBorders>
              <w:top w:val="nil"/>
              <w:left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$145</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$89</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$129</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$81</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$33</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$20</w:t>
            </w:r>
          </w:p>
        </w:tc>
        <w:tc>
          <w:tcPr>
            <w:tcW w:w="622" w:type="dxa"/>
            <w:tcBorders>
              <w:top w:val="nil"/>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single" w:sz="4" w:space="0" w:color="auto"/>
              <w:bottom w:val="single" w:sz="4" w:space="0" w:color="auto"/>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$364</w:t>
            </w:r>
          </w:p>
        </w:tc>
        <w:tc>
          <w:tcPr>
            <w:tcW w:w="775" w:type="dxa"/>
            <w:tcBorders>
              <w:top w:val="nil"/>
              <w:left w:val="single" w:sz="4" w:space="0" w:color="auto"/>
              <w:bottom w:val="single" w:sz="4" w:space="0" w:color="auto"/>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$219</w:t>
            </w:r>
          </w:p>
        </w:tc>
      </w:tr>
      <w:tr w:rsidR="00241847" w:rsidRPr="00241847" w:rsidTr="00F123F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Wastewater</w:t>
            </w:r>
          </w:p>
        </w:tc>
        <w:tc>
          <w:tcPr>
            <w:tcW w:w="708" w:type="dxa"/>
            <w:tcBorders>
              <w:top w:val="single" w:sz="4" w:space="0" w:color="auto"/>
              <w:left w:val="nil"/>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$80</w:t>
            </w:r>
          </w:p>
        </w:tc>
        <w:tc>
          <w:tcPr>
            <w:tcW w:w="62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$45</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$358</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$192</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$242</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$127</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$695</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$369</w:t>
            </w:r>
          </w:p>
        </w:tc>
      </w:tr>
      <w:tr w:rsidR="00241847" w:rsidRPr="00241847" w:rsidTr="00F123F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Stormwater</w:t>
            </w:r>
          </w:p>
        </w:tc>
        <w:tc>
          <w:tcPr>
            <w:tcW w:w="708" w:type="dxa"/>
            <w:tcBorders>
              <w:top w:val="single" w:sz="4" w:space="0" w:color="auto"/>
              <w:left w:val="nil"/>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$24</w:t>
            </w:r>
          </w:p>
        </w:tc>
        <w:tc>
          <w:tcPr>
            <w:tcW w:w="622"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$262</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$161</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$164</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$104</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$18</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$162</w:t>
            </w:r>
          </w:p>
        </w:tc>
        <w:tc>
          <w:tcPr>
            <w:tcW w:w="622"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$147</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$630</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$433</w:t>
            </w:r>
          </w:p>
        </w:tc>
      </w:tr>
      <w:tr w:rsidR="00241847" w:rsidRPr="00241847" w:rsidTr="00F123F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i/>
                <w:iCs/>
                <w:color w:val="000000"/>
                <w:sz w:val="20"/>
                <w:lang w:eastAsia="en-NZ"/>
              </w:rPr>
            </w:pPr>
            <w:proofErr w:type="spellStart"/>
            <w:r w:rsidRPr="00056066">
              <w:rPr>
                <w:rFonts w:ascii="Calibri" w:eastAsia="Times New Roman" w:hAnsi="Calibri" w:cs="Times New Roman"/>
                <w:i/>
                <w:iCs/>
                <w:color w:val="000000"/>
                <w:sz w:val="20"/>
                <w:lang w:eastAsia="en-NZ"/>
              </w:rPr>
              <w:t>Sub total</w:t>
            </w:r>
            <w:proofErr w:type="spellEnd"/>
            <w:r w:rsidRPr="00056066">
              <w:rPr>
                <w:rFonts w:ascii="Calibri" w:eastAsia="Times New Roman" w:hAnsi="Calibri" w:cs="Times New Roman"/>
                <w:i/>
                <w:iCs/>
                <w:color w:val="000000"/>
                <w:sz w:val="20"/>
                <w:lang w:eastAsia="en-NZ"/>
              </w:rPr>
              <w:t xml:space="preserve"> - 3 Waters</w:t>
            </w:r>
          </w:p>
        </w:tc>
        <w:tc>
          <w:tcPr>
            <w:tcW w:w="708" w:type="dxa"/>
            <w:tcBorders>
              <w:top w:val="single" w:sz="4" w:space="0" w:color="auto"/>
              <w:left w:val="nil"/>
              <w:bottom w:val="nil"/>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$161</w:t>
            </w:r>
          </w:p>
        </w:tc>
        <w:tc>
          <w:tcPr>
            <w:tcW w:w="622" w:type="dxa"/>
            <w:tcBorders>
              <w:top w:val="single" w:sz="4" w:space="0" w:color="auto"/>
              <w:left w:val="single" w:sz="4" w:space="0" w:color="auto"/>
              <w:bottom w:val="nil"/>
              <w:right w:val="single" w:sz="4" w:space="0" w:color="auto"/>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$89</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$765</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$442</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$535</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$312</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$66</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$31</w:t>
            </w:r>
          </w:p>
        </w:tc>
        <w:tc>
          <w:tcPr>
            <w:tcW w:w="622" w:type="dxa"/>
            <w:tcBorders>
              <w:top w:val="single" w:sz="4" w:space="0" w:color="auto"/>
              <w:left w:val="single" w:sz="4" w:space="0" w:color="auto"/>
              <w:bottom w:val="nil"/>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$162</w:t>
            </w:r>
          </w:p>
        </w:tc>
        <w:tc>
          <w:tcPr>
            <w:tcW w:w="622" w:type="dxa"/>
            <w:tcBorders>
              <w:top w:val="single" w:sz="4" w:space="0" w:color="auto"/>
              <w:left w:val="single" w:sz="4" w:space="0" w:color="auto"/>
              <w:bottom w:val="nil"/>
              <w:right w:val="single" w:sz="4" w:space="0" w:color="auto"/>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$147</w:t>
            </w:r>
          </w:p>
        </w:tc>
        <w:tc>
          <w:tcPr>
            <w:tcW w:w="775" w:type="dxa"/>
            <w:tcBorders>
              <w:top w:val="single" w:sz="4" w:space="0" w:color="auto"/>
              <w:left w:val="single" w:sz="4" w:space="0" w:color="auto"/>
              <w:bottom w:val="nil"/>
              <w:right w:val="single" w:sz="4"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$1,689</w:t>
            </w:r>
          </w:p>
        </w:tc>
        <w:tc>
          <w:tcPr>
            <w:tcW w:w="775" w:type="dxa"/>
            <w:tcBorders>
              <w:top w:val="single" w:sz="4" w:space="0" w:color="auto"/>
              <w:left w:val="single" w:sz="4" w:space="0" w:color="auto"/>
              <w:bottom w:val="nil"/>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$1,021</w:t>
            </w:r>
          </w:p>
        </w:tc>
      </w:tr>
      <w:tr w:rsidR="00241847" w:rsidRPr="00241847" w:rsidTr="00056066">
        <w:trPr>
          <w:trHeight w:val="375"/>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572F1E">
              <w:rPr>
                <w:b/>
              </w:rPr>
              <w:t>÷</w:t>
            </w:r>
            <w:r w:rsidRPr="00056066">
              <w:rPr>
                <w:rFonts w:ascii="Calibri" w:eastAsia="Times New Roman" w:hAnsi="Calibri" w:cs="Times New Roman"/>
                <w:b/>
                <w:bCs/>
                <w:color w:val="000000"/>
                <w:sz w:val="20"/>
                <w:szCs w:val="28"/>
                <w:lang w:eastAsia="en-NZ"/>
              </w:rPr>
              <w:t xml:space="preserve"> RV for 3 Waters</w:t>
            </w:r>
          </w:p>
        </w:tc>
        <w:tc>
          <w:tcPr>
            <w:tcW w:w="1330" w:type="dxa"/>
            <w:gridSpan w:val="2"/>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55%</w:t>
            </w:r>
          </w:p>
        </w:tc>
        <w:tc>
          <w:tcPr>
            <w:tcW w:w="1550" w:type="dxa"/>
            <w:gridSpan w:val="2"/>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w:t>
            </w:r>
          </w:p>
        </w:tc>
        <w:tc>
          <w:tcPr>
            <w:tcW w:w="1244" w:type="dxa"/>
            <w:gridSpan w:val="2"/>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w:t>
            </w:r>
          </w:p>
        </w:tc>
        <w:tc>
          <w:tcPr>
            <w:tcW w:w="1244" w:type="dxa"/>
            <w:gridSpan w:val="2"/>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47%</w:t>
            </w:r>
          </w:p>
        </w:tc>
        <w:tc>
          <w:tcPr>
            <w:tcW w:w="1244" w:type="dxa"/>
            <w:gridSpan w:val="2"/>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91%</w:t>
            </w:r>
          </w:p>
        </w:tc>
        <w:tc>
          <w:tcPr>
            <w:tcW w:w="1550" w:type="dxa"/>
            <w:gridSpan w:val="2"/>
            <w:tcBorders>
              <w:top w:val="nil"/>
              <w:left w:val="nil"/>
              <w:bottom w:val="nil"/>
              <w:right w:val="single" w:sz="8" w:space="0" w:color="000000"/>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60%</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Total</w:t>
            </w:r>
          </w:p>
        </w:tc>
        <w:tc>
          <w:tcPr>
            <w:tcW w:w="708" w:type="dxa"/>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$939</w:t>
            </w:r>
          </w:p>
        </w:tc>
        <w:tc>
          <w:tcPr>
            <w:tcW w:w="622" w:type="dxa"/>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$685</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$1,969</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$1,521</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$861</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$498</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$332</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$209</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$162</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$147</w:t>
            </w:r>
          </w:p>
        </w:tc>
        <w:tc>
          <w:tcPr>
            <w:tcW w:w="775" w:type="dxa"/>
            <w:tcBorders>
              <w:top w:val="nil"/>
              <w:left w:val="nil"/>
              <w:bottom w:val="nil"/>
              <w:right w:val="nil"/>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$4,263</w:t>
            </w:r>
          </w:p>
        </w:tc>
        <w:tc>
          <w:tcPr>
            <w:tcW w:w="775" w:type="dxa"/>
            <w:tcBorders>
              <w:top w:val="nil"/>
              <w:left w:val="nil"/>
              <w:bottom w:val="nil"/>
              <w:right w:val="single" w:sz="8" w:space="0" w:color="auto"/>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$3,059</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bottom w:val="nil"/>
              <w:right w:val="nil"/>
            </w:tcBorders>
            <w:shd w:val="clear" w:color="000000" w:fill="D6DCE4"/>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6DCE4"/>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DDEBF7"/>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9E1F2"/>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E2EFDA"/>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single" w:sz="8" w:space="0" w:color="auto"/>
            </w:tcBorders>
            <w:shd w:val="clear" w:color="000000" w:fill="E2EFDA"/>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75"/>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572F1E">
              <w:rPr>
                <w:b/>
              </w:rPr>
              <w:t>÷</w:t>
            </w:r>
            <w:r w:rsidRPr="00056066">
              <w:rPr>
                <w:rFonts w:ascii="Calibri" w:eastAsia="Times New Roman" w:hAnsi="Calibri" w:cs="Times New Roman"/>
                <w:b/>
                <w:bCs/>
                <w:color w:val="000000"/>
                <w:sz w:val="20"/>
                <w:szCs w:val="28"/>
                <w:lang w:eastAsia="en-NZ"/>
              </w:rPr>
              <w:t xml:space="preserve"> RV for all assets</w:t>
            </w:r>
          </w:p>
        </w:tc>
        <w:tc>
          <w:tcPr>
            <w:tcW w:w="1330" w:type="dxa"/>
            <w:gridSpan w:val="2"/>
            <w:tcBorders>
              <w:top w:val="nil"/>
              <w:left w:val="nil"/>
              <w:bottom w:val="nil"/>
              <w:right w:val="nil"/>
            </w:tcBorders>
            <w:shd w:val="clear" w:color="000000" w:fill="D6DCE4"/>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72.9%</w:t>
            </w:r>
          </w:p>
        </w:tc>
        <w:tc>
          <w:tcPr>
            <w:tcW w:w="1550" w:type="dxa"/>
            <w:gridSpan w:val="2"/>
            <w:tcBorders>
              <w:top w:val="nil"/>
              <w:left w:val="nil"/>
              <w:bottom w:val="nil"/>
              <w:right w:val="nil"/>
            </w:tcBorders>
            <w:shd w:val="clear" w:color="000000" w:fill="DDEBF7"/>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77.2%</w:t>
            </w:r>
          </w:p>
        </w:tc>
        <w:tc>
          <w:tcPr>
            <w:tcW w:w="1244" w:type="dxa"/>
            <w:gridSpan w:val="2"/>
            <w:tcBorders>
              <w:top w:val="nil"/>
              <w:left w:val="nil"/>
              <w:bottom w:val="nil"/>
              <w:right w:val="nil"/>
            </w:tcBorders>
            <w:shd w:val="clear" w:color="000000" w:fill="FCE4D6"/>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57.8%</w:t>
            </w:r>
          </w:p>
        </w:tc>
        <w:tc>
          <w:tcPr>
            <w:tcW w:w="1244" w:type="dxa"/>
            <w:gridSpan w:val="2"/>
            <w:tcBorders>
              <w:top w:val="nil"/>
              <w:left w:val="nil"/>
              <w:bottom w:val="nil"/>
              <w:right w:val="nil"/>
            </w:tcBorders>
            <w:shd w:val="clear" w:color="000000" w:fill="FFF2CC"/>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63.0%</w:t>
            </w:r>
          </w:p>
        </w:tc>
        <w:tc>
          <w:tcPr>
            <w:tcW w:w="1244" w:type="dxa"/>
            <w:gridSpan w:val="2"/>
            <w:tcBorders>
              <w:top w:val="nil"/>
              <w:left w:val="nil"/>
              <w:bottom w:val="nil"/>
              <w:right w:val="nil"/>
            </w:tcBorders>
            <w:shd w:val="clear" w:color="000000" w:fill="D9E1F2"/>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90.7%</w:t>
            </w:r>
          </w:p>
        </w:tc>
        <w:tc>
          <w:tcPr>
            <w:tcW w:w="1550" w:type="dxa"/>
            <w:gridSpan w:val="2"/>
            <w:tcBorders>
              <w:top w:val="nil"/>
              <w:left w:val="nil"/>
              <w:bottom w:val="nil"/>
              <w:right w:val="single" w:sz="8" w:space="0" w:color="000000"/>
            </w:tcBorders>
            <w:shd w:val="clear" w:color="000000" w:fill="E2EFDA"/>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71.8%</w:t>
            </w:r>
          </w:p>
        </w:tc>
      </w:tr>
      <w:tr w:rsidR="00241847" w:rsidRPr="00241847" w:rsidTr="00056066">
        <w:trPr>
          <w:trHeight w:val="375"/>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w:t>
            </w:r>
          </w:p>
        </w:tc>
        <w:tc>
          <w:tcPr>
            <w:tcW w:w="708"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5282" w:type="dxa"/>
            <w:gridSpan w:val="8"/>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The LGC calculations used a value of 72.16% instead of 71.8% for the Total DRV/RV ratio.</w:t>
            </w:r>
          </w:p>
        </w:tc>
        <w:tc>
          <w:tcPr>
            <w:tcW w:w="1550" w:type="dxa"/>
            <w:gridSpan w:val="2"/>
            <w:tcBorders>
              <w:top w:val="nil"/>
              <w:left w:val="nil"/>
              <w:bottom w:val="nil"/>
              <w:right w:val="single" w:sz="8" w:space="0" w:color="000000"/>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72.16%</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00"/>
        </w:trPr>
        <w:tc>
          <w:tcPr>
            <w:tcW w:w="7637" w:type="dxa"/>
            <w:gridSpan w:val="9"/>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The replacement cost is split as follows between Roads and the Three Waters (water supply, wastewater and stormwater):</w:t>
            </w: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Roads</w:t>
            </w:r>
          </w:p>
        </w:tc>
        <w:tc>
          <w:tcPr>
            <w:tcW w:w="1330"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83%</w:t>
            </w:r>
          </w:p>
        </w:tc>
        <w:tc>
          <w:tcPr>
            <w:tcW w:w="1550"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61%</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38%</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80%</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1550" w:type="dxa"/>
            <w:gridSpan w:val="2"/>
            <w:tcBorders>
              <w:top w:val="nil"/>
              <w:left w:val="nil"/>
              <w:bottom w:val="nil"/>
              <w:right w:val="single" w:sz="8" w:space="0" w:color="000000"/>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60%</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Three Waters</w:t>
            </w:r>
          </w:p>
        </w:tc>
        <w:tc>
          <w:tcPr>
            <w:tcW w:w="1330"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17%</w:t>
            </w:r>
          </w:p>
        </w:tc>
        <w:tc>
          <w:tcPr>
            <w:tcW w:w="1550"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39%</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62%</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20%</w:t>
            </w:r>
          </w:p>
        </w:tc>
        <w:tc>
          <w:tcPr>
            <w:tcW w:w="1244" w:type="dxa"/>
            <w:gridSpan w:val="2"/>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100%</w:t>
            </w:r>
          </w:p>
        </w:tc>
        <w:tc>
          <w:tcPr>
            <w:tcW w:w="1550" w:type="dxa"/>
            <w:gridSpan w:val="2"/>
            <w:tcBorders>
              <w:top w:val="nil"/>
              <w:left w:val="nil"/>
              <w:bottom w:val="nil"/>
              <w:right w:val="single" w:sz="8" w:space="0" w:color="000000"/>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40%</w:t>
            </w:r>
          </w:p>
        </w:tc>
      </w:tr>
      <w:tr w:rsidR="00241847" w:rsidRPr="00241847" w:rsidTr="00056066">
        <w:trPr>
          <w:trHeight w:val="300"/>
        </w:trPr>
        <w:tc>
          <w:tcPr>
            <w:tcW w:w="2269" w:type="dxa"/>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08"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241847" w:rsidRPr="00241847" w:rsidTr="00056066">
        <w:trPr>
          <w:trHeight w:val="300"/>
        </w:trPr>
        <w:tc>
          <w:tcPr>
            <w:tcW w:w="8881" w:type="dxa"/>
            <w:gridSpan w:val="11"/>
            <w:tcBorders>
              <w:top w:val="nil"/>
              <w:left w:val="single" w:sz="8" w:space="0" w:color="auto"/>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The replacement costs are fixed, and for the average depreciated replacement cost to be 72.16% for each council, the DRV values must be as follows:</w:t>
            </w: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EE5F66" w:rsidRPr="00241847" w:rsidTr="00056066">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EE5F66" w:rsidRPr="00E1219C" w:rsidRDefault="00EE5F66" w:rsidP="00056066">
            <w:pPr>
              <w:spacing w:after="0"/>
              <w:rPr>
                <w:rFonts w:ascii="Calibri" w:eastAsia="Times New Roman" w:hAnsi="Calibri" w:cs="Times New Roman"/>
                <w:b/>
                <w:bCs/>
                <w:color w:val="000000"/>
                <w:sz w:val="20"/>
                <w:lang w:eastAsia="en-NZ"/>
              </w:rPr>
            </w:pPr>
            <w:r>
              <w:rPr>
                <w:rFonts w:ascii="Calibri" w:eastAsia="Times New Roman" w:hAnsi="Calibri" w:cs="Times New Roman"/>
                <w:b/>
                <w:bCs/>
                <w:color w:val="000000"/>
                <w:sz w:val="20"/>
                <w:lang w:eastAsia="en-NZ"/>
              </w:rPr>
              <w:t>Local Government Commission numbers</w:t>
            </w:r>
            <w:r w:rsidR="00B97262">
              <w:rPr>
                <w:rFonts w:ascii="Calibri" w:eastAsia="Times New Roman" w:hAnsi="Calibri" w:cs="Times New Roman"/>
                <w:b/>
                <w:bCs/>
                <w:color w:val="000000"/>
                <w:sz w:val="20"/>
                <w:lang w:eastAsia="en-NZ"/>
              </w:rPr>
              <w:br/>
            </w:r>
            <w:r>
              <w:rPr>
                <w:rFonts w:ascii="Calibri" w:eastAsia="Times New Roman" w:hAnsi="Calibri" w:cs="Times New Roman"/>
                <w:b/>
                <w:bCs/>
                <w:color w:val="000000"/>
                <w:sz w:val="20"/>
                <w:lang w:eastAsia="en-NZ"/>
              </w:rPr>
              <w:t>($ million)</w:t>
            </w:r>
          </w:p>
        </w:tc>
        <w:tc>
          <w:tcPr>
            <w:tcW w:w="1330" w:type="dxa"/>
            <w:gridSpan w:val="2"/>
            <w:tcBorders>
              <w:top w:val="single" w:sz="4" w:space="0" w:color="auto"/>
              <w:left w:val="nil"/>
              <w:bottom w:val="single" w:sz="4" w:space="0" w:color="auto"/>
              <w:right w:val="single" w:sz="4" w:space="0" w:color="auto"/>
            </w:tcBorders>
            <w:shd w:val="clear" w:color="auto" w:fill="auto"/>
            <w:noWrap/>
          </w:tcPr>
          <w:p w:rsidR="00EE5F66" w:rsidRPr="00E1219C" w:rsidRDefault="00EE5F66" w:rsidP="00056066">
            <w:pPr>
              <w:spacing w:after="0"/>
              <w:jc w:val="center"/>
              <w:rPr>
                <w:rFonts w:ascii="Calibri" w:eastAsia="Times New Roman" w:hAnsi="Calibri" w:cs="Times New Roman"/>
                <w:b/>
                <w:bCs/>
                <w:sz w:val="20"/>
                <w:szCs w:val="28"/>
                <w:lang w:eastAsia="en-NZ"/>
              </w:rPr>
            </w:pPr>
            <w:r w:rsidRPr="00572F1E">
              <w:rPr>
                <w:rFonts w:ascii="Calibri" w:eastAsia="Times New Roman" w:hAnsi="Calibri" w:cs="Times New Roman"/>
                <w:b/>
                <w:bCs/>
                <w:sz w:val="20"/>
                <w:szCs w:val="28"/>
                <w:lang w:eastAsia="en-NZ"/>
              </w:rPr>
              <w:t>Central H</w:t>
            </w:r>
            <w:r w:rsidR="00FD3A27">
              <w:rPr>
                <w:rFonts w:ascii="Calibri" w:eastAsia="Times New Roman" w:hAnsi="Calibri" w:cs="Times New Roman"/>
                <w:b/>
                <w:bCs/>
                <w:sz w:val="20"/>
                <w:szCs w:val="28"/>
                <w:lang w:eastAsia="en-NZ"/>
              </w:rPr>
              <w:t xml:space="preserve">awke's </w:t>
            </w:r>
            <w:r w:rsidRPr="00572F1E">
              <w:rPr>
                <w:rFonts w:ascii="Calibri" w:eastAsia="Times New Roman" w:hAnsi="Calibri" w:cs="Times New Roman"/>
                <w:b/>
                <w:bCs/>
                <w:sz w:val="20"/>
                <w:szCs w:val="28"/>
                <w:lang w:eastAsia="en-NZ"/>
              </w:rPr>
              <w:t>B</w:t>
            </w:r>
            <w:r w:rsidR="00FD3A27">
              <w:rPr>
                <w:rFonts w:ascii="Calibri" w:eastAsia="Times New Roman" w:hAnsi="Calibri" w:cs="Times New Roman"/>
                <w:b/>
                <w:bCs/>
                <w:sz w:val="20"/>
                <w:szCs w:val="28"/>
                <w:lang w:eastAsia="en-NZ"/>
              </w:rPr>
              <w:t>ay</w:t>
            </w:r>
          </w:p>
        </w:tc>
        <w:tc>
          <w:tcPr>
            <w:tcW w:w="1550" w:type="dxa"/>
            <w:gridSpan w:val="2"/>
            <w:tcBorders>
              <w:top w:val="single" w:sz="4" w:space="0" w:color="auto"/>
              <w:left w:val="nil"/>
              <w:bottom w:val="single" w:sz="4" w:space="0" w:color="auto"/>
              <w:right w:val="single" w:sz="4" w:space="0" w:color="auto"/>
            </w:tcBorders>
            <w:shd w:val="clear" w:color="auto" w:fill="auto"/>
            <w:noWrap/>
          </w:tcPr>
          <w:p w:rsidR="00EE5F66" w:rsidRPr="00E1219C" w:rsidRDefault="00EE5F66" w:rsidP="00056066">
            <w:pPr>
              <w:spacing w:after="0"/>
              <w:jc w:val="center"/>
              <w:rPr>
                <w:rFonts w:ascii="Calibri" w:eastAsia="Times New Roman" w:hAnsi="Calibri" w:cs="Times New Roman"/>
                <w:b/>
                <w:bCs/>
                <w:sz w:val="20"/>
                <w:szCs w:val="28"/>
                <w:lang w:eastAsia="en-NZ"/>
              </w:rPr>
            </w:pPr>
            <w:r w:rsidRPr="00572F1E">
              <w:rPr>
                <w:rFonts w:ascii="Calibri" w:eastAsia="Times New Roman" w:hAnsi="Calibri" w:cs="Times New Roman"/>
                <w:b/>
                <w:bCs/>
                <w:sz w:val="20"/>
                <w:szCs w:val="28"/>
                <w:lang w:eastAsia="en-NZ"/>
              </w:rPr>
              <w:t>Hastings</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E1219C" w:rsidRDefault="00EE5F66" w:rsidP="00056066">
            <w:pPr>
              <w:spacing w:after="0"/>
              <w:jc w:val="center"/>
              <w:rPr>
                <w:rFonts w:ascii="Calibri" w:eastAsia="Times New Roman" w:hAnsi="Calibri" w:cs="Times New Roman"/>
                <w:b/>
                <w:bCs/>
                <w:color w:val="FF0000"/>
                <w:sz w:val="20"/>
                <w:szCs w:val="28"/>
                <w:lang w:eastAsia="en-NZ"/>
              </w:rPr>
            </w:pPr>
            <w:r w:rsidRPr="00572F1E">
              <w:rPr>
                <w:rFonts w:ascii="Calibri" w:eastAsia="Times New Roman" w:hAnsi="Calibri" w:cs="Times New Roman"/>
                <w:b/>
                <w:bCs/>
                <w:sz w:val="20"/>
                <w:szCs w:val="28"/>
                <w:lang w:eastAsia="en-NZ"/>
              </w:rPr>
              <w:t>Napier</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E1219C" w:rsidRDefault="00EE5F66" w:rsidP="00056066">
            <w:pPr>
              <w:spacing w:after="0"/>
              <w:jc w:val="center"/>
              <w:rPr>
                <w:rFonts w:ascii="Calibri" w:eastAsia="Times New Roman" w:hAnsi="Calibri" w:cs="Times New Roman"/>
                <w:b/>
                <w:bCs/>
                <w:color w:val="FF0000"/>
                <w:sz w:val="20"/>
                <w:szCs w:val="28"/>
                <w:lang w:eastAsia="en-NZ"/>
              </w:rPr>
            </w:pPr>
            <w:r w:rsidRPr="00572F1E">
              <w:rPr>
                <w:rFonts w:ascii="Calibri" w:eastAsia="Times New Roman" w:hAnsi="Calibri" w:cs="Times New Roman"/>
                <w:b/>
                <w:bCs/>
                <w:sz w:val="20"/>
                <w:szCs w:val="28"/>
                <w:lang w:eastAsia="en-NZ"/>
              </w:rPr>
              <w:t>Wairoa</w:t>
            </w:r>
          </w:p>
        </w:tc>
        <w:tc>
          <w:tcPr>
            <w:tcW w:w="1244" w:type="dxa"/>
            <w:gridSpan w:val="2"/>
            <w:tcBorders>
              <w:top w:val="nil"/>
              <w:left w:val="nil"/>
              <w:bottom w:val="nil"/>
              <w:right w:val="nil"/>
            </w:tcBorders>
            <w:shd w:val="clear" w:color="auto" w:fill="auto"/>
            <w:noWrap/>
            <w:vAlign w:val="bottom"/>
          </w:tcPr>
          <w:p w:rsidR="00EE5F66" w:rsidRPr="00241847" w:rsidRDefault="00EE5F66" w:rsidP="00833CBE">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EE5F66" w:rsidRPr="00241847" w:rsidRDefault="00EE5F66" w:rsidP="00833CBE">
            <w:pPr>
              <w:spacing w:after="0"/>
              <w:jc w:val="center"/>
              <w:rPr>
                <w:rFonts w:ascii="Calibri" w:eastAsia="Times New Roman" w:hAnsi="Calibri" w:cs="Times New Roman"/>
                <w:b/>
                <w:bCs/>
                <w:color w:val="FF0000"/>
                <w:sz w:val="20"/>
                <w:szCs w:val="28"/>
                <w:lang w:eastAsia="en-NZ"/>
              </w:rPr>
            </w:pPr>
          </w:p>
        </w:tc>
      </w:tr>
      <w:tr w:rsidR="00EE5F66" w:rsidRPr="00241847" w:rsidTr="00056066">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rPr>
                <w:rFonts w:ascii="Calibri" w:eastAsia="Times New Roman" w:hAnsi="Calibri" w:cs="Times New Roman"/>
                <w:b/>
                <w:color w:val="000000"/>
                <w:sz w:val="20"/>
                <w:lang w:eastAsia="en-NZ"/>
              </w:rPr>
            </w:pPr>
            <w:r w:rsidRPr="00056066">
              <w:rPr>
                <w:rFonts w:ascii="Calibri" w:eastAsia="Times New Roman" w:hAnsi="Calibri" w:cs="Times New Roman"/>
                <w:b/>
                <w:color w:val="000000"/>
                <w:sz w:val="20"/>
                <w:lang w:eastAsia="en-NZ"/>
              </w:rPr>
              <w:t>For DRV/RV to be 72.16%</w:t>
            </w:r>
            <w:r>
              <w:rPr>
                <w:rFonts w:ascii="Calibri" w:eastAsia="Times New Roman" w:hAnsi="Calibri" w:cs="Times New Roman"/>
                <w:b/>
                <w:color w:val="000000"/>
                <w:sz w:val="20"/>
                <w:lang w:eastAsia="en-NZ"/>
              </w:rPr>
              <w:t xml:space="preserve"> the DRV must be</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$678</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$1,421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$621</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$240</w:t>
            </w:r>
          </w:p>
        </w:tc>
        <w:tc>
          <w:tcPr>
            <w:tcW w:w="622" w:type="dxa"/>
            <w:tcBorders>
              <w:top w:val="nil"/>
              <w:left w:val="single" w:sz="4" w:space="0" w:color="auto"/>
              <w:bottom w:val="nil"/>
              <w:right w:val="nil"/>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000000"/>
                <w:sz w:val="20"/>
                <w:lang w:eastAsia="en-NZ"/>
              </w:rPr>
            </w:pPr>
          </w:p>
        </w:tc>
        <w:tc>
          <w:tcPr>
            <w:tcW w:w="622" w:type="dxa"/>
            <w:tcBorders>
              <w:top w:val="nil"/>
              <w:left w:val="nil"/>
              <w:bottom w:val="nil"/>
              <w:right w:val="nil"/>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000000"/>
                <w:sz w:val="20"/>
                <w:lang w:eastAsia="en-NZ"/>
              </w:rPr>
            </w:pPr>
          </w:p>
        </w:tc>
        <w:tc>
          <w:tcPr>
            <w:tcW w:w="775" w:type="dxa"/>
            <w:tcBorders>
              <w:top w:val="nil"/>
              <w:left w:val="nil"/>
              <w:bottom w:val="nil"/>
              <w:right w:val="nil"/>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000000"/>
                <w:sz w:val="20"/>
                <w:lang w:eastAsia="en-NZ"/>
              </w:rPr>
            </w:pPr>
          </w:p>
        </w:tc>
        <w:tc>
          <w:tcPr>
            <w:tcW w:w="775" w:type="dxa"/>
            <w:tcBorders>
              <w:top w:val="nil"/>
              <w:left w:val="nil"/>
              <w:bottom w:val="nil"/>
              <w:right w:val="single" w:sz="8" w:space="0" w:color="auto"/>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000000"/>
                <w:sz w:val="20"/>
                <w:lang w:eastAsia="en-NZ"/>
              </w:rPr>
            </w:pPr>
          </w:p>
        </w:tc>
      </w:tr>
      <w:tr w:rsidR="00EE5F66" w:rsidRPr="00241847" w:rsidTr="00056066">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EE5F66" w:rsidRPr="00056066" w:rsidRDefault="00EE5F66" w:rsidP="00056066">
            <w:pPr>
              <w:spacing w:after="0"/>
              <w:rPr>
                <w:rFonts w:ascii="Calibri" w:eastAsia="Times New Roman" w:hAnsi="Calibri" w:cs="Times New Roman"/>
                <w:b/>
                <w:bCs/>
                <w:color w:val="000000"/>
                <w:sz w:val="20"/>
                <w:lang w:eastAsia="en-NZ"/>
              </w:rPr>
            </w:pPr>
            <w:r>
              <w:rPr>
                <w:rFonts w:ascii="Calibri" w:eastAsia="Times New Roman" w:hAnsi="Calibri" w:cs="Times New Roman"/>
                <w:b/>
                <w:bCs/>
                <w:color w:val="000000"/>
                <w:sz w:val="20"/>
                <w:lang w:eastAsia="en-NZ"/>
              </w:rPr>
              <w:t>Current DRV</w:t>
            </w:r>
          </w:p>
        </w:tc>
        <w:tc>
          <w:tcPr>
            <w:tcW w:w="1330"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Pr>
                <w:rFonts w:ascii="Calibri" w:eastAsia="Times New Roman" w:hAnsi="Calibri" w:cs="Times New Roman"/>
                <w:b/>
                <w:bCs/>
                <w:sz w:val="20"/>
                <w:szCs w:val="28"/>
                <w:lang w:eastAsia="en-NZ"/>
              </w:rPr>
              <w:t>$685</w:t>
            </w:r>
          </w:p>
        </w:tc>
        <w:tc>
          <w:tcPr>
            <w:tcW w:w="1550"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Pr>
                <w:rFonts w:ascii="Calibri" w:eastAsia="Times New Roman" w:hAnsi="Calibri" w:cs="Times New Roman"/>
                <w:b/>
                <w:bCs/>
                <w:sz w:val="20"/>
                <w:szCs w:val="28"/>
                <w:lang w:eastAsia="en-NZ"/>
              </w:rPr>
              <w:t>$1,521</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$498</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$209</w:t>
            </w:r>
          </w:p>
        </w:tc>
        <w:tc>
          <w:tcPr>
            <w:tcW w:w="1244" w:type="dxa"/>
            <w:gridSpan w:val="2"/>
            <w:tcBorders>
              <w:top w:val="nil"/>
              <w:left w:val="nil"/>
              <w:bottom w:val="nil"/>
              <w:right w:val="nil"/>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EE5F66" w:rsidRPr="00056066" w:rsidRDefault="00EE5F66" w:rsidP="00241847">
            <w:pPr>
              <w:spacing w:after="0"/>
              <w:jc w:val="center"/>
              <w:rPr>
                <w:rFonts w:ascii="Calibri" w:eastAsia="Times New Roman" w:hAnsi="Calibri" w:cs="Times New Roman"/>
                <w:b/>
                <w:bCs/>
                <w:color w:val="FF0000"/>
                <w:sz w:val="20"/>
                <w:szCs w:val="28"/>
                <w:lang w:eastAsia="en-NZ"/>
              </w:rPr>
            </w:pPr>
          </w:p>
        </w:tc>
      </w:tr>
      <w:tr w:rsidR="00241847" w:rsidRPr="00241847" w:rsidTr="00056066">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241847" w:rsidRPr="00056066" w:rsidRDefault="00241847" w:rsidP="00056066">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Adjustment to get to average</w:t>
            </w:r>
          </w:p>
        </w:tc>
        <w:tc>
          <w:tcPr>
            <w:tcW w:w="133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$7</w:t>
            </w:r>
          </w:p>
        </w:tc>
        <w:tc>
          <w:tcPr>
            <w:tcW w:w="155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$100</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-$123</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-$31</w:t>
            </w:r>
          </w:p>
        </w:tc>
        <w:tc>
          <w:tcPr>
            <w:tcW w:w="1244" w:type="dxa"/>
            <w:gridSpan w:val="2"/>
            <w:tcBorders>
              <w:top w:val="nil"/>
              <w:left w:val="nil"/>
              <w:bottom w:val="nil"/>
              <w:right w:val="nil"/>
            </w:tcBorders>
            <w:shd w:val="clear" w:color="auto" w:fill="auto"/>
            <w:noWrap/>
            <w:vAlign w:val="bottom"/>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r>
      <w:tr w:rsidR="00241847" w:rsidRPr="00241847" w:rsidTr="00056066">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241847" w:rsidRPr="00056066" w:rsidRDefault="00241847" w:rsidP="00056066">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Current net financial assets</w:t>
            </w:r>
          </w:p>
        </w:tc>
        <w:tc>
          <w:tcPr>
            <w:tcW w:w="133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-$0.3</w:t>
            </w:r>
          </w:p>
        </w:tc>
        <w:tc>
          <w:tcPr>
            <w:tcW w:w="155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-$45.2</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$78.6</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$12.5</w:t>
            </w: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 </w:t>
            </w:r>
          </w:p>
        </w:tc>
      </w:tr>
      <w:tr w:rsidR="00241847" w:rsidRPr="00241847" w:rsidTr="00056066">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241847" w:rsidRPr="00056066" w:rsidRDefault="00241847" w:rsidP="00056066">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End position ($ million)</w:t>
            </w:r>
          </w:p>
        </w:tc>
        <w:tc>
          <w:tcPr>
            <w:tcW w:w="133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$7.1</w:t>
            </w:r>
          </w:p>
        </w:tc>
        <w:tc>
          <w:tcPr>
            <w:tcW w:w="1550"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$55.0</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-$44.7</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241847" w:rsidRPr="00056066" w:rsidRDefault="00241847"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-$18.1</w:t>
            </w: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622"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nil"/>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single" w:sz="8" w:space="0" w:color="auto"/>
            </w:tcBorders>
            <w:shd w:val="clear" w:color="auto" w:fill="auto"/>
            <w:noWrap/>
            <w:vAlign w:val="bottom"/>
            <w:hideMark/>
          </w:tcPr>
          <w:p w:rsidR="00241847" w:rsidRPr="00056066" w:rsidRDefault="00241847" w:rsidP="00241847">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 </w:t>
            </w:r>
          </w:p>
        </w:tc>
      </w:tr>
      <w:tr w:rsidR="00B97262" w:rsidRPr="00241847" w:rsidTr="00DC2947">
        <w:trPr>
          <w:trHeight w:val="300"/>
        </w:trPr>
        <w:tc>
          <w:tcPr>
            <w:tcW w:w="9656" w:type="dxa"/>
            <w:gridSpan w:val="12"/>
            <w:tcBorders>
              <w:top w:val="nil"/>
              <w:left w:val="single" w:sz="8" w:space="0" w:color="auto"/>
              <w:bottom w:val="nil"/>
              <w:right w:val="nil"/>
            </w:tcBorders>
            <w:shd w:val="clear" w:color="auto" w:fill="auto"/>
            <w:noWrap/>
            <w:vAlign w:val="bottom"/>
            <w:hideMark/>
          </w:tcPr>
          <w:p w:rsidR="00B97262" w:rsidRPr="00056066" w:rsidRDefault="00B97262" w:rsidP="0005606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This is saying that Napier needs to invest a further $12</w:t>
            </w:r>
            <w:r>
              <w:rPr>
                <w:rFonts w:ascii="Calibri" w:eastAsia="Times New Roman" w:hAnsi="Calibri" w:cs="Times New Roman"/>
                <w:color w:val="000000"/>
                <w:sz w:val="20"/>
                <w:lang w:eastAsia="en-NZ"/>
              </w:rPr>
              <w:t>3</w:t>
            </w:r>
            <w:r w:rsidRPr="00056066">
              <w:rPr>
                <w:rFonts w:ascii="Calibri" w:eastAsia="Times New Roman" w:hAnsi="Calibri" w:cs="Times New Roman"/>
                <w:color w:val="000000"/>
                <w:sz w:val="20"/>
                <w:lang w:eastAsia="en-NZ"/>
              </w:rPr>
              <w:t xml:space="preserve"> million to get its ratio of DRV </w:t>
            </w:r>
            <w:r w:rsidRPr="00056066">
              <w:t>÷</w:t>
            </w:r>
            <w:r w:rsidRPr="00056066">
              <w:rPr>
                <w:rFonts w:ascii="Calibri" w:eastAsia="Times New Roman" w:hAnsi="Calibri" w:cs="Times New Roman"/>
                <w:color w:val="000000"/>
                <w:sz w:val="20"/>
                <w:lang w:eastAsia="en-NZ"/>
              </w:rPr>
              <w:t xml:space="preserve"> RV to equal the Region's average,</w:t>
            </w:r>
            <w:r>
              <w:rPr>
                <w:rFonts w:ascii="Calibri" w:eastAsia="Times New Roman" w:hAnsi="Calibri" w:cs="Times New Roman"/>
                <w:color w:val="000000"/>
                <w:sz w:val="20"/>
                <w:lang w:eastAsia="en-NZ"/>
              </w:rPr>
              <w:t xml:space="preserve"> </w:t>
            </w:r>
            <w:r w:rsidRPr="00572F1E">
              <w:rPr>
                <w:rFonts w:ascii="Calibri" w:eastAsia="Times New Roman" w:hAnsi="Calibri" w:cs="Times New Roman"/>
                <w:color w:val="000000"/>
                <w:sz w:val="20"/>
                <w:lang w:eastAsia="en-NZ"/>
              </w:rPr>
              <w:t>and that Hastings has already invested $10</w:t>
            </w:r>
            <w:r w:rsidR="00FD3A27">
              <w:rPr>
                <w:rFonts w:ascii="Calibri" w:eastAsia="Times New Roman" w:hAnsi="Calibri" w:cs="Times New Roman"/>
                <w:color w:val="000000"/>
                <w:sz w:val="20"/>
                <w:lang w:eastAsia="en-NZ"/>
              </w:rPr>
              <w:t>0</w:t>
            </w:r>
            <w:r>
              <w:rPr>
                <w:rFonts w:ascii="Calibri" w:eastAsia="Times New Roman" w:hAnsi="Calibri" w:cs="Times New Roman"/>
                <w:color w:val="000000"/>
                <w:sz w:val="20"/>
                <w:lang w:eastAsia="en-NZ"/>
              </w:rPr>
              <w:t xml:space="preserve"> </w:t>
            </w:r>
            <w:r w:rsidRPr="00572F1E">
              <w:rPr>
                <w:rFonts w:ascii="Calibri" w:eastAsia="Times New Roman" w:hAnsi="Calibri" w:cs="Times New Roman"/>
                <w:color w:val="000000"/>
                <w:sz w:val="20"/>
                <w:lang w:eastAsia="en-NZ"/>
              </w:rPr>
              <w:t>million more than average.</w:t>
            </w:r>
          </w:p>
        </w:tc>
        <w:tc>
          <w:tcPr>
            <w:tcW w:w="775" w:type="dxa"/>
            <w:tcBorders>
              <w:top w:val="nil"/>
              <w:left w:val="nil"/>
              <w:bottom w:val="nil"/>
              <w:right w:val="single" w:sz="8" w:space="0" w:color="auto"/>
            </w:tcBorders>
            <w:shd w:val="clear" w:color="auto" w:fill="auto"/>
            <w:noWrap/>
            <w:vAlign w:val="bottom"/>
            <w:hideMark/>
          </w:tcPr>
          <w:p w:rsidR="00B97262" w:rsidRPr="00056066" w:rsidRDefault="00B97262" w:rsidP="00241847">
            <w:pPr>
              <w:spacing w:after="0"/>
              <w:rPr>
                <w:rFonts w:ascii="Calibri" w:eastAsia="Times New Roman" w:hAnsi="Calibri" w:cs="Times New Roman"/>
                <w:color w:val="000000"/>
                <w:sz w:val="20"/>
                <w:lang w:eastAsia="en-NZ"/>
              </w:rPr>
            </w:pPr>
          </w:p>
        </w:tc>
      </w:tr>
      <w:tr w:rsidR="00241847" w:rsidRPr="00241847" w:rsidTr="00056066">
        <w:trPr>
          <w:trHeight w:val="315"/>
        </w:trPr>
        <w:tc>
          <w:tcPr>
            <w:tcW w:w="2269" w:type="dxa"/>
            <w:tcBorders>
              <w:top w:val="nil"/>
              <w:left w:val="single" w:sz="8" w:space="0" w:color="auto"/>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4124" w:type="dxa"/>
            <w:gridSpan w:val="6"/>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p>
        </w:tc>
        <w:tc>
          <w:tcPr>
            <w:tcW w:w="622" w:type="dxa"/>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single" w:sz="8" w:space="0" w:color="auto"/>
              <w:right w:val="nil"/>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single" w:sz="8" w:space="0" w:color="auto"/>
              <w:right w:val="single" w:sz="8" w:space="0" w:color="auto"/>
            </w:tcBorders>
            <w:shd w:val="clear" w:color="auto" w:fill="auto"/>
            <w:noWrap/>
            <w:vAlign w:val="bottom"/>
            <w:hideMark/>
          </w:tcPr>
          <w:p w:rsidR="00241847" w:rsidRPr="00056066" w:rsidRDefault="00241847" w:rsidP="00241847">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bl>
    <w:p w:rsidR="00241847" w:rsidRPr="00056066" w:rsidRDefault="008E3D47">
      <w:pPr>
        <w:rPr>
          <w:i/>
          <w:sz w:val="20"/>
        </w:rPr>
      </w:pPr>
      <w:r w:rsidRPr="00056066">
        <w:rPr>
          <w:i/>
          <w:sz w:val="20"/>
        </w:rPr>
        <w:t>Table 2: The figures the Local Government commission based its conclusions on</w:t>
      </w:r>
    </w:p>
    <w:p w:rsidR="005A070B" w:rsidRDefault="00241847">
      <w:r>
        <w:br w:type="page"/>
      </w:r>
      <w:r w:rsidR="005A070B">
        <w:lastRenderedPageBreak/>
        <w:t xml:space="preserve">For the purposes of </w:t>
      </w:r>
      <w:r w:rsidR="00B97262">
        <w:t xml:space="preserve">doing </w:t>
      </w:r>
      <w:r w:rsidR="005A070B">
        <w:t xml:space="preserve">the </w:t>
      </w:r>
      <w:r w:rsidR="00B97262">
        <w:t>comparison</w:t>
      </w:r>
      <w:r w:rsidR="005A070B">
        <w:t xml:space="preserve"> </w:t>
      </w:r>
      <w:r w:rsidR="00B97262">
        <w:t>I</w:t>
      </w:r>
      <w:r w:rsidR="005A070B">
        <w:t xml:space="preserve"> assumed that </w:t>
      </w:r>
      <w:r w:rsidR="00B97262">
        <w:t xml:space="preserve">no land has been included with the roading valuations, </w:t>
      </w:r>
      <w:r w:rsidR="005A070B">
        <w:t>but</w:t>
      </w:r>
      <w:r w:rsidR="00B97262">
        <w:t xml:space="preserve"> the</w:t>
      </w:r>
      <w:r w:rsidR="005A070B">
        <w:t xml:space="preserve"> valuations from the different councils showed the following information for formation and berms:</w:t>
      </w:r>
    </w:p>
    <w:p w:rsidR="005A070B" w:rsidRDefault="005A070B" w:rsidP="00056066">
      <w:pPr>
        <w:pStyle w:val="ListParagraph"/>
        <w:numPr>
          <w:ilvl w:val="0"/>
          <w:numId w:val="6"/>
        </w:numPr>
      </w:pPr>
      <w:r>
        <w:t>Central Hawke's Bay District Council: The valuation for roads contained in its 2012 Long Term Plan shows that the roading valuation includes $299 million of formation</w:t>
      </w:r>
    </w:p>
    <w:p w:rsidR="005A070B" w:rsidRDefault="005A070B" w:rsidP="00056066">
      <w:pPr>
        <w:pStyle w:val="ListParagraph"/>
        <w:numPr>
          <w:ilvl w:val="0"/>
          <w:numId w:val="6"/>
        </w:numPr>
      </w:pPr>
      <w:r>
        <w:t xml:space="preserve">Hastings District Council provided the valuation the LGC's report is based on, </w:t>
      </w:r>
      <w:r w:rsidR="00B97262">
        <w:t xml:space="preserve">which </w:t>
      </w:r>
      <w:r>
        <w:t>shows that the value of formation in its road network amounts to $541 million</w:t>
      </w:r>
    </w:p>
    <w:p w:rsidR="005A070B" w:rsidRDefault="005A070B" w:rsidP="005A070B">
      <w:pPr>
        <w:pStyle w:val="ListParagraph"/>
        <w:numPr>
          <w:ilvl w:val="0"/>
          <w:numId w:val="6"/>
        </w:numPr>
      </w:pPr>
      <w:r>
        <w:t xml:space="preserve">Wairoa District Council provided the valuation the LGC's report is based on, </w:t>
      </w:r>
      <w:r w:rsidR="00DE65D4">
        <w:t>which</w:t>
      </w:r>
      <w:r>
        <w:t xml:space="preserve"> shows that the value of formation in its road network amounts to $53 million</w:t>
      </w:r>
    </w:p>
    <w:p w:rsidR="005A070B" w:rsidRDefault="005A070B" w:rsidP="00056066">
      <w:pPr>
        <w:pStyle w:val="ListParagraph"/>
        <w:numPr>
          <w:ilvl w:val="0"/>
          <w:numId w:val="6"/>
        </w:numPr>
      </w:pPr>
      <w:r>
        <w:t>In Napier's road network the value of formation and berms (another non depreciable item) amounts to $28 million</w:t>
      </w:r>
      <w:r w:rsidR="00DE65D4">
        <w:t xml:space="preserve"> (which is the valuation that was forwarded to the LGC)</w:t>
      </w:r>
      <w:r>
        <w:t>.</w:t>
      </w:r>
    </w:p>
    <w:p w:rsidR="000D4391" w:rsidRDefault="00DE65D4">
      <w:r>
        <w:t>T</w:t>
      </w:r>
      <w:r w:rsidR="000D4391">
        <w:t>he Regional Council</w:t>
      </w:r>
      <w:r>
        <w:t xml:space="preserve">'s valuation </w:t>
      </w:r>
      <w:r w:rsidR="000D4391">
        <w:t>show</w:t>
      </w:r>
      <w:r>
        <w:t>s</w:t>
      </w:r>
      <w:r w:rsidR="000D4391">
        <w:t xml:space="preserve"> that the Flood Control Valuation includes $133 million of non-depreciable assets</w:t>
      </w:r>
      <w:r w:rsidR="00C94FD1">
        <w:t>.</w:t>
      </w:r>
    </w:p>
    <w:p w:rsidR="00C94FD1" w:rsidRDefault="00C94FD1">
      <w:r>
        <w:t>In addition, the MWH report used a figure of $1,079</w:t>
      </w:r>
      <w:r w:rsidR="008D55D8">
        <w:t xml:space="preserve"> million</w:t>
      </w:r>
      <w:r>
        <w:t xml:space="preserve"> for the DRV for Hastings Roads, where the Hastings valuation show</w:t>
      </w:r>
      <w:r w:rsidR="00CF1A71">
        <w:t>s</w:t>
      </w:r>
      <w:r>
        <w:t xml:space="preserve"> that the actual number is $950</w:t>
      </w:r>
      <w:r w:rsidR="008D55D8">
        <w:t xml:space="preserve"> million</w:t>
      </w:r>
      <w:r>
        <w:t xml:space="preserve"> (including formation).</w:t>
      </w:r>
    </w:p>
    <w:p w:rsidR="00C94FD1" w:rsidRDefault="00C94FD1">
      <w:r>
        <w:t xml:space="preserve">When all these errors, totalling </w:t>
      </w:r>
      <w:r w:rsidR="008D55D8">
        <w:t xml:space="preserve">some </w:t>
      </w:r>
      <w:r>
        <w:t>$1.2 billion, are removed, the figures look as follows:</w:t>
      </w:r>
    </w:p>
    <w:p w:rsidR="00F123F6" w:rsidRDefault="00F123F6"/>
    <w:p w:rsidR="00F123F6" w:rsidRDefault="00F123F6">
      <w:pPr>
        <w:spacing w:after="200" w:line="276" w:lineRule="auto"/>
      </w:pPr>
      <w:r>
        <w:br w:type="page"/>
      </w:r>
    </w:p>
    <w:tbl>
      <w:tblPr>
        <w:tblW w:w="10233" w:type="dxa"/>
        <w:tblInd w:w="-459" w:type="dxa"/>
        <w:tblLook w:val="04A0" w:firstRow="1" w:lastRow="0" w:firstColumn="1" w:lastColumn="0" w:noHBand="0" w:noVBand="1"/>
      </w:tblPr>
      <w:tblGrid>
        <w:gridCol w:w="2283"/>
        <w:gridCol w:w="622"/>
        <w:gridCol w:w="781"/>
        <w:gridCol w:w="775"/>
        <w:gridCol w:w="622"/>
        <w:gridCol w:w="622"/>
        <w:gridCol w:w="622"/>
        <w:gridCol w:w="622"/>
        <w:gridCol w:w="622"/>
        <w:gridCol w:w="539"/>
        <w:gridCol w:w="573"/>
        <w:gridCol w:w="775"/>
        <w:gridCol w:w="775"/>
      </w:tblGrid>
      <w:tr w:rsidR="00F123F6" w:rsidRPr="00F123F6" w:rsidTr="00056066">
        <w:trPr>
          <w:trHeight w:val="315"/>
        </w:trPr>
        <w:tc>
          <w:tcPr>
            <w:tcW w:w="6327" w:type="dxa"/>
            <w:gridSpan w:val="7"/>
            <w:tcBorders>
              <w:top w:val="single" w:sz="8" w:space="0" w:color="auto"/>
              <w:left w:val="single" w:sz="8" w:space="0" w:color="auto"/>
              <w:bottom w:val="nil"/>
              <w:right w:val="nil"/>
            </w:tcBorders>
            <w:shd w:val="clear" w:color="auto" w:fill="auto"/>
            <w:noWrap/>
            <w:vAlign w:val="bottom"/>
          </w:tcPr>
          <w:p w:rsidR="00F123F6" w:rsidRPr="00056066" w:rsidRDefault="00F123F6" w:rsidP="00056066">
            <w:pPr>
              <w:spacing w:after="0"/>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lastRenderedPageBreak/>
              <w:t>Comparative analysis with non</w:t>
            </w:r>
            <w:r w:rsidR="00DE65D4">
              <w:rPr>
                <w:rFonts w:ascii="Calibri" w:eastAsia="Times New Roman" w:hAnsi="Calibri" w:cs="Times New Roman"/>
                <w:b/>
                <w:bCs/>
                <w:color w:val="000000"/>
                <w:sz w:val="20"/>
                <w:szCs w:val="24"/>
                <w:lang w:eastAsia="en-NZ"/>
              </w:rPr>
              <w:t>-</w:t>
            </w:r>
            <w:r w:rsidRPr="00056066">
              <w:rPr>
                <w:rFonts w:ascii="Calibri" w:eastAsia="Times New Roman" w:hAnsi="Calibri" w:cs="Times New Roman"/>
                <w:b/>
                <w:bCs/>
                <w:color w:val="000000"/>
                <w:sz w:val="20"/>
                <w:szCs w:val="24"/>
                <w:lang w:eastAsia="en-NZ"/>
              </w:rPr>
              <w:t>depreciable assets removed</w:t>
            </w:r>
          </w:p>
        </w:tc>
        <w:tc>
          <w:tcPr>
            <w:tcW w:w="1244" w:type="dxa"/>
            <w:gridSpan w:val="2"/>
            <w:tcBorders>
              <w:top w:val="single" w:sz="8" w:space="0" w:color="auto"/>
              <w:left w:val="nil"/>
              <w:bottom w:val="nil"/>
              <w:right w:val="nil"/>
            </w:tcBorders>
            <w:shd w:val="clear" w:color="000000" w:fill="FFF2CC"/>
            <w:noWrap/>
            <w:vAlign w:val="bottom"/>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p>
        </w:tc>
        <w:tc>
          <w:tcPr>
            <w:tcW w:w="1112" w:type="dxa"/>
            <w:gridSpan w:val="2"/>
            <w:tcBorders>
              <w:top w:val="single" w:sz="8" w:space="0" w:color="auto"/>
              <w:left w:val="nil"/>
              <w:bottom w:val="nil"/>
              <w:right w:val="nil"/>
            </w:tcBorders>
            <w:shd w:val="clear" w:color="000000" w:fill="D9E1F2"/>
            <w:noWrap/>
            <w:vAlign w:val="bottom"/>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p>
        </w:tc>
        <w:tc>
          <w:tcPr>
            <w:tcW w:w="1550" w:type="dxa"/>
            <w:gridSpan w:val="2"/>
            <w:tcBorders>
              <w:top w:val="single" w:sz="8" w:space="0" w:color="auto"/>
              <w:left w:val="nil"/>
              <w:bottom w:val="nil"/>
              <w:right w:val="single" w:sz="8" w:space="0" w:color="000000"/>
            </w:tcBorders>
            <w:shd w:val="clear" w:color="000000" w:fill="E2EFDA"/>
            <w:noWrap/>
            <w:vAlign w:val="bottom"/>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p>
        </w:tc>
      </w:tr>
      <w:tr w:rsidR="00F123F6" w:rsidRPr="00F123F6" w:rsidTr="00056066">
        <w:trPr>
          <w:trHeight w:val="315"/>
        </w:trPr>
        <w:tc>
          <w:tcPr>
            <w:tcW w:w="2283" w:type="dxa"/>
            <w:tcBorders>
              <w:top w:val="single" w:sz="8" w:space="0" w:color="auto"/>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i/>
                <w:color w:val="000000"/>
                <w:sz w:val="20"/>
                <w:lang w:eastAsia="en-NZ"/>
              </w:rPr>
            </w:pPr>
            <w:r w:rsidRPr="00056066">
              <w:rPr>
                <w:rFonts w:ascii="Calibri" w:eastAsia="Times New Roman" w:hAnsi="Calibri" w:cs="Times New Roman"/>
                <w:color w:val="000000"/>
                <w:sz w:val="20"/>
                <w:lang w:eastAsia="en-NZ"/>
              </w:rPr>
              <w:t> </w:t>
            </w:r>
            <w:r w:rsidR="00EE5F66">
              <w:rPr>
                <w:rFonts w:ascii="Calibri" w:eastAsia="Times New Roman" w:hAnsi="Calibri" w:cs="Times New Roman"/>
                <w:i/>
                <w:color w:val="000000"/>
                <w:sz w:val="20"/>
                <w:lang w:eastAsia="en-NZ"/>
              </w:rPr>
              <w:t>($million)</w:t>
            </w:r>
          </w:p>
        </w:tc>
        <w:tc>
          <w:tcPr>
            <w:tcW w:w="1403" w:type="dxa"/>
            <w:gridSpan w:val="2"/>
            <w:tcBorders>
              <w:top w:val="single" w:sz="8" w:space="0" w:color="auto"/>
              <w:left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Central Hawke's Bay</w:t>
            </w:r>
          </w:p>
        </w:tc>
        <w:tc>
          <w:tcPr>
            <w:tcW w:w="1397" w:type="dxa"/>
            <w:gridSpan w:val="2"/>
            <w:tcBorders>
              <w:top w:val="single" w:sz="8" w:space="0" w:color="auto"/>
              <w:left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Hastings</w:t>
            </w:r>
          </w:p>
        </w:tc>
        <w:tc>
          <w:tcPr>
            <w:tcW w:w="1244" w:type="dxa"/>
            <w:gridSpan w:val="2"/>
            <w:tcBorders>
              <w:top w:val="single" w:sz="8" w:space="0" w:color="auto"/>
              <w:left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Napier</w:t>
            </w:r>
          </w:p>
        </w:tc>
        <w:tc>
          <w:tcPr>
            <w:tcW w:w="1244" w:type="dxa"/>
            <w:gridSpan w:val="2"/>
            <w:tcBorders>
              <w:top w:val="single" w:sz="8" w:space="0" w:color="auto"/>
              <w:left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Wairoa</w:t>
            </w:r>
          </w:p>
        </w:tc>
        <w:tc>
          <w:tcPr>
            <w:tcW w:w="1112" w:type="dxa"/>
            <w:gridSpan w:val="2"/>
            <w:tcBorders>
              <w:top w:val="single" w:sz="8" w:space="0" w:color="auto"/>
              <w:left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HBRC</w:t>
            </w:r>
          </w:p>
        </w:tc>
        <w:tc>
          <w:tcPr>
            <w:tcW w:w="1550" w:type="dxa"/>
            <w:gridSpan w:val="2"/>
            <w:tcBorders>
              <w:top w:val="single" w:sz="8" w:space="0" w:color="auto"/>
              <w:left w:val="nil"/>
              <w:right w:val="single" w:sz="8" w:space="0" w:color="000000"/>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4"/>
                <w:lang w:eastAsia="en-NZ"/>
              </w:rPr>
            </w:pPr>
            <w:r w:rsidRPr="00056066">
              <w:rPr>
                <w:rFonts w:ascii="Calibri" w:eastAsia="Times New Roman" w:hAnsi="Calibri" w:cs="Times New Roman"/>
                <w:b/>
                <w:bCs/>
                <w:color w:val="000000"/>
                <w:sz w:val="20"/>
                <w:szCs w:val="24"/>
                <w:lang w:eastAsia="en-NZ"/>
              </w:rPr>
              <w:t>Total</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single" w:sz="4" w:space="0" w:color="auto"/>
              <w:right w:val="single" w:sz="4" w:space="0" w:color="auto"/>
            </w:tcBorders>
            <w:shd w:val="clear" w:color="000000" w:fill="D6DCE4"/>
            <w:noWrap/>
            <w:vAlign w:val="bottom"/>
            <w:hideMark/>
          </w:tcPr>
          <w:p w:rsidR="00F123F6" w:rsidRPr="00E1219C" w:rsidRDefault="00F123F6" w:rsidP="00F123F6">
            <w:pPr>
              <w:spacing w:after="0"/>
              <w:jc w:val="center"/>
              <w:rPr>
                <w:rFonts w:ascii="Calibri" w:eastAsia="Times New Roman" w:hAnsi="Calibri" w:cs="Times New Roman"/>
                <w:b/>
                <w:bCs/>
                <w:i/>
                <w:iCs/>
                <w:color w:val="000000"/>
                <w:sz w:val="20"/>
                <w:szCs w:val="20"/>
                <w:lang w:eastAsia="en-NZ"/>
              </w:rPr>
            </w:pPr>
            <w:r w:rsidRPr="00E1219C">
              <w:rPr>
                <w:rFonts w:ascii="Calibri" w:eastAsia="Times New Roman" w:hAnsi="Calibri" w:cs="Times New Roman"/>
                <w:b/>
                <w:bCs/>
                <w:i/>
                <w:iCs/>
                <w:color w:val="000000"/>
                <w:sz w:val="20"/>
                <w:szCs w:val="20"/>
                <w:lang w:eastAsia="en-NZ"/>
              </w:rPr>
              <w:t>RV</w:t>
            </w:r>
          </w:p>
        </w:tc>
        <w:tc>
          <w:tcPr>
            <w:tcW w:w="781" w:type="dxa"/>
            <w:tcBorders>
              <w:top w:val="nil"/>
              <w:left w:val="single" w:sz="4" w:space="0" w:color="auto"/>
              <w:bottom w:val="single" w:sz="4" w:space="0" w:color="auto"/>
              <w:right w:val="single" w:sz="4" w:space="0" w:color="auto"/>
            </w:tcBorders>
            <w:shd w:val="clear" w:color="000000" w:fill="D6DCE4"/>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DDEBF7"/>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RV</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c>
          <w:tcPr>
            <w:tcW w:w="539" w:type="dxa"/>
            <w:tcBorders>
              <w:top w:val="nil"/>
              <w:left w:val="single" w:sz="4" w:space="0" w:color="auto"/>
              <w:bottom w:val="single" w:sz="4" w:space="0" w:color="auto"/>
              <w:right w:val="single" w:sz="4" w:space="0" w:color="auto"/>
            </w:tcBorders>
            <w:shd w:val="clear" w:color="000000" w:fill="D9E1F2"/>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RV</w:t>
            </w:r>
          </w:p>
        </w:tc>
        <w:tc>
          <w:tcPr>
            <w:tcW w:w="573" w:type="dxa"/>
            <w:tcBorders>
              <w:top w:val="nil"/>
              <w:left w:val="single" w:sz="4" w:space="0" w:color="auto"/>
              <w:bottom w:val="single" w:sz="4" w:space="0" w:color="auto"/>
              <w:right w:val="single" w:sz="4" w:space="0" w:color="auto"/>
            </w:tcBorders>
            <w:shd w:val="clear" w:color="000000" w:fill="D9E1F2"/>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c>
          <w:tcPr>
            <w:tcW w:w="775" w:type="dxa"/>
            <w:tcBorders>
              <w:top w:val="nil"/>
              <w:left w:val="single" w:sz="4" w:space="0" w:color="auto"/>
              <w:bottom w:val="single" w:sz="4" w:space="0" w:color="auto"/>
              <w:right w:val="single" w:sz="4" w:space="0" w:color="auto"/>
            </w:tcBorders>
            <w:shd w:val="clear" w:color="000000" w:fill="E2EFDA"/>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RV</w:t>
            </w:r>
          </w:p>
        </w:tc>
        <w:tc>
          <w:tcPr>
            <w:tcW w:w="775" w:type="dxa"/>
            <w:tcBorders>
              <w:top w:val="nil"/>
              <w:left w:val="single" w:sz="4" w:space="0" w:color="auto"/>
              <w:bottom w:val="single" w:sz="4" w:space="0" w:color="auto"/>
              <w:right w:val="single" w:sz="8" w:space="0" w:color="auto"/>
            </w:tcBorders>
            <w:shd w:val="clear" w:color="000000" w:fill="E2EFDA"/>
            <w:noWrap/>
            <w:vAlign w:val="bottom"/>
            <w:hideMark/>
          </w:tcPr>
          <w:p w:rsidR="00F123F6" w:rsidRPr="00F123F6" w:rsidRDefault="00F123F6" w:rsidP="00F123F6">
            <w:pPr>
              <w:spacing w:after="0"/>
              <w:jc w:val="center"/>
              <w:rPr>
                <w:rFonts w:ascii="Calibri" w:eastAsia="Times New Roman" w:hAnsi="Calibri" w:cs="Times New Roman"/>
                <w:b/>
                <w:bCs/>
                <w:i/>
                <w:iCs/>
                <w:color w:val="000000"/>
                <w:sz w:val="20"/>
                <w:szCs w:val="20"/>
                <w:lang w:eastAsia="en-NZ"/>
              </w:rPr>
            </w:pPr>
            <w:r w:rsidRPr="00F123F6">
              <w:rPr>
                <w:rFonts w:ascii="Calibri" w:eastAsia="Times New Roman" w:hAnsi="Calibri" w:cs="Times New Roman"/>
                <w:b/>
                <w:bCs/>
                <w:i/>
                <w:iCs/>
                <w:color w:val="000000"/>
                <w:sz w:val="20"/>
                <w:szCs w:val="20"/>
                <w:lang w:eastAsia="en-NZ"/>
              </w:rPr>
              <w:t>DRV</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 Formation &amp; Berm</w:t>
            </w:r>
          </w:p>
        </w:tc>
        <w:tc>
          <w:tcPr>
            <w:tcW w:w="622" w:type="dxa"/>
            <w:tcBorders>
              <w:top w:val="single" w:sz="4" w:space="0" w:color="auto"/>
              <w:left w:val="nil"/>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78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6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53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5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N/A</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 depreciable assets</w:t>
            </w:r>
          </w:p>
        </w:tc>
        <w:tc>
          <w:tcPr>
            <w:tcW w:w="622" w:type="dxa"/>
            <w:tcBorders>
              <w:top w:val="single" w:sz="4" w:space="0" w:color="auto"/>
              <w:left w:val="nil"/>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$480</w:t>
            </w:r>
          </w:p>
        </w:tc>
        <w:tc>
          <w:tcPr>
            <w:tcW w:w="78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$297</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$661</w:t>
            </w:r>
          </w:p>
        </w:tc>
        <w:tc>
          <w:tcPr>
            <w:tcW w:w="6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$410</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$299</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$158</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$213</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$124</w:t>
            </w:r>
          </w:p>
        </w:tc>
        <w:tc>
          <w:tcPr>
            <w:tcW w:w="53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5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$1,654</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$989</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i/>
                <w:iCs/>
                <w:color w:val="000000"/>
                <w:sz w:val="20"/>
                <w:lang w:eastAsia="en-NZ"/>
              </w:rPr>
            </w:pPr>
            <w:proofErr w:type="spellStart"/>
            <w:r w:rsidRPr="00056066">
              <w:rPr>
                <w:rFonts w:ascii="Calibri" w:eastAsia="Times New Roman" w:hAnsi="Calibri" w:cs="Times New Roman"/>
                <w:i/>
                <w:iCs/>
                <w:color w:val="000000"/>
                <w:sz w:val="20"/>
                <w:lang w:eastAsia="en-NZ"/>
              </w:rPr>
              <w:t>Sub total</w:t>
            </w:r>
            <w:proofErr w:type="spellEnd"/>
            <w:r w:rsidRPr="00056066">
              <w:rPr>
                <w:rFonts w:ascii="Calibri" w:eastAsia="Times New Roman" w:hAnsi="Calibri" w:cs="Times New Roman"/>
                <w:i/>
                <w:iCs/>
                <w:color w:val="000000"/>
                <w:sz w:val="20"/>
                <w:lang w:eastAsia="en-NZ"/>
              </w:rPr>
              <w:t xml:space="preserve"> </w:t>
            </w:r>
            <w:r>
              <w:rPr>
                <w:rFonts w:ascii="Calibri" w:eastAsia="Times New Roman" w:hAnsi="Calibri" w:cs="Times New Roman"/>
                <w:i/>
                <w:iCs/>
                <w:color w:val="000000"/>
                <w:sz w:val="20"/>
                <w:lang w:eastAsia="en-NZ"/>
              </w:rPr>
              <w:t>–</w:t>
            </w:r>
            <w:r w:rsidRPr="00056066">
              <w:rPr>
                <w:rFonts w:ascii="Calibri" w:eastAsia="Times New Roman" w:hAnsi="Calibri" w:cs="Times New Roman"/>
                <w:i/>
                <w:iCs/>
                <w:color w:val="000000"/>
                <w:sz w:val="20"/>
                <w:lang w:eastAsia="en-NZ"/>
              </w:rPr>
              <w:t xml:space="preserve"> Roads</w:t>
            </w:r>
          </w:p>
        </w:tc>
        <w:tc>
          <w:tcPr>
            <w:tcW w:w="622" w:type="dxa"/>
            <w:tcBorders>
              <w:top w:val="single" w:sz="4" w:space="0" w:color="auto"/>
              <w:left w:val="nil"/>
              <w:bottom w:val="nil"/>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$480</w:t>
            </w:r>
          </w:p>
        </w:tc>
        <w:tc>
          <w:tcPr>
            <w:tcW w:w="781" w:type="dxa"/>
            <w:tcBorders>
              <w:top w:val="single" w:sz="4" w:space="0" w:color="auto"/>
              <w:left w:val="single" w:sz="4" w:space="0" w:color="auto"/>
              <w:bottom w:val="nil"/>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$297</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$661</w:t>
            </w:r>
          </w:p>
        </w:tc>
        <w:tc>
          <w:tcPr>
            <w:tcW w:w="622" w:type="dxa"/>
            <w:tcBorders>
              <w:top w:val="single" w:sz="4" w:space="0" w:color="auto"/>
              <w:left w:val="single" w:sz="4" w:space="0" w:color="auto"/>
              <w:bottom w:val="nil"/>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$410</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$299</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$158</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$213</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$124</w:t>
            </w:r>
          </w:p>
        </w:tc>
        <w:tc>
          <w:tcPr>
            <w:tcW w:w="539" w:type="dxa"/>
            <w:tcBorders>
              <w:top w:val="single" w:sz="4" w:space="0" w:color="auto"/>
              <w:left w:val="single" w:sz="4" w:space="0" w:color="auto"/>
              <w:bottom w:val="nil"/>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$0</w:t>
            </w:r>
          </w:p>
        </w:tc>
        <w:tc>
          <w:tcPr>
            <w:tcW w:w="573" w:type="dxa"/>
            <w:tcBorders>
              <w:top w:val="single" w:sz="4" w:space="0" w:color="auto"/>
              <w:left w:val="single" w:sz="4" w:space="0" w:color="auto"/>
              <w:bottom w:val="nil"/>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$0</w:t>
            </w:r>
          </w:p>
        </w:tc>
        <w:tc>
          <w:tcPr>
            <w:tcW w:w="775" w:type="dxa"/>
            <w:tcBorders>
              <w:top w:val="single" w:sz="4" w:space="0" w:color="auto"/>
              <w:left w:val="single" w:sz="4" w:space="0" w:color="auto"/>
              <w:bottom w:val="nil"/>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$1,654</w:t>
            </w:r>
          </w:p>
        </w:tc>
        <w:tc>
          <w:tcPr>
            <w:tcW w:w="775" w:type="dxa"/>
            <w:tcBorders>
              <w:top w:val="single" w:sz="4" w:space="0" w:color="auto"/>
              <w:left w:val="single" w:sz="4" w:space="0" w:color="auto"/>
              <w:bottom w:val="nil"/>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$989</w:t>
            </w:r>
          </w:p>
        </w:tc>
      </w:tr>
      <w:tr w:rsidR="00F123F6" w:rsidRPr="00F123F6" w:rsidTr="00056066">
        <w:trPr>
          <w:trHeight w:val="375"/>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572F1E">
              <w:rPr>
                <w:b/>
              </w:rPr>
              <w:t>÷</w:t>
            </w:r>
            <w:r w:rsidRPr="00056066">
              <w:rPr>
                <w:rFonts w:ascii="Calibri" w:eastAsia="Times New Roman" w:hAnsi="Calibri" w:cs="Times New Roman"/>
                <w:b/>
                <w:bCs/>
                <w:color w:val="000000"/>
                <w:sz w:val="20"/>
                <w:szCs w:val="28"/>
                <w:lang w:eastAsia="en-NZ"/>
              </w:rPr>
              <w:t xml:space="preserve"> RV for Roads</w:t>
            </w:r>
          </w:p>
        </w:tc>
        <w:tc>
          <w:tcPr>
            <w:tcW w:w="1403" w:type="dxa"/>
            <w:gridSpan w:val="2"/>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62%</w:t>
            </w:r>
          </w:p>
        </w:tc>
        <w:tc>
          <w:tcPr>
            <w:tcW w:w="1397" w:type="dxa"/>
            <w:gridSpan w:val="2"/>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62%</w:t>
            </w:r>
          </w:p>
        </w:tc>
        <w:tc>
          <w:tcPr>
            <w:tcW w:w="1244" w:type="dxa"/>
            <w:gridSpan w:val="2"/>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53%</w:t>
            </w:r>
          </w:p>
        </w:tc>
        <w:tc>
          <w:tcPr>
            <w:tcW w:w="1244" w:type="dxa"/>
            <w:gridSpan w:val="2"/>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w:t>
            </w:r>
          </w:p>
        </w:tc>
        <w:tc>
          <w:tcPr>
            <w:tcW w:w="1112" w:type="dxa"/>
            <w:gridSpan w:val="2"/>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N/A</w:t>
            </w:r>
          </w:p>
        </w:tc>
        <w:tc>
          <w:tcPr>
            <w:tcW w:w="1550" w:type="dxa"/>
            <w:gridSpan w:val="2"/>
            <w:tcBorders>
              <w:top w:val="nil"/>
              <w:left w:val="nil"/>
              <w:bottom w:val="nil"/>
              <w:right w:val="single" w:sz="8" w:space="0" w:color="000000"/>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60%</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81" w:type="dxa"/>
            <w:tcBorders>
              <w:top w:val="nil"/>
              <w:left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539" w:type="dxa"/>
            <w:tcBorders>
              <w:top w:val="nil"/>
              <w:left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573" w:type="dxa"/>
            <w:tcBorders>
              <w:top w:val="nil"/>
              <w:left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nil"/>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Water Supply</w:t>
            </w:r>
          </w:p>
        </w:tc>
        <w:tc>
          <w:tcPr>
            <w:tcW w:w="622" w:type="dxa"/>
            <w:tcBorders>
              <w:top w:val="nil"/>
              <w:left w:val="nil"/>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$57</w:t>
            </w:r>
          </w:p>
        </w:tc>
        <w:tc>
          <w:tcPr>
            <w:tcW w:w="781" w:type="dxa"/>
            <w:tcBorders>
              <w:top w:val="nil"/>
              <w:left w:val="single" w:sz="4" w:space="0" w:color="auto"/>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w:t>
            </w:r>
          </w:p>
        </w:tc>
        <w:tc>
          <w:tcPr>
            <w:tcW w:w="775" w:type="dxa"/>
            <w:tcBorders>
              <w:top w:val="nil"/>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$145</w:t>
            </w:r>
          </w:p>
        </w:tc>
        <w:tc>
          <w:tcPr>
            <w:tcW w:w="622" w:type="dxa"/>
            <w:tcBorders>
              <w:top w:val="nil"/>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$89</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$129</w:t>
            </w:r>
          </w:p>
        </w:tc>
        <w:tc>
          <w:tcPr>
            <w:tcW w:w="622" w:type="dxa"/>
            <w:tcBorders>
              <w:top w:val="nil"/>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$81</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$33</w:t>
            </w:r>
          </w:p>
        </w:tc>
        <w:tc>
          <w:tcPr>
            <w:tcW w:w="622" w:type="dxa"/>
            <w:tcBorders>
              <w:top w:val="nil"/>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$20</w:t>
            </w:r>
          </w:p>
        </w:tc>
        <w:tc>
          <w:tcPr>
            <w:tcW w:w="539" w:type="dxa"/>
            <w:tcBorders>
              <w:top w:val="nil"/>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573" w:type="dxa"/>
            <w:tcBorders>
              <w:top w:val="nil"/>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775" w:type="dxa"/>
            <w:tcBorders>
              <w:top w:val="nil"/>
              <w:left w:val="single" w:sz="4" w:space="0" w:color="auto"/>
              <w:bottom w:val="single" w:sz="4" w:space="0" w:color="auto"/>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$364</w:t>
            </w:r>
          </w:p>
        </w:tc>
        <w:tc>
          <w:tcPr>
            <w:tcW w:w="775" w:type="dxa"/>
            <w:tcBorders>
              <w:top w:val="nil"/>
              <w:left w:val="single" w:sz="4" w:space="0" w:color="auto"/>
              <w:bottom w:val="single" w:sz="4" w:space="0" w:color="auto"/>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$219</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Wastewater</w:t>
            </w:r>
          </w:p>
        </w:tc>
        <w:tc>
          <w:tcPr>
            <w:tcW w:w="622" w:type="dxa"/>
            <w:tcBorders>
              <w:top w:val="single" w:sz="4" w:space="0" w:color="auto"/>
              <w:left w:val="nil"/>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$80</w:t>
            </w:r>
          </w:p>
        </w:tc>
        <w:tc>
          <w:tcPr>
            <w:tcW w:w="78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$45</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$358</w:t>
            </w:r>
          </w:p>
        </w:tc>
        <w:tc>
          <w:tcPr>
            <w:tcW w:w="6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$192</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$242</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$127</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w:t>
            </w:r>
          </w:p>
        </w:tc>
        <w:tc>
          <w:tcPr>
            <w:tcW w:w="53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5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$695</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$369</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Stormwater</w:t>
            </w:r>
          </w:p>
        </w:tc>
        <w:tc>
          <w:tcPr>
            <w:tcW w:w="622" w:type="dxa"/>
            <w:tcBorders>
              <w:top w:val="single" w:sz="4" w:space="0" w:color="auto"/>
              <w:left w:val="nil"/>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$24</w:t>
            </w:r>
          </w:p>
        </w:tc>
        <w:tc>
          <w:tcPr>
            <w:tcW w:w="781"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$15</w:t>
            </w:r>
          </w:p>
        </w:tc>
        <w:tc>
          <w:tcPr>
            <w:tcW w:w="77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$262</w:t>
            </w:r>
          </w:p>
        </w:tc>
        <w:tc>
          <w:tcPr>
            <w:tcW w:w="6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$161</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$164</w:t>
            </w:r>
          </w:p>
        </w:tc>
        <w:tc>
          <w:tcPr>
            <w:tcW w:w="622"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$104</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$18</w:t>
            </w:r>
          </w:p>
        </w:tc>
        <w:tc>
          <w:tcPr>
            <w:tcW w:w="622"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w:t>
            </w:r>
          </w:p>
        </w:tc>
        <w:tc>
          <w:tcPr>
            <w:tcW w:w="53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w:t>
            </w:r>
          </w:p>
        </w:tc>
        <w:tc>
          <w:tcPr>
            <w:tcW w:w="57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$13</w:t>
            </w:r>
          </w:p>
        </w:tc>
        <w:tc>
          <w:tcPr>
            <w:tcW w:w="77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$497</w:t>
            </w:r>
          </w:p>
        </w:tc>
        <w:tc>
          <w:tcPr>
            <w:tcW w:w="775" w:type="dxa"/>
            <w:tcBorders>
              <w:top w:val="single" w:sz="4" w:space="0" w:color="auto"/>
              <w:left w:val="single" w:sz="4" w:space="0" w:color="auto"/>
              <w:bottom w:val="single" w:sz="4" w:space="0" w:color="auto"/>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$299</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i/>
                <w:iCs/>
                <w:color w:val="000000"/>
                <w:sz w:val="20"/>
                <w:lang w:eastAsia="en-NZ"/>
              </w:rPr>
            </w:pPr>
            <w:proofErr w:type="spellStart"/>
            <w:r w:rsidRPr="00056066">
              <w:rPr>
                <w:rFonts w:ascii="Calibri" w:eastAsia="Times New Roman" w:hAnsi="Calibri" w:cs="Times New Roman"/>
                <w:i/>
                <w:iCs/>
                <w:color w:val="000000"/>
                <w:sz w:val="20"/>
                <w:lang w:eastAsia="en-NZ"/>
              </w:rPr>
              <w:t>Sub total</w:t>
            </w:r>
            <w:proofErr w:type="spellEnd"/>
            <w:r w:rsidRPr="00056066">
              <w:rPr>
                <w:rFonts w:ascii="Calibri" w:eastAsia="Times New Roman" w:hAnsi="Calibri" w:cs="Times New Roman"/>
                <w:i/>
                <w:iCs/>
                <w:color w:val="000000"/>
                <w:sz w:val="20"/>
                <w:lang w:eastAsia="en-NZ"/>
              </w:rPr>
              <w:t xml:space="preserve"> - 3 Waters</w:t>
            </w:r>
          </w:p>
        </w:tc>
        <w:tc>
          <w:tcPr>
            <w:tcW w:w="622" w:type="dxa"/>
            <w:tcBorders>
              <w:top w:val="single" w:sz="4" w:space="0" w:color="auto"/>
              <w:left w:val="nil"/>
              <w:bottom w:val="nil"/>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$161</w:t>
            </w:r>
          </w:p>
        </w:tc>
        <w:tc>
          <w:tcPr>
            <w:tcW w:w="781" w:type="dxa"/>
            <w:tcBorders>
              <w:top w:val="single" w:sz="4" w:space="0" w:color="auto"/>
              <w:left w:val="single" w:sz="4" w:space="0" w:color="auto"/>
              <w:bottom w:val="nil"/>
              <w:right w:val="single" w:sz="4" w:space="0" w:color="auto"/>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$89</w:t>
            </w:r>
          </w:p>
        </w:tc>
        <w:tc>
          <w:tcPr>
            <w:tcW w:w="775" w:type="dxa"/>
            <w:tcBorders>
              <w:top w:val="single" w:sz="4" w:space="0" w:color="auto"/>
              <w:left w:val="single" w:sz="4" w:space="0" w:color="auto"/>
              <w:bottom w:val="nil"/>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$765</w:t>
            </w:r>
          </w:p>
        </w:tc>
        <w:tc>
          <w:tcPr>
            <w:tcW w:w="622" w:type="dxa"/>
            <w:tcBorders>
              <w:top w:val="single" w:sz="4" w:space="0" w:color="auto"/>
              <w:left w:val="single" w:sz="4" w:space="0" w:color="auto"/>
              <w:bottom w:val="nil"/>
              <w:right w:val="single" w:sz="4" w:space="0" w:color="auto"/>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$442</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$535</w:t>
            </w:r>
          </w:p>
        </w:tc>
        <w:tc>
          <w:tcPr>
            <w:tcW w:w="622" w:type="dxa"/>
            <w:tcBorders>
              <w:top w:val="single" w:sz="4" w:space="0" w:color="auto"/>
              <w:left w:val="single" w:sz="4" w:space="0" w:color="auto"/>
              <w:bottom w:val="nil"/>
              <w:right w:val="single" w:sz="4" w:space="0" w:color="auto"/>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$312</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$66</w:t>
            </w:r>
          </w:p>
        </w:tc>
        <w:tc>
          <w:tcPr>
            <w:tcW w:w="622" w:type="dxa"/>
            <w:tcBorders>
              <w:top w:val="single" w:sz="4" w:space="0" w:color="auto"/>
              <w:left w:val="single" w:sz="4" w:space="0" w:color="auto"/>
              <w:bottom w:val="nil"/>
              <w:right w:val="single" w:sz="4" w:space="0" w:color="auto"/>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$31</w:t>
            </w:r>
          </w:p>
        </w:tc>
        <w:tc>
          <w:tcPr>
            <w:tcW w:w="539" w:type="dxa"/>
            <w:tcBorders>
              <w:top w:val="single" w:sz="4" w:space="0" w:color="auto"/>
              <w:left w:val="single" w:sz="4" w:space="0" w:color="auto"/>
              <w:bottom w:val="nil"/>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$29</w:t>
            </w:r>
          </w:p>
        </w:tc>
        <w:tc>
          <w:tcPr>
            <w:tcW w:w="573" w:type="dxa"/>
            <w:tcBorders>
              <w:top w:val="single" w:sz="4" w:space="0" w:color="auto"/>
              <w:left w:val="single" w:sz="4" w:space="0" w:color="auto"/>
              <w:bottom w:val="nil"/>
              <w:right w:val="single" w:sz="4" w:space="0" w:color="auto"/>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$13</w:t>
            </w:r>
          </w:p>
        </w:tc>
        <w:tc>
          <w:tcPr>
            <w:tcW w:w="775" w:type="dxa"/>
            <w:tcBorders>
              <w:top w:val="single" w:sz="4" w:space="0" w:color="auto"/>
              <w:left w:val="single" w:sz="4" w:space="0" w:color="auto"/>
              <w:bottom w:val="nil"/>
              <w:right w:val="single" w:sz="4"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$1,555</w:t>
            </w:r>
          </w:p>
        </w:tc>
        <w:tc>
          <w:tcPr>
            <w:tcW w:w="775" w:type="dxa"/>
            <w:tcBorders>
              <w:top w:val="single" w:sz="4" w:space="0" w:color="auto"/>
              <w:left w:val="single" w:sz="4" w:space="0" w:color="auto"/>
              <w:bottom w:val="nil"/>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i/>
                <w:iCs/>
                <w:color w:val="000000"/>
                <w:sz w:val="20"/>
                <w:lang w:eastAsia="en-NZ"/>
              </w:rPr>
            </w:pPr>
            <w:r w:rsidRPr="00056066">
              <w:rPr>
                <w:rFonts w:ascii="Calibri" w:eastAsia="Times New Roman" w:hAnsi="Calibri" w:cs="Times New Roman"/>
                <w:i/>
                <w:iCs/>
                <w:color w:val="000000"/>
                <w:sz w:val="20"/>
                <w:lang w:eastAsia="en-NZ"/>
              </w:rPr>
              <w:t>$887</w:t>
            </w:r>
          </w:p>
        </w:tc>
      </w:tr>
      <w:tr w:rsidR="00F123F6" w:rsidRPr="00F123F6" w:rsidTr="00056066">
        <w:trPr>
          <w:trHeight w:val="375"/>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572F1E">
              <w:rPr>
                <w:b/>
              </w:rPr>
              <w:t>÷</w:t>
            </w:r>
            <w:r w:rsidRPr="00056066">
              <w:rPr>
                <w:rFonts w:ascii="Calibri" w:eastAsia="Times New Roman" w:hAnsi="Calibri" w:cs="Times New Roman"/>
                <w:b/>
                <w:bCs/>
                <w:color w:val="000000"/>
                <w:sz w:val="20"/>
                <w:szCs w:val="28"/>
                <w:lang w:eastAsia="en-NZ"/>
              </w:rPr>
              <w:t xml:space="preserve"> RV for 3 Waters</w:t>
            </w:r>
          </w:p>
        </w:tc>
        <w:tc>
          <w:tcPr>
            <w:tcW w:w="1403" w:type="dxa"/>
            <w:gridSpan w:val="2"/>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55%</w:t>
            </w:r>
          </w:p>
        </w:tc>
        <w:tc>
          <w:tcPr>
            <w:tcW w:w="1397" w:type="dxa"/>
            <w:gridSpan w:val="2"/>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w:t>
            </w:r>
          </w:p>
        </w:tc>
        <w:tc>
          <w:tcPr>
            <w:tcW w:w="1244" w:type="dxa"/>
            <w:gridSpan w:val="2"/>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w:t>
            </w:r>
          </w:p>
        </w:tc>
        <w:tc>
          <w:tcPr>
            <w:tcW w:w="1244" w:type="dxa"/>
            <w:gridSpan w:val="2"/>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47%</w:t>
            </w:r>
          </w:p>
        </w:tc>
        <w:tc>
          <w:tcPr>
            <w:tcW w:w="1112" w:type="dxa"/>
            <w:gridSpan w:val="2"/>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47%</w:t>
            </w:r>
          </w:p>
        </w:tc>
        <w:tc>
          <w:tcPr>
            <w:tcW w:w="1550" w:type="dxa"/>
            <w:gridSpan w:val="2"/>
            <w:tcBorders>
              <w:top w:val="nil"/>
              <w:left w:val="nil"/>
              <w:bottom w:val="nil"/>
              <w:right w:val="single" w:sz="8" w:space="0" w:color="000000"/>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57%</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81" w:type="dxa"/>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539" w:type="dxa"/>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573" w:type="dxa"/>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nil"/>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775" w:type="dxa"/>
            <w:tcBorders>
              <w:top w:val="nil"/>
              <w:left w:val="nil"/>
              <w:bottom w:val="nil"/>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Total</w:t>
            </w:r>
          </w:p>
        </w:tc>
        <w:tc>
          <w:tcPr>
            <w:tcW w:w="622" w:type="dxa"/>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$641</w:t>
            </w:r>
          </w:p>
        </w:tc>
        <w:tc>
          <w:tcPr>
            <w:tcW w:w="781" w:type="dxa"/>
            <w:tcBorders>
              <w:top w:val="nil"/>
              <w:left w:val="nil"/>
              <w:bottom w:val="nil"/>
              <w:right w:val="nil"/>
            </w:tcBorders>
            <w:shd w:val="clear" w:color="000000" w:fill="D6DCE4"/>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$386</w:t>
            </w:r>
          </w:p>
        </w:tc>
        <w:tc>
          <w:tcPr>
            <w:tcW w:w="775" w:type="dxa"/>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$1,426</w:t>
            </w:r>
          </w:p>
        </w:tc>
        <w:tc>
          <w:tcPr>
            <w:tcW w:w="622" w:type="dxa"/>
            <w:tcBorders>
              <w:top w:val="nil"/>
              <w:left w:val="nil"/>
              <w:bottom w:val="nil"/>
              <w:right w:val="nil"/>
            </w:tcBorders>
            <w:shd w:val="clear" w:color="000000" w:fill="DDEBF7"/>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$852</w:t>
            </w:r>
          </w:p>
        </w:tc>
        <w:tc>
          <w:tcPr>
            <w:tcW w:w="622" w:type="dxa"/>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$834</w:t>
            </w:r>
          </w:p>
        </w:tc>
        <w:tc>
          <w:tcPr>
            <w:tcW w:w="622" w:type="dxa"/>
            <w:tcBorders>
              <w:top w:val="nil"/>
              <w:left w:val="nil"/>
              <w:bottom w:val="nil"/>
              <w:right w:val="nil"/>
            </w:tcBorders>
            <w:shd w:val="clear" w:color="000000" w:fill="FCE4D6"/>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$470</w:t>
            </w:r>
          </w:p>
        </w:tc>
        <w:tc>
          <w:tcPr>
            <w:tcW w:w="622" w:type="dxa"/>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$279</w:t>
            </w:r>
          </w:p>
        </w:tc>
        <w:tc>
          <w:tcPr>
            <w:tcW w:w="622" w:type="dxa"/>
            <w:tcBorders>
              <w:top w:val="nil"/>
              <w:left w:val="nil"/>
              <w:bottom w:val="nil"/>
              <w:right w:val="nil"/>
            </w:tcBorders>
            <w:shd w:val="clear" w:color="000000" w:fill="FFF2CC"/>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$155</w:t>
            </w:r>
          </w:p>
        </w:tc>
        <w:tc>
          <w:tcPr>
            <w:tcW w:w="539" w:type="dxa"/>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$29</w:t>
            </w:r>
          </w:p>
        </w:tc>
        <w:tc>
          <w:tcPr>
            <w:tcW w:w="573" w:type="dxa"/>
            <w:tcBorders>
              <w:top w:val="nil"/>
              <w:left w:val="nil"/>
              <w:bottom w:val="nil"/>
              <w:right w:val="nil"/>
            </w:tcBorders>
            <w:shd w:val="clear" w:color="000000" w:fill="D9E1F2"/>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$13</w:t>
            </w:r>
          </w:p>
        </w:tc>
        <w:tc>
          <w:tcPr>
            <w:tcW w:w="775" w:type="dxa"/>
            <w:tcBorders>
              <w:top w:val="nil"/>
              <w:left w:val="nil"/>
              <w:bottom w:val="nil"/>
              <w:right w:val="nil"/>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$3,209</w:t>
            </w:r>
          </w:p>
        </w:tc>
        <w:tc>
          <w:tcPr>
            <w:tcW w:w="775" w:type="dxa"/>
            <w:tcBorders>
              <w:top w:val="nil"/>
              <w:left w:val="nil"/>
              <w:bottom w:val="nil"/>
              <w:right w:val="single" w:sz="8" w:space="0" w:color="auto"/>
            </w:tcBorders>
            <w:shd w:val="clear" w:color="000000" w:fill="E2EFDA"/>
            <w:noWrap/>
            <w:vAlign w:val="bottom"/>
            <w:hideMark/>
          </w:tcPr>
          <w:p w:rsidR="00F123F6" w:rsidRPr="00056066" w:rsidRDefault="00F123F6" w:rsidP="00F123F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$1,876</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81"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39"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73"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056066">
        <w:trPr>
          <w:trHeight w:val="375"/>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 xml:space="preserve">DRV </w:t>
            </w:r>
            <w:r w:rsidR="00293824" w:rsidRPr="00572F1E">
              <w:rPr>
                <w:b/>
              </w:rPr>
              <w:t>÷</w:t>
            </w:r>
            <w:r w:rsidRPr="00056066">
              <w:rPr>
                <w:rFonts w:ascii="Calibri" w:eastAsia="Times New Roman" w:hAnsi="Calibri" w:cs="Times New Roman"/>
                <w:b/>
                <w:bCs/>
                <w:color w:val="000000"/>
                <w:sz w:val="20"/>
                <w:szCs w:val="28"/>
                <w:lang w:eastAsia="en-NZ"/>
              </w:rPr>
              <w:t xml:space="preserve"> RV for all assets</w:t>
            </w:r>
          </w:p>
        </w:tc>
        <w:tc>
          <w:tcPr>
            <w:tcW w:w="1403"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60.2%</w:t>
            </w:r>
          </w:p>
        </w:tc>
        <w:tc>
          <w:tcPr>
            <w:tcW w:w="1397"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59.7%</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56.4%</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55.5%</w:t>
            </w:r>
          </w:p>
        </w:tc>
        <w:tc>
          <w:tcPr>
            <w:tcW w:w="1112"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44.8%</w:t>
            </w:r>
          </w:p>
        </w:tc>
        <w:tc>
          <w:tcPr>
            <w:tcW w:w="1550" w:type="dxa"/>
            <w:gridSpan w:val="2"/>
            <w:tcBorders>
              <w:top w:val="nil"/>
              <w:left w:val="nil"/>
              <w:bottom w:val="nil"/>
              <w:right w:val="single" w:sz="8" w:space="0" w:color="000000"/>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58.5%</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81"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39"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73"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056066">
        <w:trPr>
          <w:trHeight w:val="300"/>
        </w:trPr>
        <w:tc>
          <w:tcPr>
            <w:tcW w:w="7571" w:type="dxa"/>
            <w:gridSpan w:val="9"/>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The replacement cost is split as follows between Roads and the Three Waters (water supply, wastewater and stormwater):</w:t>
            </w:r>
          </w:p>
        </w:tc>
        <w:tc>
          <w:tcPr>
            <w:tcW w:w="539"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73"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Roads</w:t>
            </w:r>
          </w:p>
        </w:tc>
        <w:tc>
          <w:tcPr>
            <w:tcW w:w="1403"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75%</w:t>
            </w:r>
          </w:p>
        </w:tc>
        <w:tc>
          <w:tcPr>
            <w:tcW w:w="1397"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46%</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36%</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76%</w:t>
            </w:r>
          </w:p>
        </w:tc>
        <w:tc>
          <w:tcPr>
            <w:tcW w:w="1112"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0%</w:t>
            </w:r>
          </w:p>
        </w:tc>
        <w:tc>
          <w:tcPr>
            <w:tcW w:w="1550" w:type="dxa"/>
            <w:gridSpan w:val="2"/>
            <w:tcBorders>
              <w:top w:val="nil"/>
              <w:left w:val="nil"/>
              <w:bottom w:val="nil"/>
              <w:right w:val="single" w:sz="8" w:space="0" w:color="000000"/>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52%</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Three Waters</w:t>
            </w:r>
          </w:p>
        </w:tc>
        <w:tc>
          <w:tcPr>
            <w:tcW w:w="1403"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25%</w:t>
            </w:r>
          </w:p>
        </w:tc>
        <w:tc>
          <w:tcPr>
            <w:tcW w:w="1397"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54%</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64%</w:t>
            </w:r>
          </w:p>
        </w:tc>
        <w:tc>
          <w:tcPr>
            <w:tcW w:w="1244" w:type="dxa"/>
            <w:gridSpan w:val="2"/>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24%</w:t>
            </w:r>
          </w:p>
        </w:tc>
        <w:tc>
          <w:tcPr>
            <w:tcW w:w="1112" w:type="dxa"/>
            <w:gridSpan w:val="2"/>
            <w:tcBorders>
              <w:top w:val="nil"/>
              <w:left w:val="nil"/>
              <w:bottom w:val="nil"/>
              <w:right w:val="nil"/>
            </w:tcBorders>
            <w:shd w:val="clear" w:color="auto" w:fill="auto"/>
            <w:noWrap/>
            <w:vAlign w:val="bottom"/>
            <w:hideMark/>
          </w:tcPr>
          <w:p w:rsidR="00F123F6" w:rsidRPr="00056066" w:rsidRDefault="00293824" w:rsidP="00F123F6">
            <w:pPr>
              <w:spacing w:after="0"/>
              <w:jc w:val="center"/>
              <w:rPr>
                <w:rFonts w:ascii="Calibri" w:eastAsia="Times New Roman" w:hAnsi="Calibri" w:cs="Times New Roman"/>
                <w:color w:val="000000"/>
                <w:sz w:val="20"/>
                <w:lang w:eastAsia="en-NZ"/>
              </w:rPr>
            </w:pPr>
            <w:r>
              <w:rPr>
                <w:rFonts w:ascii="Calibri" w:eastAsia="Times New Roman" w:hAnsi="Calibri" w:cs="Times New Roman"/>
                <w:color w:val="000000"/>
                <w:sz w:val="20"/>
                <w:lang w:eastAsia="en-NZ"/>
              </w:rPr>
              <w:t>100</w:t>
            </w:r>
            <w:r w:rsidR="00F123F6" w:rsidRPr="00056066">
              <w:rPr>
                <w:rFonts w:ascii="Calibri" w:eastAsia="Times New Roman" w:hAnsi="Calibri" w:cs="Times New Roman"/>
                <w:color w:val="000000"/>
                <w:sz w:val="20"/>
                <w:lang w:eastAsia="en-NZ"/>
              </w:rPr>
              <w:t>%</w:t>
            </w:r>
          </w:p>
        </w:tc>
        <w:tc>
          <w:tcPr>
            <w:tcW w:w="1550" w:type="dxa"/>
            <w:gridSpan w:val="2"/>
            <w:tcBorders>
              <w:top w:val="nil"/>
              <w:left w:val="nil"/>
              <w:bottom w:val="nil"/>
              <w:right w:val="single" w:sz="8" w:space="0" w:color="000000"/>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48%</w:t>
            </w:r>
          </w:p>
        </w:tc>
      </w:tr>
      <w:tr w:rsidR="00F123F6" w:rsidRPr="00F123F6" w:rsidTr="00056066">
        <w:trPr>
          <w:trHeight w:val="300"/>
        </w:trPr>
        <w:tc>
          <w:tcPr>
            <w:tcW w:w="2283" w:type="dxa"/>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81"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622"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39"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573"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F123F6" w:rsidRPr="00F123F6" w:rsidTr="00F123F6">
        <w:trPr>
          <w:trHeight w:val="300"/>
        </w:trPr>
        <w:tc>
          <w:tcPr>
            <w:tcW w:w="8683" w:type="dxa"/>
            <w:gridSpan w:val="11"/>
            <w:tcBorders>
              <w:top w:val="nil"/>
              <w:left w:val="single" w:sz="8" w:space="0" w:color="auto"/>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The replacement costs are fixed, and for the average depreciated replacement cost to be 57.7% for each council, the DRV values must be as follows:</w:t>
            </w: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rPr>
                <w:rFonts w:ascii="Calibri" w:eastAsia="Times New Roman" w:hAnsi="Calibri" w:cs="Times New Roman"/>
                <w:color w:val="000000"/>
                <w:sz w:val="20"/>
                <w:lang w:eastAsia="en-NZ"/>
              </w:rPr>
            </w:pPr>
            <w:r w:rsidRPr="00056066">
              <w:rPr>
                <w:rFonts w:ascii="Calibri" w:eastAsia="Times New Roman" w:hAnsi="Calibri" w:cs="Times New Roman"/>
                <w:color w:val="000000"/>
                <w:sz w:val="20"/>
                <w:lang w:eastAsia="en-NZ"/>
              </w:rPr>
              <w:t> </w:t>
            </w:r>
          </w:p>
        </w:tc>
      </w:tr>
      <w:tr w:rsidR="00EE5F66" w:rsidRPr="00F123F6" w:rsidTr="0005606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E5F66" w:rsidRPr="00F123F6" w:rsidRDefault="00EE5F66" w:rsidP="00056066">
            <w:pPr>
              <w:spacing w:after="0"/>
              <w:rPr>
                <w:rFonts w:ascii="Calibri" w:eastAsia="Times New Roman" w:hAnsi="Calibri" w:cs="Times New Roman"/>
                <w:b/>
                <w:bCs/>
                <w:color w:val="000000"/>
                <w:sz w:val="20"/>
                <w:lang w:eastAsia="en-NZ"/>
              </w:rPr>
            </w:pPr>
            <w:r>
              <w:rPr>
                <w:rFonts w:ascii="Calibri" w:eastAsia="Times New Roman" w:hAnsi="Calibri" w:cs="Times New Roman"/>
                <w:b/>
                <w:bCs/>
                <w:color w:val="000000"/>
                <w:sz w:val="20"/>
                <w:lang w:eastAsia="en-NZ"/>
              </w:rPr>
              <w:t>Adjusted figures, road formation and-non depreciable items removed ($ million)</w:t>
            </w:r>
          </w:p>
        </w:tc>
        <w:tc>
          <w:tcPr>
            <w:tcW w:w="1403" w:type="dxa"/>
            <w:gridSpan w:val="2"/>
            <w:tcBorders>
              <w:top w:val="single" w:sz="4" w:space="0" w:color="auto"/>
              <w:left w:val="nil"/>
              <w:bottom w:val="single" w:sz="4" w:space="0" w:color="auto"/>
              <w:right w:val="single" w:sz="4" w:space="0" w:color="auto"/>
            </w:tcBorders>
            <w:shd w:val="clear" w:color="auto" w:fill="auto"/>
            <w:noWrap/>
          </w:tcPr>
          <w:p w:rsidR="00EE5F66" w:rsidRPr="000A479A" w:rsidRDefault="00EE5F66" w:rsidP="00056066">
            <w:pPr>
              <w:spacing w:after="0"/>
              <w:jc w:val="center"/>
              <w:rPr>
                <w:rFonts w:ascii="Calibri" w:eastAsia="Times New Roman" w:hAnsi="Calibri" w:cs="Times New Roman"/>
                <w:b/>
                <w:bCs/>
                <w:sz w:val="20"/>
                <w:szCs w:val="28"/>
                <w:lang w:eastAsia="en-NZ"/>
              </w:rPr>
            </w:pPr>
            <w:r w:rsidRPr="000A479A">
              <w:rPr>
                <w:rFonts w:ascii="Calibri" w:eastAsia="Times New Roman" w:hAnsi="Calibri" w:cs="Times New Roman"/>
                <w:b/>
                <w:bCs/>
                <w:sz w:val="20"/>
                <w:szCs w:val="28"/>
                <w:lang w:eastAsia="en-NZ"/>
              </w:rPr>
              <w:t>Central H</w:t>
            </w:r>
            <w:r w:rsidR="00FD3A27">
              <w:rPr>
                <w:rFonts w:ascii="Calibri" w:eastAsia="Times New Roman" w:hAnsi="Calibri" w:cs="Times New Roman"/>
                <w:b/>
                <w:bCs/>
                <w:sz w:val="20"/>
                <w:szCs w:val="28"/>
                <w:lang w:eastAsia="en-NZ"/>
              </w:rPr>
              <w:t xml:space="preserve">awke's </w:t>
            </w:r>
            <w:r w:rsidRPr="000A479A">
              <w:rPr>
                <w:rFonts w:ascii="Calibri" w:eastAsia="Times New Roman" w:hAnsi="Calibri" w:cs="Times New Roman"/>
                <w:b/>
                <w:bCs/>
                <w:sz w:val="20"/>
                <w:szCs w:val="28"/>
                <w:lang w:eastAsia="en-NZ"/>
              </w:rPr>
              <w:t>B</w:t>
            </w:r>
            <w:r w:rsidR="00FD3A27">
              <w:rPr>
                <w:rFonts w:ascii="Calibri" w:eastAsia="Times New Roman" w:hAnsi="Calibri" w:cs="Times New Roman"/>
                <w:b/>
                <w:bCs/>
                <w:sz w:val="20"/>
                <w:szCs w:val="28"/>
                <w:lang w:eastAsia="en-NZ"/>
              </w:rPr>
              <w:t>ay</w:t>
            </w:r>
          </w:p>
        </w:tc>
        <w:tc>
          <w:tcPr>
            <w:tcW w:w="1397" w:type="dxa"/>
            <w:gridSpan w:val="2"/>
            <w:tcBorders>
              <w:top w:val="single" w:sz="4" w:space="0" w:color="auto"/>
              <w:left w:val="nil"/>
              <w:bottom w:val="single" w:sz="4" w:space="0" w:color="auto"/>
              <w:right w:val="single" w:sz="4" w:space="0" w:color="auto"/>
            </w:tcBorders>
            <w:shd w:val="clear" w:color="auto" w:fill="auto"/>
            <w:noWrap/>
          </w:tcPr>
          <w:p w:rsidR="00EE5F66" w:rsidRPr="000A479A" w:rsidRDefault="00EE5F66" w:rsidP="00056066">
            <w:pPr>
              <w:spacing w:after="0"/>
              <w:jc w:val="center"/>
              <w:rPr>
                <w:rFonts w:ascii="Calibri" w:eastAsia="Times New Roman" w:hAnsi="Calibri" w:cs="Times New Roman"/>
                <w:b/>
                <w:bCs/>
                <w:sz w:val="20"/>
                <w:szCs w:val="28"/>
                <w:lang w:eastAsia="en-NZ"/>
              </w:rPr>
            </w:pPr>
            <w:r w:rsidRPr="000A479A">
              <w:rPr>
                <w:rFonts w:ascii="Calibri" w:eastAsia="Times New Roman" w:hAnsi="Calibri" w:cs="Times New Roman"/>
                <w:b/>
                <w:bCs/>
                <w:sz w:val="20"/>
                <w:szCs w:val="28"/>
                <w:lang w:eastAsia="en-NZ"/>
              </w:rPr>
              <w:t>Hastings</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A479A" w:rsidRDefault="00EE5F66" w:rsidP="00056066">
            <w:pPr>
              <w:spacing w:after="0"/>
              <w:jc w:val="center"/>
              <w:rPr>
                <w:rFonts w:ascii="Calibri" w:eastAsia="Times New Roman" w:hAnsi="Calibri" w:cs="Times New Roman"/>
                <w:b/>
                <w:bCs/>
                <w:sz w:val="20"/>
                <w:szCs w:val="28"/>
                <w:lang w:eastAsia="en-NZ"/>
              </w:rPr>
            </w:pPr>
            <w:r w:rsidRPr="000A479A">
              <w:rPr>
                <w:rFonts w:ascii="Calibri" w:eastAsia="Times New Roman" w:hAnsi="Calibri" w:cs="Times New Roman"/>
                <w:b/>
                <w:bCs/>
                <w:sz w:val="20"/>
                <w:szCs w:val="28"/>
                <w:lang w:eastAsia="en-NZ"/>
              </w:rPr>
              <w:t>Napier</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A479A" w:rsidRDefault="00EE5F66" w:rsidP="00056066">
            <w:pPr>
              <w:spacing w:after="0"/>
              <w:jc w:val="center"/>
              <w:rPr>
                <w:rFonts w:ascii="Calibri" w:eastAsia="Times New Roman" w:hAnsi="Calibri" w:cs="Times New Roman"/>
                <w:b/>
                <w:bCs/>
                <w:sz w:val="20"/>
                <w:szCs w:val="28"/>
                <w:lang w:eastAsia="en-NZ"/>
              </w:rPr>
            </w:pPr>
            <w:r w:rsidRPr="000A479A">
              <w:rPr>
                <w:rFonts w:ascii="Calibri" w:eastAsia="Times New Roman" w:hAnsi="Calibri" w:cs="Times New Roman"/>
                <w:b/>
                <w:bCs/>
                <w:sz w:val="20"/>
                <w:szCs w:val="28"/>
                <w:lang w:eastAsia="en-NZ"/>
              </w:rPr>
              <w:t>Wairoa</w:t>
            </w:r>
          </w:p>
        </w:tc>
        <w:tc>
          <w:tcPr>
            <w:tcW w:w="1112" w:type="dxa"/>
            <w:gridSpan w:val="2"/>
            <w:tcBorders>
              <w:top w:val="nil"/>
              <w:left w:val="nil"/>
              <w:bottom w:val="nil"/>
              <w:right w:val="nil"/>
            </w:tcBorders>
            <w:shd w:val="clear" w:color="auto" w:fill="auto"/>
            <w:noWrap/>
            <w:vAlign w:val="bottom"/>
          </w:tcPr>
          <w:p w:rsidR="00EE5F66" w:rsidRPr="00E1219C" w:rsidRDefault="00EE5F66" w:rsidP="000A479A">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EE5F66" w:rsidRPr="00F123F6" w:rsidRDefault="00EE5F66" w:rsidP="000A479A">
            <w:pPr>
              <w:spacing w:after="0"/>
              <w:jc w:val="center"/>
              <w:rPr>
                <w:rFonts w:ascii="Calibri" w:eastAsia="Times New Roman" w:hAnsi="Calibri" w:cs="Times New Roman"/>
                <w:b/>
                <w:bCs/>
                <w:color w:val="FF0000"/>
                <w:sz w:val="20"/>
                <w:szCs w:val="28"/>
                <w:lang w:eastAsia="en-NZ"/>
              </w:rPr>
            </w:pPr>
          </w:p>
        </w:tc>
      </w:tr>
      <w:tr w:rsidR="00EE5F66" w:rsidRPr="00F123F6" w:rsidTr="00056066">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rPr>
                <w:rFonts w:ascii="Calibri" w:eastAsia="Times New Roman" w:hAnsi="Calibri" w:cs="Times New Roman"/>
                <w:b/>
                <w:color w:val="000000"/>
                <w:sz w:val="20"/>
                <w:lang w:eastAsia="en-NZ"/>
              </w:rPr>
            </w:pPr>
            <w:r w:rsidRPr="00056066">
              <w:rPr>
                <w:rFonts w:ascii="Calibri" w:eastAsia="Times New Roman" w:hAnsi="Calibri" w:cs="Times New Roman"/>
                <w:b/>
                <w:color w:val="000000"/>
                <w:sz w:val="20"/>
                <w:lang w:eastAsia="en-NZ"/>
              </w:rPr>
              <w:t>For DRV/RV to be 58.5% the DRV must be</w:t>
            </w:r>
          </w:p>
        </w:tc>
        <w:tc>
          <w:tcPr>
            <w:tcW w:w="14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$375</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$834</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$488</w:t>
            </w:r>
          </w:p>
        </w:tc>
        <w:tc>
          <w:tcPr>
            <w:tcW w:w="12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E5F66" w:rsidRPr="00056066" w:rsidRDefault="00EE5F66" w:rsidP="00056066">
            <w:pPr>
              <w:spacing w:after="0"/>
              <w:jc w:val="center"/>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$163</w:t>
            </w:r>
          </w:p>
        </w:tc>
        <w:tc>
          <w:tcPr>
            <w:tcW w:w="539" w:type="dxa"/>
            <w:tcBorders>
              <w:top w:val="nil"/>
              <w:left w:val="single" w:sz="4" w:space="0" w:color="auto"/>
              <w:bottom w:val="nil"/>
              <w:right w:val="nil"/>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000000"/>
                <w:sz w:val="20"/>
                <w:lang w:eastAsia="en-NZ"/>
              </w:rPr>
            </w:pPr>
          </w:p>
        </w:tc>
        <w:tc>
          <w:tcPr>
            <w:tcW w:w="573" w:type="dxa"/>
            <w:tcBorders>
              <w:top w:val="nil"/>
              <w:left w:val="nil"/>
              <w:bottom w:val="nil"/>
              <w:right w:val="nil"/>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000000"/>
                <w:sz w:val="20"/>
                <w:lang w:eastAsia="en-NZ"/>
              </w:rPr>
            </w:pPr>
          </w:p>
        </w:tc>
        <w:tc>
          <w:tcPr>
            <w:tcW w:w="775" w:type="dxa"/>
            <w:tcBorders>
              <w:top w:val="nil"/>
              <w:left w:val="nil"/>
              <w:bottom w:val="nil"/>
              <w:right w:val="nil"/>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000000"/>
                <w:sz w:val="20"/>
                <w:lang w:eastAsia="en-NZ"/>
              </w:rPr>
            </w:pPr>
          </w:p>
        </w:tc>
        <w:tc>
          <w:tcPr>
            <w:tcW w:w="775" w:type="dxa"/>
            <w:tcBorders>
              <w:top w:val="nil"/>
              <w:left w:val="nil"/>
              <w:bottom w:val="nil"/>
              <w:right w:val="single" w:sz="8" w:space="0" w:color="auto"/>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000000"/>
                <w:sz w:val="20"/>
                <w:lang w:eastAsia="en-NZ"/>
              </w:rPr>
            </w:pPr>
          </w:p>
        </w:tc>
      </w:tr>
      <w:tr w:rsidR="00EE5F66" w:rsidRPr="00F123F6" w:rsidTr="0005606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E5F66" w:rsidRPr="00056066" w:rsidRDefault="00EE5F66" w:rsidP="00056066">
            <w:pPr>
              <w:spacing w:after="0"/>
              <w:rPr>
                <w:rFonts w:ascii="Calibri" w:eastAsia="Times New Roman" w:hAnsi="Calibri" w:cs="Times New Roman"/>
                <w:b/>
                <w:bCs/>
                <w:color w:val="000000"/>
                <w:sz w:val="20"/>
                <w:lang w:eastAsia="en-NZ"/>
              </w:rPr>
            </w:pPr>
            <w:r>
              <w:rPr>
                <w:rFonts w:ascii="Calibri" w:eastAsia="Times New Roman" w:hAnsi="Calibri" w:cs="Times New Roman"/>
                <w:b/>
                <w:bCs/>
                <w:color w:val="000000"/>
                <w:sz w:val="20"/>
                <w:lang w:eastAsia="en-NZ"/>
              </w:rPr>
              <w:t>Current DRV</w:t>
            </w:r>
          </w:p>
        </w:tc>
        <w:tc>
          <w:tcPr>
            <w:tcW w:w="1403"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$386</w:t>
            </w:r>
          </w:p>
        </w:tc>
        <w:tc>
          <w:tcPr>
            <w:tcW w:w="1397"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$852</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$470</w:t>
            </w:r>
          </w:p>
        </w:tc>
        <w:tc>
          <w:tcPr>
            <w:tcW w:w="1244" w:type="dxa"/>
            <w:gridSpan w:val="2"/>
            <w:tcBorders>
              <w:top w:val="single" w:sz="4" w:space="0" w:color="auto"/>
              <w:left w:val="nil"/>
              <w:bottom w:val="single" w:sz="4" w:space="0" w:color="auto"/>
              <w:right w:val="single" w:sz="4" w:space="0" w:color="auto"/>
            </w:tcBorders>
            <w:shd w:val="clear" w:color="auto" w:fill="auto"/>
            <w:noWrap/>
          </w:tcPr>
          <w:p w:rsidR="00EE5F66" w:rsidRPr="00056066" w:rsidRDefault="00EE5F6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$155</w:t>
            </w:r>
          </w:p>
        </w:tc>
        <w:tc>
          <w:tcPr>
            <w:tcW w:w="1112" w:type="dxa"/>
            <w:gridSpan w:val="2"/>
            <w:tcBorders>
              <w:top w:val="nil"/>
              <w:left w:val="nil"/>
              <w:bottom w:val="nil"/>
              <w:right w:val="nil"/>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EE5F66" w:rsidRPr="00056066" w:rsidRDefault="00EE5F66" w:rsidP="00F123F6">
            <w:pPr>
              <w:spacing w:after="0"/>
              <w:jc w:val="center"/>
              <w:rPr>
                <w:rFonts w:ascii="Calibri" w:eastAsia="Times New Roman" w:hAnsi="Calibri" w:cs="Times New Roman"/>
                <w:b/>
                <w:bCs/>
                <w:color w:val="FF0000"/>
                <w:sz w:val="20"/>
                <w:szCs w:val="28"/>
                <w:lang w:eastAsia="en-NZ"/>
              </w:rPr>
            </w:pPr>
          </w:p>
        </w:tc>
      </w:tr>
      <w:tr w:rsidR="00F123F6" w:rsidRPr="00F123F6" w:rsidTr="0005606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F123F6" w:rsidRPr="00056066" w:rsidRDefault="00F123F6" w:rsidP="00056066">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Adjustment to get to average</w:t>
            </w:r>
          </w:p>
        </w:tc>
        <w:tc>
          <w:tcPr>
            <w:tcW w:w="1403"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sz w:val="20"/>
                <w:szCs w:val="28"/>
                <w:lang w:eastAsia="en-NZ"/>
              </w:rPr>
              <w:t>$11.5</w:t>
            </w:r>
          </w:p>
        </w:tc>
        <w:tc>
          <w:tcPr>
            <w:tcW w:w="1397"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sz w:val="20"/>
                <w:szCs w:val="28"/>
                <w:lang w:eastAsia="en-NZ"/>
              </w:rPr>
              <w:t>$17.9</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-$17.4</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-$8.1</w:t>
            </w:r>
          </w:p>
        </w:tc>
        <w:tc>
          <w:tcPr>
            <w:tcW w:w="1112" w:type="dxa"/>
            <w:gridSpan w:val="2"/>
            <w:tcBorders>
              <w:top w:val="nil"/>
              <w:left w:val="nil"/>
              <w:bottom w:val="nil"/>
              <w:right w:val="nil"/>
            </w:tcBorders>
            <w:shd w:val="clear" w:color="auto" w:fill="auto"/>
            <w:noWrap/>
            <w:vAlign w:val="bottom"/>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1550" w:type="dxa"/>
            <w:gridSpan w:val="2"/>
            <w:tcBorders>
              <w:top w:val="nil"/>
              <w:left w:val="nil"/>
              <w:bottom w:val="nil"/>
              <w:right w:val="single" w:sz="8" w:space="0" w:color="000000"/>
            </w:tcBorders>
            <w:shd w:val="clear" w:color="auto" w:fill="auto"/>
            <w:noWrap/>
            <w:vAlign w:val="bottom"/>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r>
      <w:tr w:rsidR="00F123F6" w:rsidRPr="00F123F6" w:rsidTr="0005606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F123F6" w:rsidRPr="00056066" w:rsidRDefault="00F123F6" w:rsidP="00056066">
            <w:pPr>
              <w:spacing w:after="0"/>
              <w:rPr>
                <w:rFonts w:ascii="Calibri" w:eastAsia="Times New Roman" w:hAnsi="Calibri" w:cs="Times New Roman"/>
                <w:b/>
                <w:bCs/>
                <w:color w:val="000000"/>
                <w:sz w:val="20"/>
                <w:lang w:eastAsia="en-NZ"/>
              </w:rPr>
            </w:pPr>
            <w:r w:rsidRPr="00056066">
              <w:rPr>
                <w:rFonts w:ascii="Calibri" w:eastAsia="Times New Roman" w:hAnsi="Calibri" w:cs="Times New Roman"/>
                <w:b/>
                <w:bCs/>
                <w:color w:val="000000"/>
                <w:sz w:val="20"/>
                <w:lang w:eastAsia="en-NZ"/>
              </w:rPr>
              <w:t>Current net financial assets</w:t>
            </w:r>
          </w:p>
        </w:tc>
        <w:tc>
          <w:tcPr>
            <w:tcW w:w="1403"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-$0.3</w:t>
            </w:r>
          </w:p>
        </w:tc>
        <w:tc>
          <w:tcPr>
            <w:tcW w:w="1397"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-$45.2</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$78.6</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$12.5</w:t>
            </w:r>
          </w:p>
        </w:tc>
        <w:tc>
          <w:tcPr>
            <w:tcW w:w="539" w:type="dxa"/>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573" w:type="dxa"/>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775" w:type="dxa"/>
            <w:tcBorders>
              <w:top w:val="nil"/>
              <w:left w:val="nil"/>
              <w:bottom w:val="nil"/>
              <w:right w:val="single" w:sz="8" w:space="0" w:color="auto"/>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 </w:t>
            </w:r>
          </w:p>
        </w:tc>
      </w:tr>
      <w:tr w:rsidR="00F123F6" w:rsidRPr="00F123F6" w:rsidTr="00056066">
        <w:trPr>
          <w:trHeight w:val="375"/>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F123F6" w:rsidRPr="00056066" w:rsidRDefault="00F123F6" w:rsidP="00056066">
            <w:pPr>
              <w:spacing w:after="0"/>
              <w:rPr>
                <w:rFonts w:ascii="Calibri" w:eastAsia="Times New Roman" w:hAnsi="Calibri" w:cs="Times New Roman"/>
                <w:b/>
                <w:bCs/>
                <w:color w:val="000000"/>
                <w:sz w:val="20"/>
                <w:szCs w:val="28"/>
                <w:lang w:eastAsia="en-NZ"/>
              </w:rPr>
            </w:pPr>
            <w:r w:rsidRPr="00056066">
              <w:rPr>
                <w:rFonts w:ascii="Calibri" w:eastAsia="Times New Roman" w:hAnsi="Calibri" w:cs="Times New Roman"/>
                <w:b/>
                <w:bCs/>
                <w:color w:val="000000"/>
                <w:sz w:val="20"/>
                <w:szCs w:val="28"/>
                <w:lang w:eastAsia="en-NZ"/>
              </w:rPr>
              <w:t>End position ($ million)</w:t>
            </w:r>
          </w:p>
        </w:tc>
        <w:tc>
          <w:tcPr>
            <w:tcW w:w="1403"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$11.2</w:t>
            </w:r>
          </w:p>
        </w:tc>
        <w:tc>
          <w:tcPr>
            <w:tcW w:w="1397"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-$27.3</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$61.2</w:t>
            </w:r>
          </w:p>
        </w:tc>
        <w:tc>
          <w:tcPr>
            <w:tcW w:w="1244" w:type="dxa"/>
            <w:gridSpan w:val="2"/>
            <w:tcBorders>
              <w:top w:val="single" w:sz="4" w:space="0" w:color="auto"/>
              <w:left w:val="nil"/>
              <w:bottom w:val="single" w:sz="4" w:space="0" w:color="auto"/>
              <w:right w:val="single" w:sz="4" w:space="0" w:color="auto"/>
            </w:tcBorders>
            <w:shd w:val="clear" w:color="auto" w:fill="auto"/>
            <w:noWrap/>
            <w:hideMark/>
          </w:tcPr>
          <w:p w:rsidR="00F123F6" w:rsidRPr="00056066" w:rsidRDefault="00F123F6" w:rsidP="00056066">
            <w:pPr>
              <w:spacing w:after="0"/>
              <w:jc w:val="center"/>
              <w:rPr>
                <w:rFonts w:ascii="Calibri" w:eastAsia="Times New Roman" w:hAnsi="Calibri" w:cs="Times New Roman"/>
                <w:b/>
                <w:bCs/>
                <w:sz w:val="20"/>
                <w:szCs w:val="28"/>
                <w:lang w:eastAsia="en-NZ"/>
              </w:rPr>
            </w:pPr>
            <w:r w:rsidRPr="00056066">
              <w:rPr>
                <w:rFonts w:ascii="Calibri" w:eastAsia="Times New Roman" w:hAnsi="Calibri" w:cs="Times New Roman"/>
                <w:b/>
                <w:bCs/>
                <w:sz w:val="20"/>
                <w:szCs w:val="28"/>
                <w:lang w:eastAsia="en-NZ"/>
              </w:rPr>
              <w:t>$4.4</w:t>
            </w:r>
          </w:p>
        </w:tc>
        <w:tc>
          <w:tcPr>
            <w:tcW w:w="539" w:type="dxa"/>
            <w:tcBorders>
              <w:top w:val="nil"/>
              <w:left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573" w:type="dxa"/>
            <w:tcBorders>
              <w:top w:val="nil"/>
              <w:left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775" w:type="dxa"/>
            <w:tcBorders>
              <w:top w:val="nil"/>
              <w:left w:val="nil"/>
              <w:right w:val="nil"/>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p>
        </w:tc>
        <w:tc>
          <w:tcPr>
            <w:tcW w:w="775" w:type="dxa"/>
            <w:tcBorders>
              <w:top w:val="nil"/>
              <w:left w:val="nil"/>
              <w:right w:val="single" w:sz="8" w:space="0" w:color="auto"/>
            </w:tcBorders>
            <w:shd w:val="clear" w:color="auto" w:fill="auto"/>
            <w:noWrap/>
            <w:vAlign w:val="bottom"/>
            <w:hideMark/>
          </w:tcPr>
          <w:p w:rsidR="00F123F6" w:rsidRPr="00056066" w:rsidRDefault="00F123F6" w:rsidP="00F123F6">
            <w:pPr>
              <w:spacing w:after="0"/>
              <w:jc w:val="center"/>
              <w:rPr>
                <w:rFonts w:ascii="Calibri" w:eastAsia="Times New Roman" w:hAnsi="Calibri" w:cs="Times New Roman"/>
                <w:b/>
                <w:bCs/>
                <w:color w:val="FF0000"/>
                <w:sz w:val="20"/>
                <w:szCs w:val="28"/>
                <w:lang w:eastAsia="en-NZ"/>
              </w:rPr>
            </w:pPr>
            <w:r w:rsidRPr="00056066">
              <w:rPr>
                <w:rFonts w:ascii="Calibri" w:eastAsia="Times New Roman" w:hAnsi="Calibri" w:cs="Times New Roman"/>
                <w:b/>
                <w:bCs/>
                <w:color w:val="FF0000"/>
                <w:sz w:val="20"/>
                <w:szCs w:val="28"/>
                <w:lang w:eastAsia="en-NZ"/>
              </w:rPr>
              <w:t> </w:t>
            </w:r>
          </w:p>
        </w:tc>
      </w:tr>
      <w:tr w:rsidR="00B97262" w:rsidRPr="00F123F6" w:rsidTr="00706034">
        <w:trPr>
          <w:trHeight w:val="300"/>
        </w:trPr>
        <w:tc>
          <w:tcPr>
            <w:tcW w:w="10233" w:type="dxa"/>
            <w:gridSpan w:val="13"/>
            <w:tcBorders>
              <w:top w:val="nil"/>
              <w:left w:val="single" w:sz="8" w:space="0" w:color="auto"/>
              <w:bottom w:val="single" w:sz="4" w:space="0" w:color="auto"/>
              <w:right w:val="single" w:sz="8" w:space="0" w:color="000000"/>
            </w:tcBorders>
            <w:shd w:val="clear" w:color="auto" w:fill="auto"/>
            <w:noWrap/>
            <w:vAlign w:val="bottom"/>
            <w:hideMark/>
          </w:tcPr>
          <w:p w:rsidR="00B97262" w:rsidRDefault="00B97262" w:rsidP="00F123F6">
            <w:pPr>
              <w:spacing w:after="0"/>
              <w:rPr>
                <w:rFonts w:ascii="Calibri" w:eastAsia="Times New Roman" w:hAnsi="Calibri" w:cs="Times New Roman"/>
                <w:color w:val="000000"/>
                <w:sz w:val="20"/>
                <w:lang w:eastAsia="en-NZ"/>
              </w:rPr>
            </w:pPr>
            <w:r w:rsidRPr="00AA44F1">
              <w:rPr>
                <w:rFonts w:ascii="Calibri" w:eastAsia="Times New Roman" w:hAnsi="Calibri" w:cs="Times New Roman"/>
                <w:color w:val="000000"/>
                <w:sz w:val="20"/>
                <w:lang w:eastAsia="en-NZ"/>
              </w:rPr>
              <w:t>This shows that the DRV/ RV ratios for CHB and Hastings are slightly above average, and</w:t>
            </w:r>
            <w:r>
              <w:rPr>
                <w:rFonts w:ascii="Calibri" w:eastAsia="Times New Roman" w:hAnsi="Calibri" w:cs="Times New Roman"/>
                <w:color w:val="000000"/>
                <w:sz w:val="20"/>
                <w:lang w:eastAsia="en-NZ"/>
              </w:rPr>
              <w:t xml:space="preserve"> </w:t>
            </w:r>
            <w:r w:rsidRPr="00AA44F1">
              <w:rPr>
                <w:rFonts w:ascii="Calibri" w:eastAsia="Times New Roman" w:hAnsi="Calibri" w:cs="Times New Roman"/>
                <w:color w:val="000000"/>
                <w:sz w:val="20"/>
                <w:lang w:eastAsia="en-NZ"/>
              </w:rPr>
              <w:t>Napier, Wairoa and HBRC are slightly below average</w:t>
            </w:r>
            <w:r>
              <w:rPr>
                <w:rFonts w:ascii="Calibri" w:eastAsia="Times New Roman" w:hAnsi="Calibri" w:cs="Times New Roman"/>
                <w:color w:val="000000"/>
                <w:sz w:val="20"/>
                <w:lang w:eastAsia="en-NZ"/>
              </w:rPr>
              <w:t xml:space="preserve"> </w:t>
            </w:r>
            <w:r w:rsidRPr="00572F1E">
              <w:rPr>
                <w:rFonts w:ascii="Calibri" w:eastAsia="Times New Roman" w:hAnsi="Calibri" w:cs="Times New Roman"/>
                <w:color w:val="000000"/>
                <w:sz w:val="20"/>
                <w:lang w:eastAsia="en-NZ"/>
              </w:rPr>
              <w:t>but no-one is significantly above or below.</w:t>
            </w:r>
          </w:p>
          <w:p w:rsidR="00B97262" w:rsidRPr="00056066" w:rsidRDefault="00B97262" w:rsidP="00F123F6">
            <w:pPr>
              <w:spacing w:after="0"/>
              <w:rPr>
                <w:rFonts w:ascii="Calibri" w:eastAsia="Times New Roman" w:hAnsi="Calibri" w:cs="Times New Roman"/>
                <w:color w:val="000000"/>
                <w:sz w:val="20"/>
                <w:lang w:eastAsia="en-NZ"/>
              </w:rPr>
            </w:pPr>
          </w:p>
        </w:tc>
      </w:tr>
    </w:tbl>
    <w:p w:rsidR="00F56D47" w:rsidRPr="00056066" w:rsidRDefault="008E3D47">
      <w:pPr>
        <w:rPr>
          <w:i/>
        </w:rPr>
      </w:pPr>
      <w:r w:rsidRPr="00056066">
        <w:rPr>
          <w:i/>
          <w:sz w:val="20"/>
        </w:rPr>
        <w:t xml:space="preserve">Table 3: </w:t>
      </w:r>
      <w:r w:rsidR="00026084" w:rsidRPr="00056066">
        <w:rPr>
          <w:i/>
          <w:sz w:val="20"/>
        </w:rPr>
        <w:t>F</w:t>
      </w:r>
      <w:r w:rsidRPr="00056066">
        <w:rPr>
          <w:i/>
          <w:sz w:val="20"/>
        </w:rPr>
        <w:t xml:space="preserve">igures </w:t>
      </w:r>
      <w:r w:rsidR="00026084" w:rsidRPr="00056066">
        <w:rPr>
          <w:i/>
          <w:sz w:val="20"/>
        </w:rPr>
        <w:t>excluding Formation and other non-depreciable assets</w:t>
      </w:r>
    </w:p>
    <w:p w:rsidR="00026084" w:rsidRDefault="00026084">
      <w:pPr>
        <w:spacing w:after="200" w:line="276" w:lineRule="auto"/>
        <w:rPr>
          <w:b/>
        </w:rPr>
      </w:pPr>
      <w:r>
        <w:rPr>
          <w:b/>
        </w:rPr>
        <w:br w:type="page"/>
      </w:r>
    </w:p>
    <w:p w:rsidR="00FF392E" w:rsidRPr="003E1D1B" w:rsidRDefault="003E1D1B">
      <w:pPr>
        <w:rPr>
          <w:b/>
        </w:rPr>
      </w:pPr>
      <w:r w:rsidRPr="003E1D1B">
        <w:rPr>
          <w:b/>
        </w:rPr>
        <w:lastRenderedPageBreak/>
        <w:t>Does correcting the error</w:t>
      </w:r>
      <w:r w:rsidR="00A56A51">
        <w:rPr>
          <w:b/>
        </w:rPr>
        <w:t>s</w:t>
      </w:r>
      <w:r w:rsidRPr="003E1D1B">
        <w:rPr>
          <w:b/>
        </w:rPr>
        <w:t xml:space="preserve"> change things significantly?</w:t>
      </w:r>
    </w:p>
    <w:p w:rsidR="003E1D1B" w:rsidRDefault="003E1D1B">
      <w:r>
        <w:t>Yes, it does</w:t>
      </w:r>
      <w:r w:rsidR="00026084">
        <w:t>, as shown on the table below:</w:t>
      </w:r>
    </w:p>
    <w:tbl>
      <w:tblPr>
        <w:tblStyle w:val="TableGrid"/>
        <w:tblW w:w="0" w:type="auto"/>
        <w:tblLook w:val="04A0" w:firstRow="1" w:lastRow="0" w:firstColumn="1" w:lastColumn="0" w:noHBand="0" w:noVBand="1"/>
      </w:tblPr>
      <w:tblGrid>
        <w:gridCol w:w="3085"/>
        <w:gridCol w:w="2268"/>
        <w:gridCol w:w="3686"/>
      </w:tblGrid>
      <w:tr w:rsidR="00026084" w:rsidRPr="00056066" w:rsidTr="00056066">
        <w:tc>
          <w:tcPr>
            <w:tcW w:w="3085" w:type="dxa"/>
          </w:tcPr>
          <w:p w:rsidR="00026084" w:rsidRPr="00056066" w:rsidRDefault="00026084">
            <w:pPr>
              <w:rPr>
                <w:b/>
              </w:rPr>
            </w:pPr>
            <w:r w:rsidRPr="00056066">
              <w:rPr>
                <w:b/>
              </w:rPr>
              <w:t>Measure</w:t>
            </w:r>
          </w:p>
        </w:tc>
        <w:tc>
          <w:tcPr>
            <w:tcW w:w="2268" w:type="dxa"/>
          </w:tcPr>
          <w:p w:rsidR="00026084" w:rsidRPr="00056066" w:rsidRDefault="00026084">
            <w:pPr>
              <w:rPr>
                <w:b/>
              </w:rPr>
            </w:pPr>
            <w:r w:rsidRPr="00056066">
              <w:rPr>
                <w:b/>
              </w:rPr>
              <w:t>Local Government Commission Figures</w:t>
            </w:r>
          </w:p>
        </w:tc>
        <w:tc>
          <w:tcPr>
            <w:tcW w:w="3686" w:type="dxa"/>
          </w:tcPr>
          <w:p w:rsidR="00026084" w:rsidRPr="00056066" w:rsidRDefault="00026084">
            <w:pPr>
              <w:rPr>
                <w:b/>
              </w:rPr>
            </w:pPr>
            <w:r w:rsidRPr="00056066">
              <w:rPr>
                <w:b/>
              </w:rPr>
              <w:t>Adjusted figures after road formation and other non-depreciable items have been removed</w:t>
            </w:r>
          </w:p>
        </w:tc>
      </w:tr>
      <w:tr w:rsidR="00026084" w:rsidTr="00056066">
        <w:tc>
          <w:tcPr>
            <w:tcW w:w="3085" w:type="dxa"/>
          </w:tcPr>
          <w:p w:rsidR="00026084" w:rsidRDefault="00026084" w:rsidP="00056066">
            <w:r>
              <w:t>Average DRV÷RV for Hawke's Bay</w:t>
            </w:r>
          </w:p>
        </w:tc>
        <w:tc>
          <w:tcPr>
            <w:tcW w:w="2268" w:type="dxa"/>
            <w:vAlign w:val="center"/>
          </w:tcPr>
          <w:p w:rsidR="00026084" w:rsidRDefault="00026084" w:rsidP="00056066">
            <w:pPr>
              <w:jc w:val="center"/>
            </w:pPr>
            <w:r>
              <w:t>72.16%</w:t>
            </w:r>
          </w:p>
        </w:tc>
        <w:tc>
          <w:tcPr>
            <w:tcW w:w="3686" w:type="dxa"/>
            <w:vAlign w:val="center"/>
          </w:tcPr>
          <w:p w:rsidR="00026084" w:rsidRDefault="00026084" w:rsidP="00056066">
            <w:pPr>
              <w:jc w:val="center"/>
            </w:pPr>
            <w:r>
              <w:t>58.5%</w:t>
            </w:r>
          </w:p>
        </w:tc>
      </w:tr>
      <w:tr w:rsidR="00026084" w:rsidTr="00056066">
        <w:tc>
          <w:tcPr>
            <w:tcW w:w="3085" w:type="dxa"/>
          </w:tcPr>
          <w:p w:rsidR="00026084" w:rsidRPr="00056066" w:rsidRDefault="00026084" w:rsidP="00026084">
            <w:pPr>
              <w:rPr>
                <w:b/>
              </w:rPr>
            </w:pPr>
            <w:r w:rsidRPr="00056066">
              <w:rPr>
                <w:b/>
              </w:rPr>
              <w:t>Net financial position after adjustment for differences in DRV÷RV values</w:t>
            </w:r>
          </w:p>
          <w:p w:rsidR="00026084" w:rsidRDefault="00026084" w:rsidP="00026084">
            <w:r>
              <w:t>Central Hawke's Bay</w:t>
            </w:r>
          </w:p>
          <w:p w:rsidR="00026084" w:rsidRDefault="00026084" w:rsidP="00026084">
            <w:r>
              <w:t>Hastings</w:t>
            </w:r>
          </w:p>
          <w:p w:rsidR="00026084" w:rsidRDefault="00026084" w:rsidP="00026084">
            <w:r>
              <w:t>Napier</w:t>
            </w:r>
          </w:p>
          <w:p w:rsidR="00026084" w:rsidRDefault="00026084" w:rsidP="00026084">
            <w:r>
              <w:t>Wairoa</w:t>
            </w:r>
          </w:p>
        </w:tc>
        <w:tc>
          <w:tcPr>
            <w:tcW w:w="2268" w:type="dxa"/>
          </w:tcPr>
          <w:p w:rsidR="00026084" w:rsidRDefault="00026084">
            <w:r>
              <w:br/>
            </w:r>
            <w:r>
              <w:br/>
            </w:r>
          </w:p>
          <w:p w:rsidR="00026084" w:rsidRDefault="00026084">
            <w:r>
              <w:t>Positive $7.1 million</w:t>
            </w:r>
          </w:p>
          <w:p w:rsidR="00026084" w:rsidRDefault="00026084">
            <w:r>
              <w:t>Positive $55 million</w:t>
            </w:r>
          </w:p>
          <w:p w:rsidR="00026084" w:rsidRPr="00056066" w:rsidRDefault="00026084">
            <w:pPr>
              <w:rPr>
                <w:color w:val="FF0000"/>
              </w:rPr>
            </w:pPr>
            <w:r w:rsidRPr="00056066">
              <w:rPr>
                <w:color w:val="FF0000"/>
              </w:rPr>
              <w:t>Negative $44.7 million</w:t>
            </w:r>
          </w:p>
          <w:p w:rsidR="00026084" w:rsidRDefault="00026084">
            <w:r w:rsidRPr="00056066">
              <w:rPr>
                <w:color w:val="FF0000"/>
              </w:rPr>
              <w:t>Negative $18.1 million</w:t>
            </w:r>
          </w:p>
        </w:tc>
        <w:tc>
          <w:tcPr>
            <w:tcW w:w="3686" w:type="dxa"/>
          </w:tcPr>
          <w:p w:rsidR="00026084" w:rsidRDefault="00026084">
            <w:r>
              <w:br/>
            </w:r>
            <w:r>
              <w:br/>
            </w:r>
          </w:p>
          <w:p w:rsidR="00026084" w:rsidRDefault="00026084">
            <w:r>
              <w:t>Positive $11.2 million</w:t>
            </w:r>
          </w:p>
          <w:p w:rsidR="00026084" w:rsidRDefault="00026084">
            <w:r w:rsidRPr="00056066">
              <w:rPr>
                <w:color w:val="FF0000"/>
              </w:rPr>
              <w:t>Negative $27.3 million</w:t>
            </w:r>
          </w:p>
          <w:p w:rsidR="00026084" w:rsidRDefault="00026084">
            <w:r>
              <w:t>Positive $61.2 million</w:t>
            </w:r>
          </w:p>
          <w:p w:rsidR="00026084" w:rsidRDefault="00026084">
            <w:r>
              <w:t>Positive $4.4 million</w:t>
            </w:r>
          </w:p>
        </w:tc>
      </w:tr>
    </w:tbl>
    <w:p w:rsidR="00026084" w:rsidRPr="009B44DB" w:rsidRDefault="00026084">
      <w:pPr>
        <w:rPr>
          <w:i/>
        </w:rPr>
      </w:pPr>
      <w:r w:rsidRPr="009B44DB">
        <w:rPr>
          <w:i/>
          <w:sz w:val="20"/>
        </w:rPr>
        <w:t>Table 4: Net Financial Positions when road Formation and other non-depreciable items are removed from the analysis</w:t>
      </w:r>
    </w:p>
    <w:p w:rsidR="003E1D1B" w:rsidRDefault="00FD3A27" w:rsidP="00056066">
      <w:r>
        <w:t xml:space="preserve">The net financial position after adjustment for differences in </w:t>
      </w:r>
      <w:r w:rsidRPr="00730EE4">
        <w:t>DRV÷RV</w:t>
      </w:r>
      <w:r>
        <w:t xml:space="preserve"> values calculated by AECOM are not the same as quoted on Table 4 because the AECOM calculations did not take </w:t>
      </w:r>
      <w:r w:rsidR="008D55D8">
        <w:t>the effect of the $133 million of non-depreciable items that have been included with the HBRC flood control assets.</w:t>
      </w:r>
    </w:p>
    <w:p w:rsidR="000936A3" w:rsidRDefault="000936A3" w:rsidP="00056066">
      <w:r>
        <w:t>AECOM has confirmed the methodology used by LGC is incorrect and formation and other non-depreciable items must be removed as it distorts the net financial position of each Council.</w:t>
      </w:r>
    </w:p>
    <w:sectPr w:rsidR="000936A3" w:rsidSect="0005606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10E"/>
    <w:multiLevelType w:val="multilevel"/>
    <w:tmpl w:val="7EE0FBD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7A56CF5"/>
    <w:multiLevelType w:val="hybridMultilevel"/>
    <w:tmpl w:val="5F9C6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C2447D5"/>
    <w:multiLevelType w:val="hybridMultilevel"/>
    <w:tmpl w:val="CE1A4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BBF68D7"/>
    <w:multiLevelType w:val="hybridMultilevel"/>
    <w:tmpl w:val="0928C0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41"/>
    <w:rsid w:val="00026084"/>
    <w:rsid w:val="00056066"/>
    <w:rsid w:val="000936A3"/>
    <w:rsid w:val="000B5BEF"/>
    <w:rsid w:val="000D4391"/>
    <w:rsid w:val="00125DD2"/>
    <w:rsid w:val="0014317C"/>
    <w:rsid w:val="0018108A"/>
    <w:rsid w:val="001C2B30"/>
    <w:rsid w:val="00204EB2"/>
    <w:rsid w:val="0023128B"/>
    <w:rsid w:val="00241847"/>
    <w:rsid w:val="00293824"/>
    <w:rsid w:val="002F667C"/>
    <w:rsid w:val="003409F6"/>
    <w:rsid w:val="003E1D1B"/>
    <w:rsid w:val="00522C6E"/>
    <w:rsid w:val="00556F61"/>
    <w:rsid w:val="005A070B"/>
    <w:rsid w:val="00606F24"/>
    <w:rsid w:val="006A2369"/>
    <w:rsid w:val="006D4B54"/>
    <w:rsid w:val="00730EE4"/>
    <w:rsid w:val="00753273"/>
    <w:rsid w:val="007D7021"/>
    <w:rsid w:val="00860DBE"/>
    <w:rsid w:val="00877250"/>
    <w:rsid w:val="008D55D8"/>
    <w:rsid w:val="008E3D47"/>
    <w:rsid w:val="00917D3C"/>
    <w:rsid w:val="009B44DB"/>
    <w:rsid w:val="009B7341"/>
    <w:rsid w:val="00A073F7"/>
    <w:rsid w:val="00A33427"/>
    <w:rsid w:val="00A56A51"/>
    <w:rsid w:val="00B043A8"/>
    <w:rsid w:val="00B15194"/>
    <w:rsid w:val="00B97262"/>
    <w:rsid w:val="00BD3BA1"/>
    <w:rsid w:val="00C94FD1"/>
    <w:rsid w:val="00CB3DBE"/>
    <w:rsid w:val="00CD2AF5"/>
    <w:rsid w:val="00CF1A71"/>
    <w:rsid w:val="00DE65D4"/>
    <w:rsid w:val="00E1219C"/>
    <w:rsid w:val="00E8206D"/>
    <w:rsid w:val="00EB6DC6"/>
    <w:rsid w:val="00EC4D13"/>
    <w:rsid w:val="00EE5F66"/>
    <w:rsid w:val="00F123F6"/>
    <w:rsid w:val="00F56D47"/>
    <w:rsid w:val="00FD3A27"/>
    <w:rsid w:val="00FF39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A1"/>
    <w:pPr>
      <w:spacing w:after="120" w:line="240" w:lineRule="auto"/>
    </w:pPr>
  </w:style>
  <w:style w:type="paragraph" w:styleId="Heading1">
    <w:name w:val="heading 1"/>
    <w:basedOn w:val="Normal"/>
    <w:next w:val="Normal"/>
    <w:link w:val="Heading1Char"/>
    <w:uiPriority w:val="9"/>
    <w:qFormat/>
    <w:rsid w:val="007D702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702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7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70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02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B7341"/>
    <w:pPr>
      <w:ind w:left="720"/>
      <w:contextualSpacing/>
    </w:pPr>
  </w:style>
  <w:style w:type="paragraph" w:styleId="BalloonText">
    <w:name w:val="Balloon Text"/>
    <w:basedOn w:val="Normal"/>
    <w:link w:val="BalloonTextChar"/>
    <w:uiPriority w:val="99"/>
    <w:semiHidden/>
    <w:unhideWhenUsed/>
    <w:rsid w:val="00E82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6D"/>
    <w:rPr>
      <w:rFonts w:ascii="Tahoma" w:hAnsi="Tahoma" w:cs="Tahoma"/>
      <w:sz w:val="16"/>
      <w:szCs w:val="16"/>
    </w:rPr>
  </w:style>
  <w:style w:type="paragraph" w:styleId="NoSpacing">
    <w:name w:val="No Spacing"/>
    <w:uiPriority w:val="1"/>
    <w:qFormat/>
    <w:rsid w:val="003409F6"/>
    <w:pPr>
      <w:spacing w:after="0" w:line="240" w:lineRule="auto"/>
    </w:pPr>
    <w:rPr>
      <w:rFonts w:eastAsiaTheme="minorEastAsia"/>
      <w:lang w:eastAsia="en-NZ"/>
    </w:rPr>
  </w:style>
  <w:style w:type="character" w:styleId="Emphasis">
    <w:name w:val="Emphasis"/>
    <w:basedOn w:val="DefaultParagraphFont"/>
    <w:rsid w:val="003409F6"/>
    <w:rPr>
      <w:i/>
      <w:iCs/>
    </w:rPr>
  </w:style>
  <w:style w:type="character" w:styleId="Hyperlink">
    <w:name w:val="Hyperlink"/>
    <w:basedOn w:val="DefaultParagraphFont"/>
    <w:uiPriority w:val="99"/>
    <w:unhideWhenUsed/>
    <w:rsid w:val="00A073F7"/>
    <w:rPr>
      <w:color w:val="0000FF" w:themeColor="hyperlink"/>
      <w:u w:val="single"/>
    </w:rPr>
  </w:style>
  <w:style w:type="character" w:styleId="FollowedHyperlink">
    <w:name w:val="FollowedHyperlink"/>
    <w:basedOn w:val="DefaultParagraphFont"/>
    <w:uiPriority w:val="99"/>
    <w:semiHidden/>
    <w:unhideWhenUsed/>
    <w:rsid w:val="00A073F7"/>
    <w:rPr>
      <w:color w:val="800080" w:themeColor="followedHyperlink"/>
      <w:u w:val="single"/>
    </w:rPr>
  </w:style>
  <w:style w:type="table" w:styleId="TableGrid">
    <w:name w:val="Table Grid"/>
    <w:basedOn w:val="TableNormal"/>
    <w:uiPriority w:val="59"/>
    <w:rsid w:val="00556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A1"/>
    <w:pPr>
      <w:spacing w:after="120" w:line="240" w:lineRule="auto"/>
    </w:pPr>
  </w:style>
  <w:style w:type="paragraph" w:styleId="Heading1">
    <w:name w:val="heading 1"/>
    <w:basedOn w:val="Normal"/>
    <w:next w:val="Normal"/>
    <w:link w:val="Heading1Char"/>
    <w:uiPriority w:val="9"/>
    <w:qFormat/>
    <w:rsid w:val="007D702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702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7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70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02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B7341"/>
    <w:pPr>
      <w:ind w:left="720"/>
      <w:contextualSpacing/>
    </w:pPr>
  </w:style>
  <w:style w:type="paragraph" w:styleId="BalloonText">
    <w:name w:val="Balloon Text"/>
    <w:basedOn w:val="Normal"/>
    <w:link w:val="BalloonTextChar"/>
    <w:uiPriority w:val="99"/>
    <w:semiHidden/>
    <w:unhideWhenUsed/>
    <w:rsid w:val="00E82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6D"/>
    <w:rPr>
      <w:rFonts w:ascii="Tahoma" w:hAnsi="Tahoma" w:cs="Tahoma"/>
      <w:sz w:val="16"/>
      <w:szCs w:val="16"/>
    </w:rPr>
  </w:style>
  <w:style w:type="paragraph" w:styleId="NoSpacing">
    <w:name w:val="No Spacing"/>
    <w:uiPriority w:val="1"/>
    <w:qFormat/>
    <w:rsid w:val="003409F6"/>
    <w:pPr>
      <w:spacing w:after="0" w:line="240" w:lineRule="auto"/>
    </w:pPr>
    <w:rPr>
      <w:rFonts w:eastAsiaTheme="minorEastAsia"/>
      <w:lang w:eastAsia="en-NZ"/>
    </w:rPr>
  </w:style>
  <w:style w:type="character" w:styleId="Emphasis">
    <w:name w:val="Emphasis"/>
    <w:basedOn w:val="DefaultParagraphFont"/>
    <w:rsid w:val="003409F6"/>
    <w:rPr>
      <w:i/>
      <w:iCs/>
    </w:rPr>
  </w:style>
  <w:style w:type="character" w:styleId="Hyperlink">
    <w:name w:val="Hyperlink"/>
    <w:basedOn w:val="DefaultParagraphFont"/>
    <w:uiPriority w:val="99"/>
    <w:unhideWhenUsed/>
    <w:rsid w:val="00A073F7"/>
    <w:rPr>
      <w:color w:val="0000FF" w:themeColor="hyperlink"/>
      <w:u w:val="single"/>
    </w:rPr>
  </w:style>
  <w:style w:type="character" w:styleId="FollowedHyperlink">
    <w:name w:val="FollowedHyperlink"/>
    <w:basedOn w:val="DefaultParagraphFont"/>
    <w:uiPriority w:val="99"/>
    <w:semiHidden/>
    <w:unhideWhenUsed/>
    <w:rsid w:val="00A073F7"/>
    <w:rPr>
      <w:color w:val="800080" w:themeColor="followedHyperlink"/>
      <w:u w:val="single"/>
    </w:rPr>
  </w:style>
  <w:style w:type="table" w:styleId="TableGrid">
    <w:name w:val="Table Grid"/>
    <w:basedOn w:val="TableNormal"/>
    <w:uiPriority w:val="59"/>
    <w:rsid w:val="00556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98459">
      <w:bodyDiv w:val="1"/>
      <w:marLeft w:val="0"/>
      <w:marRight w:val="0"/>
      <w:marTop w:val="0"/>
      <w:marBottom w:val="0"/>
      <w:divBdr>
        <w:top w:val="none" w:sz="0" w:space="0" w:color="auto"/>
        <w:left w:val="none" w:sz="0" w:space="0" w:color="auto"/>
        <w:bottom w:val="none" w:sz="0" w:space="0" w:color="auto"/>
        <w:right w:val="none" w:sz="0" w:space="0" w:color="auto"/>
      </w:divBdr>
    </w:div>
    <w:div w:id="706299627">
      <w:bodyDiv w:val="1"/>
      <w:marLeft w:val="0"/>
      <w:marRight w:val="0"/>
      <w:marTop w:val="0"/>
      <w:marBottom w:val="0"/>
      <w:divBdr>
        <w:top w:val="none" w:sz="0" w:space="0" w:color="auto"/>
        <w:left w:val="none" w:sz="0" w:space="0" w:color="auto"/>
        <w:bottom w:val="none" w:sz="0" w:space="0" w:color="auto"/>
        <w:right w:val="none" w:sz="0" w:space="0" w:color="auto"/>
      </w:divBdr>
    </w:div>
    <w:div w:id="1271283353">
      <w:bodyDiv w:val="1"/>
      <w:marLeft w:val="0"/>
      <w:marRight w:val="0"/>
      <w:marTop w:val="0"/>
      <w:marBottom w:val="0"/>
      <w:divBdr>
        <w:top w:val="none" w:sz="0" w:space="0" w:color="auto"/>
        <w:left w:val="none" w:sz="0" w:space="0" w:color="auto"/>
        <w:bottom w:val="none" w:sz="0" w:space="0" w:color="auto"/>
        <w:right w:val="none" w:sz="0" w:space="0" w:color="auto"/>
      </w:divBdr>
    </w:div>
    <w:div w:id="1596746307">
      <w:bodyDiv w:val="1"/>
      <w:marLeft w:val="0"/>
      <w:marRight w:val="0"/>
      <w:marTop w:val="0"/>
      <w:marBottom w:val="0"/>
      <w:divBdr>
        <w:top w:val="none" w:sz="0" w:space="0" w:color="auto"/>
        <w:left w:val="none" w:sz="0" w:space="0" w:color="auto"/>
        <w:bottom w:val="none" w:sz="0" w:space="0" w:color="auto"/>
        <w:right w:val="none" w:sz="0" w:space="0" w:color="auto"/>
      </w:divBdr>
    </w:div>
    <w:div w:id="1941059274">
      <w:bodyDiv w:val="1"/>
      <w:marLeft w:val="0"/>
      <w:marRight w:val="0"/>
      <w:marTop w:val="0"/>
      <w:marBottom w:val="0"/>
      <w:divBdr>
        <w:top w:val="none" w:sz="0" w:space="0" w:color="auto"/>
        <w:left w:val="none" w:sz="0" w:space="0" w:color="auto"/>
        <w:bottom w:val="none" w:sz="0" w:space="0" w:color="auto"/>
        <w:right w:val="none" w:sz="0" w:space="0" w:color="auto"/>
      </w:divBdr>
    </w:div>
    <w:div w:id="1944724468">
      <w:bodyDiv w:val="1"/>
      <w:marLeft w:val="0"/>
      <w:marRight w:val="0"/>
      <w:marTop w:val="0"/>
      <w:marBottom w:val="0"/>
      <w:divBdr>
        <w:top w:val="none" w:sz="0" w:space="0" w:color="auto"/>
        <w:left w:val="none" w:sz="0" w:space="0" w:color="auto"/>
        <w:bottom w:val="none" w:sz="0" w:space="0" w:color="auto"/>
        <w:right w:val="none" w:sz="0" w:space="0" w:color="auto"/>
      </w:divBdr>
    </w:div>
    <w:div w:id="2095855930">
      <w:bodyDiv w:val="1"/>
      <w:marLeft w:val="0"/>
      <w:marRight w:val="0"/>
      <w:marTop w:val="0"/>
      <w:marBottom w:val="0"/>
      <w:divBdr>
        <w:top w:val="none" w:sz="0" w:space="0" w:color="auto"/>
        <w:left w:val="none" w:sz="0" w:space="0" w:color="auto"/>
        <w:bottom w:val="none" w:sz="0" w:space="0" w:color="auto"/>
        <w:right w:val="none" w:sz="0" w:space="0" w:color="auto"/>
      </w:divBdr>
    </w:div>
    <w:div w:id="21150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lgc.govt.nz/assets/Hawkes-Bay-27-Feb-2015/MWH-Asset-Management-Activities-Hawkes-Bay-Region-Local-Authorities-finalreport-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1F09-2C5B-4C67-8F8C-8EE51CDC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Ehlers</dc:creator>
  <cp:lastModifiedBy>Robyn McLean</cp:lastModifiedBy>
  <cp:revision>9</cp:revision>
  <cp:lastPrinted>2015-03-10T23:34:00Z</cp:lastPrinted>
  <dcterms:created xsi:type="dcterms:W3CDTF">2015-03-10T23:34:00Z</dcterms:created>
  <dcterms:modified xsi:type="dcterms:W3CDTF">2015-03-11T00:49:00Z</dcterms:modified>
</cp:coreProperties>
</file>