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7D" w:rsidRPr="00A561FE" w:rsidRDefault="008D397D" w:rsidP="00B85339">
      <w:pPr>
        <w:jc w:val="both"/>
        <w:rPr>
          <w:rFonts w:ascii="Calibri" w:hAnsi="Calibri" w:cstheme="minorHAnsi"/>
          <w:b/>
          <w:bCs/>
          <w:sz w:val="22"/>
          <w:szCs w:val="22"/>
        </w:rPr>
      </w:pPr>
      <w:r w:rsidRPr="00A561FE">
        <w:rPr>
          <w:rFonts w:ascii="Calibri" w:hAnsi="Calibri" w:cstheme="minorHAnsi"/>
          <w:b/>
          <w:bCs/>
          <w:noProof/>
          <w:sz w:val="22"/>
          <w:szCs w:val="22"/>
          <w:highlight w:val="yellow"/>
          <w:lang w:eastAsia="en-NZ"/>
        </w:rPr>
        <w:drawing>
          <wp:anchor distT="0" distB="0" distL="114300" distR="114300" simplePos="0" relativeHeight="251666432" behindDoc="1" locked="0" layoutInCell="1" allowOverlap="1" wp14:anchorId="5EA1ECBC" wp14:editId="0503D95E">
            <wp:simplePos x="0" y="0"/>
            <wp:positionH relativeFrom="column">
              <wp:posOffset>3608070</wp:posOffset>
            </wp:positionH>
            <wp:positionV relativeFrom="paragraph">
              <wp:posOffset>-120650</wp:posOffset>
            </wp:positionV>
            <wp:extent cx="2609850" cy="517525"/>
            <wp:effectExtent l="0" t="0" r="0" b="0"/>
            <wp:wrapNone/>
            <wp:docPr id="2" name="Picture 2" descr="property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ty 2010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17525"/>
                    </a:xfrm>
                    <a:prstGeom prst="rect">
                      <a:avLst/>
                    </a:prstGeom>
                    <a:noFill/>
                  </pic:spPr>
                </pic:pic>
              </a:graphicData>
            </a:graphic>
            <wp14:sizeRelH relativeFrom="page">
              <wp14:pctWidth>0</wp14:pctWidth>
            </wp14:sizeRelH>
            <wp14:sizeRelV relativeFrom="page">
              <wp14:pctHeight>0</wp14:pctHeight>
            </wp14:sizeRelV>
          </wp:anchor>
        </w:drawing>
      </w:r>
      <w:r w:rsidRPr="00A561FE">
        <w:rPr>
          <w:rFonts w:ascii="Calibri" w:hAnsi="Calibri" w:cstheme="minorHAnsi"/>
          <w:b/>
          <w:bCs/>
          <w:sz w:val="22"/>
          <w:szCs w:val="22"/>
        </w:rPr>
        <w:t xml:space="preserve">Media Release </w:t>
      </w:r>
    </w:p>
    <w:p w:rsidR="008D397D" w:rsidRPr="00A561FE" w:rsidRDefault="000C2235" w:rsidP="00D7614A">
      <w:pPr>
        <w:jc w:val="both"/>
        <w:rPr>
          <w:rFonts w:ascii="Calibri" w:hAnsi="Calibri" w:cstheme="minorHAnsi"/>
          <w:b/>
          <w:bCs/>
          <w:sz w:val="22"/>
          <w:szCs w:val="22"/>
        </w:rPr>
      </w:pPr>
      <w:r>
        <w:rPr>
          <w:rFonts w:ascii="Calibri" w:hAnsi="Calibri" w:cstheme="minorHAnsi"/>
          <w:b/>
          <w:bCs/>
          <w:sz w:val="22"/>
          <w:szCs w:val="22"/>
        </w:rPr>
        <w:t>2</w:t>
      </w:r>
      <w:r w:rsidR="00AE19E5" w:rsidRPr="00A561FE">
        <w:rPr>
          <w:rFonts w:ascii="Calibri" w:hAnsi="Calibri" w:cstheme="minorHAnsi"/>
          <w:b/>
          <w:bCs/>
          <w:sz w:val="22"/>
          <w:szCs w:val="22"/>
        </w:rPr>
        <w:t xml:space="preserve"> December</w:t>
      </w:r>
      <w:r w:rsidR="008D397D" w:rsidRPr="00A561FE">
        <w:rPr>
          <w:rFonts w:ascii="Calibri" w:hAnsi="Calibri" w:cstheme="minorHAnsi"/>
          <w:b/>
          <w:bCs/>
          <w:sz w:val="22"/>
          <w:szCs w:val="22"/>
        </w:rPr>
        <w:t xml:space="preserve"> 2014</w:t>
      </w:r>
    </w:p>
    <w:p w:rsidR="008D397D" w:rsidRPr="00A561FE" w:rsidRDefault="008D397D" w:rsidP="00B85339">
      <w:pPr>
        <w:pStyle w:val="Body"/>
        <w:jc w:val="both"/>
        <w:rPr>
          <w:rFonts w:ascii="Calibri" w:hAnsi="Calibri"/>
          <w:lang w:val="en-NZ"/>
        </w:rPr>
      </w:pPr>
    </w:p>
    <w:p w:rsidR="008D397D" w:rsidRPr="00A561FE" w:rsidRDefault="008D397D" w:rsidP="00B85339">
      <w:pPr>
        <w:pStyle w:val="Body"/>
        <w:jc w:val="both"/>
        <w:rPr>
          <w:rFonts w:ascii="Calibri" w:hAnsi="Calibri"/>
          <w:lang w:val="en-NZ"/>
        </w:rPr>
      </w:pPr>
    </w:p>
    <w:p w:rsidR="008D397D" w:rsidRPr="009D1230" w:rsidRDefault="000C2235" w:rsidP="00571DBD">
      <w:pPr>
        <w:pStyle w:val="Body"/>
        <w:jc w:val="center"/>
        <w:rPr>
          <w:rFonts w:ascii="Calibri" w:hAnsi="Calibri"/>
          <w:b/>
          <w:color w:val="000000" w:themeColor="text1"/>
          <w:sz w:val="36"/>
          <w:szCs w:val="36"/>
          <w:lang w:val="en-NZ"/>
        </w:rPr>
      </w:pPr>
      <w:r w:rsidRPr="009D1230">
        <w:rPr>
          <w:rFonts w:ascii="Calibri" w:hAnsi="Calibri"/>
          <w:b/>
          <w:color w:val="000000" w:themeColor="text1"/>
          <w:sz w:val="36"/>
          <w:szCs w:val="36"/>
          <w:lang w:val="en-NZ"/>
        </w:rPr>
        <w:t xml:space="preserve">Asking prices bust through the </w:t>
      </w:r>
      <w:r w:rsidR="000334A4" w:rsidRPr="009D1230">
        <w:rPr>
          <w:rFonts w:ascii="Calibri" w:hAnsi="Calibri"/>
          <w:b/>
          <w:color w:val="000000" w:themeColor="text1"/>
          <w:sz w:val="36"/>
          <w:szCs w:val="36"/>
          <w:lang w:val="en-NZ"/>
        </w:rPr>
        <w:t xml:space="preserve">$500,000 </w:t>
      </w:r>
      <w:r w:rsidRPr="009D1230">
        <w:rPr>
          <w:rFonts w:ascii="Calibri" w:hAnsi="Calibri"/>
          <w:b/>
          <w:color w:val="000000" w:themeColor="text1"/>
          <w:sz w:val="36"/>
          <w:szCs w:val="36"/>
          <w:lang w:val="en-NZ"/>
        </w:rPr>
        <w:t>barrier</w:t>
      </w:r>
    </w:p>
    <w:p w:rsidR="00D7614A" w:rsidRPr="00A561FE" w:rsidRDefault="00D7614A" w:rsidP="00B85339">
      <w:pPr>
        <w:pStyle w:val="Body"/>
        <w:jc w:val="both"/>
        <w:rPr>
          <w:rFonts w:ascii="Calibri" w:hAnsi="Calibri"/>
          <w:lang w:val="en-NZ"/>
        </w:rPr>
      </w:pPr>
    </w:p>
    <w:p w:rsidR="008D397D" w:rsidRPr="00A561FE" w:rsidRDefault="000334A4" w:rsidP="00B85339">
      <w:pPr>
        <w:pStyle w:val="Body"/>
        <w:jc w:val="both"/>
        <w:rPr>
          <w:rFonts w:ascii="Calibri" w:hAnsi="Calibri"/>
          <w:lang w:val="en-NZ"/>
        </w:rPr>
      </w:pPr>
      <w:r w:rsidRPr="00A561FE">
        <w:rPr>
          <w:rFonts w:ascii="Calibri" w:hAnsi="Calibri"/>
          <w:lang w:val="en-NZ"/>
        </w:rPr>
        <w:t xml:space="preserve">The average asking price of a </w:t>
      </w:r>
      <w:r w:rsidR="00226C44" w:rsidRPr="00A561FE">
        <w:rPr>
          <w:rFonts w:ascii="Calibri" w:hAnsi="Calibri"/>
          <w:lang w:val="en-NZ"/>
        </w:rPr>
        <w:t xml:space="preserve">property </w:t>
      </w:r>
      <w:r w:rsidRPr="00A561FE">
        <w:rPr>
          <w:rFonts w:ascii="Calibri" w:hAnsi="Calibri"/>
          <w:lang w:val="en-NZ"/>
        </w:rPr>
        <w:t xml:space="preserve">for sale in New Zealand broke through </w:t>
      </w:r>
      <w:r w:rsidR="00FD0B21" w:rsidRPr="00A561FE">
        <w:rPr>
          <w:rFonts w:ascii="Calibri" w:hAnsi="Calibri"/>
          <w:lang w:val="en-NZ"/>
        </w:rPr>
        <w:t xml:space="preserve">the $500,000 </w:t>
      </w:r>
      <w:r w:rsidRPr="00A561FE">
        <w:rPr>
          <w:rFonts w:ascii="Calibri" w:hAnsi="Calibri"/>
          <w:lang w:val="en-NZ"/>
        </w:rPr>
        <w:t xml:space="preserve">barrier </w:t>
      </w:r>
      <w:r w:rsidR="00FD0B21" w:rsidRPr="00A561FE">
        <w:rPr>
          <w:rFonts w:ascii="Calibri" w:hAnsi="Calibri"/>
          <w:lang w:val="en-NZ"/>
        </w:rPr>
        <w:t xml:space="preserve">for the first time </w:t>
      </w:r>
      <w:r w:rsidRPr="00A561FE">
        <w:rPr>
          <w:rFonts w:ascii="Calibri" w:hAnsi="Calibri"/>
          <w:lang w:val="en-NZ"/>
        </w:rPr>
        <w:t xml:space="preserve">in November, </w:t>
      </w:r>
      <w:r w:rsidR="00FD0B21" w:rsidRPr="00A561FE">
        <w:rPr>
          <w:rFonts w:ascii="Calibri" w:hAnsi="Calibri"/>
          <w:lang w:val="en-NZ"/>
        </w:rPr>
        <w:t>as the Trade Me Property Price Index r</w:t>
      </w:r>
      <w:r w:rsidRPr="00A561FE">
        <w:rPr>
          <w:rFonts w:ascii="Calibri" w:hAnsi="Calibri"/>
          <w:lang w:val="en-NZ"/>
        </w:rPr>
        <w:t xml:space="preserve">ose </w:t>
      </w:r>
      <w:r w:rsidR="00FD0B21" w:rsidRPr="00A561FE">
        <w:rPr>
          <w:rFonts w:ascii="Calibri" w:hAnsi="Calibri"/>
          <w:lang w:val="en-NZ"/>
        </w:rPr>
        <w:t xml:space="preserve">2.3 </w:t>
      </w:r>
      <w:r w:rsidRPr="00A561FE">
        <w:rPr>
          <w:rFonts w:ascii="Calibri" w:hAnsi="Calibri"/>
          <w:lang w:val="en-NZ"/>
        </w:rPr>
        <w:t>per cent</w:t>
      </w:r>
      <w:r w:rsidR="008D397D" w:rsidRPr="00A561FE">
        <w:rPr>
          <w:rFonts w:ascii="Calibri" w:hAnsi="Calibri"/>
          <w:lang w:val="en-NZ"/>
        </w:rPr>
        <w:t>.</w:t>
      </w:r>
    </w:p>
    <w:p w:rsidR="00EC4346" w:rsidRPr="00A561FE" w:rsidRDefault="00EC4346" w:rsidP="00B85339">
      <w:pPr>
        <w:pStyle w:val="Body"/>
        <w:jc w:val="both"/>
        <w:rPr>
          <w:rFonts w:ascii="Calibri" w:hAnsi="Calibri"/>
          <w:lang w:val="en-NZ"/>
        </w:rPr>
      </w:pPr>
    </w:p>
    <w:p w:rsidR="00EC4346" w:rsidRPr="00A561FE" w:rsidRDefault="00EC4346" w:rsidP="00EC4346">
      <w:pPr>
        <w:pStyle w:val="Body"/>
        <w:jc w:val="both"/>
        <w:rPr>
          <w:rFonts w:ascii="Calibri" w:hAnsi="Calibri"/>
          <w:lang w:val="en-NZ"/>
        </w:rPr>
      </w:pPr>
      <w:r w:rsidRPr="00A561FE">
        <w:rPr>
          <w:rFonts w:ascii="Calibri" w:hAnsi="Calibri"/>
          <w:lang w:val="en-NZ"/>
        </w:rPr>
        <w:t>The Property Price Index measures trends in asking prices for residential property listings added to Trade Me Property by real estate agents and private sellers over the previous three months. It provides buyers, sellers and realtors with insights into ‘for sale’ price trends by property type and property size.</w:t>
      </w:r>
    </w:p>
    <w:p w:rsidR="008D397D" w:rsidRPr="00A561FE" w:rsidRDefault="008D397D" w:rsidP="00B85339">
      <w:pPr>
        <w:pStyle w:val="Body"/>
        <w:jc w:val="both"/>
        <w:rPr>
          <w:rFonts w:ascii="Calibri" w:hAnsi="Calibri"/>
          <w:lang w:val="en-NZ"/>
        </w:rPr>
      </w:pPr>
    </w:p>
    <w:p w:rsidR="00571DBD" w:rsidRDefault="008D397D" w:rsidP="00B85339">
      <w:pPr>
        <w:pStyle w:val="Body"/>
        <w:jc w:val="both"/>
        <w:rPr>
          <w:rFonts w:ascii="Calibri" w:hAnsi="Calibri"/>
          <w:lang w:val="en-NZ"/>
        </w:rPr>
      </w:pPr>
      <w:r w:rsidRPr="00A561FE">
        <w:rPr>
          <w:rFonts w:ascii="Calibri" w:hAnsi="Calibri"/>
          <w:lang w:val="en-NZ"/>
        </w:rPr>
        <w:t xml:space="preserve">Head of Trade Me Property Nigel Jeffries said </w:t>
      </w:r>
      <w:r w:rsidR="000334A4" w:rsidRPr="00A561FE">
        <w:rPr>
          <w:rFonts w:ascii="Calibri" w:hAnsi="Calibri"/>
          <w:lang w:val="en-NZ"/>
        </w:rPr>
        <w:t xml:space="preserve">the </w:t>
      </w:r>
      <w:r w:rsidR="00F4255F" w:rsidRPr="00A561FE">
        <w:rPr>
          <w:rFonts w:ascii="Calibri" w:hAnsi="Calibri"/>
          <w:lang w:val="en-NZ"/>
        </w:rPr>
        <w:t xml:space="preserve">new record high in </w:t>
      </w:r>
      <w:r w:rsidR="00911F83" w:rsidRPr="00A561FE">
        <w:rPr>
          <w:rFonts w:ascii="Calibri" w:hAnsi="Calibri"/>
          <w:lang w:val="en-NZ"/>
        </w:rPr>
        <w:t xml:space="preserve">asking price </w:t>
      </w:r>
      <w:r w:rsidR="000334A4" w:rsidRPr="00A561FE">
        <w:rPr>
          <w:rFonts w:ascii="Calibri" w:hAnsi="Calibri"/>
          <w:lang w:val="en-NZ"/>
        </w:rPr>
        <w:t>signal</w:t>
      </w:r>
      <w:r w:rsidR="000334A4">
        <w:rPr>
          <w:rFonts w:ascii="Calibri" w:hAnsi="Calibri"/>
          <w:lang w:val="en-NZ"/>
        </w:rPr>
        <w:t>l</w:t>
      </w:r>
      <w:r w:rsidR="000334A4" w:rsidRPr="00A561FE">
        <w:rPr>
          <w:rFonts w:ascii="Calibri" w:hAnsi="Calibri"/>
          <w:lang w:val="en-NZ"/>
        </w:rPr>
        <w:t xml:space="preserve">ed </w:t>
      </w:r>
      <w:r w:rsidR="00A0723D">
        <w:rPr>
          <w:rFonts w:ascii="Calibri" w:hAnsi="Calibri"/>
          <w:lang w:val="en-NZ"/>
        </w:rPr>
        <w:t xml:space="preserve">ongoing </w:t>
      </w:r>
      <w:r w:rsidR="00F4255F" w:rsidRPr="00A561FE">
        <w:rPr>
          <w:rFonts w:ascii="Calibri" w:hAnsi="Calibri"/>
          <w:lang w:val="en-NZ"/>
        </w:rPr>
        <w:t xml:space="preserve">confidence </w:t>
      </w:r>
      <w:r w:rsidR="000334A4">
        <w:rPr>
          <w:rFonts w:ascii="Calibri" w:hAnsi="Calibri"/>
          <w:lang w:val="en-NZ"/>
        </w:rPr>
        <w:t>in the property market from sellers</w:t>
      </w:r>
      <w:r w:rsidR="00F4255F" w:rsidRPr="00A561FE">
        <w:rPr>
          <w:rFonts w:ascii="Calibri" w:hAnsi="Calibri"/>
          <w:lang w:val="en-NZ"/>
        </w:rPr>
        <w:t>.</w:t>
      </w:r>
      <w:r w:rsidR="00EC4346" w:rsidRPr="00A561FE">
        <w:rPr>
          <w:rFonts w:ascii="Calibri" w:hAnsi="Calibri"/>
          <w:lang w:val="en-NZ"/>
        </w:rPr>
        <w:t xml:space="preserve"> “T</w:t>
      </w:r>
      <w:r w:rsidR="00226C44" w:rsidRPr="00A561FE">
        <w:rPr>
          <w:rFonts w:ascii="Calibri" w:hAnsi="Calibri"/>
          <w:lang w:val="en-NZ"/>
        </w:rPr>
        <w:t xml:space="preserve">he </w:t>
      </w:r>
      <w:r w:rsidR="000334A4">
        <w:rPr>
          <w:rFonts w:ascii="Calibri" w:hAnsi="Calibri"/>
          <w:lang w:val="en-NZ"/>
        </w:rPr>
        <w:t xml:space="preserve">November </w:t>
      </w:r>
      <w:r w:rsidR="00A033A8">
        <w:rPr>
          <w:rFonts w:ascii="Calibri" w:hAnsi="Calibri"/>
          <w:lang w:val="en-NZ"/>
        </w:rPr>
        <w:t>data</w:t>
      </w:r>
      <w:r w:rsidR="000334A4">
        <w:rPr>
          <w:rFonts w:ascii="Calibri" w:hAnsi="Calibri"/>
          <w:lang w:val="en-NZ"/>
        </w:rPr>
        <w:t xml:space="preserve"> echo</w:t>
      </w:r>
      <w:r w:rsidR="00A033A8">
        <w:rPr>
          <w:rFonts w:ascii="Calibri" w:hAnsi="Calibri"/>
          <w:lang w:val="en-NZ"/>
        </w:rPr>
        <w:t>es</w:t>
      </w:r>
      <w:r w:rsidR="000334A4">
        <w:rPr>
          <w:rFonts w:ascii="Calibri" w:hAnsi="Calibri"/>
          <w:lang w:val="en-NZ"/>
        </w:rPr>
        <w:t xml:space="preserve"> the </w:t>
      </w:r>
      <w:r w:rsidR="00A033A8">
        <w:rPr>
          <w:rFonts w:ascii="Calibri" w:hAnsi="Calibri"/>
          <w:lang w:val="en-NZ"/>
        </w:rPr>
        <w:t xml:space="preserve">lift we saw in October, meaning </w:t>
      </w:r>
      <w:r w:rsidR="00A0723D">
        <w:rPr>
          <w:rFonts w:ascii="Calibri" w:hAnsi="Calibri"/>
          <w:lang w:val="en-NZ"/>
        </w:rPr>
        <w:t xml:space="preserve">sellers have </w:t>
      </w:r>
      <w:r w:rsidR="00A033A8">
        <w:rPr>
          <w:rFonts w:ascii="Calibri" w:hAnsi="Calibri"/>
          <w:lang w:val="en-NZ"/>
        </w:rPr>
        <w:t xml:space="preserve">continued to raise </w:t>
      </w:r>
      <w:r w:rsidR="00A0723D">
        <w:rPr>
          <w:rFonts w:ascii="Calibri" w:hAnsi="Calibri"/>
          <w:lang w:val="en-NZ"/>
        </w:rPr>
        <w:t xml:space="preserve">their </w:t>
      </w:r>
      <w:r w:rsidR="00A033A8">
        <w:rPr>
          <w:rFonts w:ascii="Calibri" w:hAnsi="Calibri"/>
          <w:lang w:val="en-NZ"/>
        </w:rPr>
        <w:t xml:space="preserve">price </w:t>
      </w:r>
      <w:r w:rsidR="00A0723D">
        <w:rPr>
          <w:rFonts w:ascii="Calibri" w:hAnsi="Calibri"/>
          <w:lang w:val="en-NZ"/>
        </w:rPr>
        <w:t>expectations</w:t>
      </w:r>
      <w:r w:rsidR="00A033A8">
        <w:rPr>
          <w:rFonts w:ascii="Calibri" w:hAnsi="Calibri"/>
          <w:lang w:val="en-NZ"/>
        </w:rPr>
        <w:t xml:space="preserve"> to land at </w:t>
      </w:r>
      <w:r w:rsidR="00A0723D">
        <w:rPr>
          <w:rFonts w:ascii="Calibri" w:hAnsi="Calibri"/>
          <w:lang w:val="en-NZ"/>
        </w:rPr>
        <w:t xml:space="preserve">a new high water mark of $509,750. There has been </w:t>
      </w:r>
      <w:r w:rsidR="00F4255F" w:rsidRPr="00A561FE">
        <w:rPr>
          <w:rFonts w:ascii="Calibri" w:hAnsi="Calibri"/>
          <w:lang w:val="en-NZ"/>
        </w:rPr>
        <w:t xml:space="preserve">a </w:t>
      </w:r>
      <w:r w:rsidR="00A033A8">
        <w:rPr>
          <w:rFonts w:ascii="Calibri" w:hAnsi="Calibri"/>
          <w:lang w:val="en-NZ"/>
        </w:rPr>
        <w:t xml:space="preserve">resounding </w:t>
      </w:r>
      <w:r w:rsidR="00F4255F" w:rsidRPr="00A561FE">
        <w:rPr>
          <w:rFonts w:ascii="Calibri" w:hAnsi="Calibri"/>
          <w:lang w:val="en-NZ"/>
        </w:rPr>
        <w:t xml:space="preserve">resurgence in the property market </w:t>
      </w:r>
      <w:r w:rsidR="000334A4">
        <w:rPr>
          <w:rFonts w:ascii="Calibri" w:hAnsi="Calibri"/>
          <w:lang w:val="en-NZ"/>
        </w:rPr>
        <w:t xml:space="preserve">after </w:t>
      </w:r>
      <w:r w:rsidR="009D1230">
        <w:rPr>
          <w:rFonts w:ascii="Calibri" w:hAnsi="Calibri"/>
          <w:lang w:val="en-NZ"/>
        </w:rPr>
        <w:t xml:space="preserve">a </w:t>
      </w:r>
      <w:r w:rsidR="000334A4">
        <w:rPr>
          <w:rFonts w:ascii="Calibri" w:hAnsi="Calibri"/>
          <w:lang w:val="en-NZ"/>
        </w:rPr>
        <w:t xml:space="preserve">pretty subdued </w:t>
      </w:r>
      <w:r w:rsidR="00F4255F" w:rsidRPr="00A561FE">
        <w:rPr>
          <w:rFonts w:ascii="Calibri" w:hAnsi="Calibri"/>
          <w:lang w:val="en-NZ"/>
        </w:rPr>
        <w:t>winter</w:t>
      </w:r>
      <w:r w:rsidR="00A033A8">
        <w:rPr>
          <w:rFonts w:ascii="Calibri" w:hAnsi="Calibri"/>
          <w:lang w:val="en-NZ"/>
        </w:rPr>
        <w:t xml:space="preserve"> and that </w:t>
      </w:r>
      <w:r w:rsidR="009D1230">
        <w:rPr>
          <w:rFonts w:ascii="Calibri" w:hAnsi="Calibri"/>
          <w:lang w:val="en-NZ"/>
        </w:rPr>
        <w:t xml:space="preserve">all adds up to </w:t>
      </w:r>
      <w:r w:rsidR="00A033A8">
        <w:rPr>
          <w:rFonts w:ascii="Calibri" w:hAnsi="Calibri"/>
          <w:lang w:val="en-NZ"/>
        </w:rPr>
        <w:t>good news for sellers and a bitter pill for buyers to swallow</w:t>
      </w:r>
      <w:r w:rsidR="009D6930" w:rsidRPr="00A561FE">
        <w:rPr>
          <w:rFonts w:ascii="Calibri" w:hAnsi="Calibri"/>
          <w:lang w:val="en-NZ"/>
        </w:rPr>
        <w:t xml:space="preserve">. </w:t>
      </w:r>
      <w:r w:rsidR="00571DBD" w:rsidRPr="00A561FE">
        <w:rPr>
          <w:rFonts w:ascii="Calibri" w:hAnsi="Calibri"/>
          <w:lang w:val="en-NZ"/>
        </w:rPr>
        <w:t>”</w:t>
      </w:r>
    </w:p>
    <w:p w:rsidR="00140AB5" w:rsidRDefault="00140AB5" w:rsidP="00140AB5">
      <w:pPr>
        <w:pStyle w:val="Body"/>
        <w:jc w:val="both"/>
        <w:rPr>
          <w:rFonts w:ascii="Calibri" w:hAnsi="Calibri"/>
          <w:lang w:val="en-NZ"/>
        </w:rPr>
      </w:pPr>
    </w:p>
    <w:p w:rsidR="00A033A8" w:rsidRDefault="00C632B7" w:rsidP="00A033A8">
      <w:pPr>
        <w:pStyle w:val="Body"/>
        <w:jc w:val="center"/>
        <w:rPr>
          <w:rFonts w:ascii="Calibri" w:hAnsi="Calibri"/>
          <w:lang w:val="en-NZ"/>
        </w:rPr>
      </w:pPr>
      <w:r>
        <w:rPr>
          <w:noProof/>
          <w:lang w:val="en-NZ" w:eastAsia="en-NZ"/>
        </w:rPr>
        <w:drawing>
          <wp:inline distT="0" distB="0" distL="0" distR="0" wp14:anchorId="33B0B391" wp14:editId="6159FEC1">
            <wp:extent cx="6120130" cy="3066576"/>
            <wp:effectExtent l="0" t="0" r="0" b="635"/>
            <wp:docPr id="3" name="Picture 3" descr="C:\Users\pford\AppData\Local\Microsoft\Windows\Temporary Internet Files\Content.Outlook\WXEGYCHU\02-Monthly-Change-Nov-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ord\AppData\Local\Microsoft\Windows\Temporary Internet Files\Content.Outlook\WXEGYCHU\02-Monthly-Change-Nov-20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066576"/>
                    </a:xfrm>
                    <a:prstGeom prst="rect">
                      <a:avLst/>
                    </a:prstGeom>
                    <a:noFill/>
                    <a:ln>
                      <a:noFill/>
                    </a:ln>
                  </pic:spPr>
                </pic:pic>
              </a:graphicData>
            </a:graphic>
          </wp:inline>
        </w:drawing>
      </w:r>
    </w:p>
    <w:p w:rsidR="00A033A8" w:rsidRDefault="00A033A8" w:rsidP="00140AB5">
      <w:pPr>
        <w:pStyle w:val="Body"/>
        <w:jc w:val="both"/>
        <w:rPr>
          <w:rFonts w:ascii="Calibri" w:hAnsi="Calibri"/>
          <w:lang w:val="en-NZ"/>
        </w:rPr>
      </w:pPr>
    </w:p>
    <w:p w:rsidR="00644355" w:rsidRDefault="00644355" w:rsidP="00140AB5">
      <w:pPr>
        <w:pStyle w:val="Body"/>
        <w:jc w:val="both"/>
        <w:rPr>
          <w:rFonts w:ascii="Calibri" w:hAnsi="Calibri"/>
          <w:lang w:val="en-NZ"/>
        </w:rPr>
      </w:pPr>
    </w:p>
    <w:p w:rsidR="00644355" w:rsidRDefault="00644355" w:rsidP="00140AB5">
      <w:pPr>
        <w:pStyle w:val="Body"/>
        <w:jc w:val="both"/>
        <w:rPr>
          <w:rFonts w:ascii="Calibri" w:hAnsi="Calibri"/>
          <w:lang w:val="en-NZ"/>
        </w:rPr>
      </w:pPr>
    </w:p>
    <w:p w:rsidR="00140AB5" w:rsidRPr="006518CF" w:rsidRDefault="00140AB5" w:rsidP="00140AB5">
      <w:pPr>
        <w:pStyle w:val="Body"/>
        <w:jc w:val="both"/>
        <w:rPr>
          <w:rFonts w:ascii="Calibri" w:hAnsi="Calibri"/>
          <w:lang w:val="en-NZ"/>
        </w:rPr>
      </w:pPr>
      <w:r>
        <w:rPr>
          <w:rFonts w:ascii="Calibri" w:hAnsi="Calibri"/>
          <w:lang w:val="en-NZ"/>
        </w:rPr>
        <w:t xml:space="preserve">Mr Jeffries said the </w:t>
      </w:r>
      <w:r w:rsidRPr="006518CF">
        <w:rPr>
          <w:rFonts w:ascii="Calibri" w:hAnsi="Calibri"/>
          <w:lang w:val="en-NZ"/>
        </w:rPr>
        <w:t xml:space="preserve">average asking price across all property types for the three months to </w:t>
      </w:r>
      <w:r w:rsidR="00AE24CC">
        <w:rPr>
          <w:rFonts w:ascii="Calibri" w:hAnsi="Calibri"/>
          <w:lang w:val="en-NZ"/>
        </w:rPr>
        <w:t>November</w:t>
      </w:r>
      <w:bookmarkStart w:id="0" w:name="_GoBack"/>
      <w:bookmarkEnd w:id="0"/>
      <w:r w:rsidRPr="006518CF">
        <w:rPr>
          <w:rFonts w:ascii="Calibri" w:hAnsi="Calibri"/>
          <w:lang w:val="en-NZ"/>
        </w:rPr>
        <w:t xml:space="preserve"> was </w:t>
      </w:r>
      <w:r>
        <w:rPr>
          <w:rFonts w:ascii="Calibri" w:hAnsi="Calibri"/>
          <w:lang w:val="en-NZ"/>
        </w:rPr>
        <w:t xml:space="preserve">up 13.7 per cent </w:t>
      </w:r>
      <w:r w:rsidRPr="006518CF">
        <w:rPr>
          <w:rFonts w:ascii="Calibri" w:hAnsi="Calibri"/>
          <w:lang w:val="en-NZ"/>
        </w:rPr>
        <w:t>year-on-year</w:t>
      </w:r>
      <w:r>
        <w:rPr>
          <w:rFonts w:ascii="Calibri" w:hAnsi="Calibri"/>
          <w:lang w:val="en-NZ"/>
        </w:rPr>
        <w:t xml:space="preserve">, and the new record asking </w:t>
      </w:r>
      <w:r w:rsidRPr="006518CF">
        <w:rPr>
          <w:rFonts w:ascii="Calibri" w:hAnsi="Calibri"/>
          <w:lang w:val="en-NZ"/>
        </w:rPr>
        <w:t xml:space="preserve">price </w:t>
      </w:r>
      <w:r>
        <w:rPr>
          <w:rFonts w:ascii="Calibri" w:hAnsi="Calibri"/>
          <w:lang w:val="en-NZ"/>
        </w:rPr>
        <w:t>represented</w:t>
      </w:r>
      <w:r w:rsidRPr="006518CF">
        <w:rPr>
          <w:rFonts w:ascii="Calibri" w:hAnsi="Calibri"/>
          <w:lang w:val="en-NZ"/>
        </w:rPr>
        <w:t xml:space="preserve"> an overall </w:t>
      </w:r>
      <w:r>
        <w:rPr>
          <w:rFonts w:ascii="Calibri" w:hAnsi="Calibri"/>
          <w:lang w:val="en-NZ"/>
        </w:rPr>
        <w:t xml:space="preserve">increase of </w:t>
      </w:r>
      <w:r w:rsidRPr="006518CF">
        <w:rPr>
          <w:rFonts w:ascii="Calibri" w:hAnsi="Calibri"/>
          <w:lang w:val="en-NZ"/>
        </w:rPr>
        <w:t>27.6 per cent since November 2009.</w:t>
      </w:r>
    </w:p>
    <w:p w:rsidR="00140AB5" w:rsidRDefault="00140AB5">
      <w:pPr>
        <w:rPr>
          <w:rFonts w:ascii="Calibri" w:hAnsi="Calibri" w:cs="Arial Unicode MS"/>
          <w:color w:val="000000"/>
          <w:sz w:val="22"/>
          <w:szCs w:val="22"/>
        </w:rPr>
      </w:pPr>
      <w:r>
        <w:rPr>
          <w:rFonts w:ascii="Calibri" w:hAnsi="Calibri"/>
        </w:rPr>
        <w:br w:type="page"/>
      </w:r>
    </w:p>
    <w:p w:rsidR="00140AB5" w:rsidRDefault="00140AB5" w:rsidP="00140AB5">
      <w:pPr>
        <w:pStyle w:val="Body"/>
        <w:jc w:val="center"/>
        <w:rPr>
          <w:rFonts w:ascii="Calibri" w:hAnsi="Calibri"/>
          <w:lang w:val="en-NZ"/>
        </w:rPr>
      </w:pPr>
    </w:p>
    <w:p w:rsidR="00140AB5" w:rsidRDefault="00140AB5" w:rsidP="00140AB5">
      <w:pPr>
        <w:pStyle w:val="Body"/>
        <w:jc w:val="center"/>
        <w:rPr>
          <w:rFonts w:ascii="Calibri" w:hAnsi="Calibri"/>
          <w:lang w:val="en-NZ"/>
        </w:rPr>
      </w:pPr>
    </w:p>
    <w:p w:rsidR="003532F0" w:rsidRDefault="00D7614A" w:rsidP="00140AB5">
      <w:pPr>
        <w:pStyle w:val="Body"/>
        <w:jc w:val="center"/>
        <w:rPr>
          <w:rFonts w:ascii="Calibri" w:hAnsi="Calibri"/>
          <w:lang w:val="en-NZ"/>
        </w:rPr>
      </w:pPr>
      <w:r>
        <w:rPr>
          <w:noProof/>
          <w:lang w:val="en-NZ" w:eastAsia="en-NZ"/>
        </w:rPr>
        <w:drawing>
          <wp:inline distT="0" distB="0" distL="0" distR="0" wp14:anchorId="11D4130C" wp14:editId="2CCA31C5">
            <wp:extent cx="5451603" cy="2743200"/>
            <wp:effectExtent l="0" t="0" r="0" b="0"/>
            <wp:docPr id="4" name="Picture 4" descr="C:\Users\pford\AppData\Local\Microsoft\Windows\Temporary Internet Files\Content.Outlook\WXEGYCHU\04-5-Year-Increase-Nov-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ord\AppData\Local\Microsoft\Windows\Temporary Internet Files\Content.Outlook\WXEGYCHU\04-5-Year-Increase-Nov-201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2108" cy="2748486"/>
                    </a:xfrm>
                    <a:prstGeom prst="rect">
                      <a:avLst/>
                    </a:prstGeom>
                    <a:noFill/>
                    <a:ln>
                      <a:noFill/>
                    </a:ln>
                  </pic:spPr>
                </pic:pic>
              </a:graphicData>
            </a:graphic>
          </wp:inline>
        </w:drawing>
      </w:r>
    </w:p>
    <w:p w:rsidR="00644355" w:rsidRDefault="00644355" w:rsidP="00B85339">
      <w:pPr>
        <w:pStyle w:val="Body"/>
        <w:jc w:val="both"/>
        <w:rPr>
          <w:rFonts w:ascii="Calibri" w:hAnsi="Calibri"/>
          <w:b/>
          <w:lang w:val="en-NZ"/>
        </w:rPr>
      </w:pPr>
    </w:p>
    <w:p w:rsidR="00644355" w:rsidRDefault="00644355" w:rsidP="00B85339">
      <w:pPr>
        <w:pStyle w:val="Body"/>
        <w:jc w:val="both"/>
        <w:rPr>
          <w:rFonts w:ascii="Calibri" w:hAnsi="Calibri"/>
          <w:b/>
          <w:lang w:val="en-NZ"/>
        </w:rPr>
      </w:pPr>
    </w:p>
    <w:p w:rsidR="003532F0" w:rsidRPr="00A561FE" w:rsidRDefault="00FE24A9" w:rsidP="00B85339">
      <w:pPr>
        <w:pStyle w:val="Body"/>
        <w:jc w:val="both"/>
        <w:rPr>
          <w:rFonts w:ascii="Calibri" w:hAnsi="Calibri"/>
          <w:b/>
          <w:lang w:val="en-NZ"/>
        </w:rPr>
      </w:pPr>
      <w:r w:rsidRPr="00A561FE">
        <w:rPr>
          <w:rFonts w:ascii="Calibri" w:hAnsi="Calibri"/>
          <w:b/>
          <w:lang w:val="en-NZ"/>
        </w:rPr>
        <w:t>Ups and downs in</w:t>
      </w:r>
      <w:r w:rsidR="00226C44" w:rsidRPr="00A561FE">
        <w:rPr>
          <w:rFonts w:ascii="Calibri" w:hAnsi="Calibri"/>
          <w:b/>
          <w:lang w:val="en-NZ"/>
        </w:rPr>
        <w:t xml:space="preserve"> the regions</w:t>
      </w:r>
    </w:p>
    <w:p w:rsidR="003532F0" w:rsidRPr="00A561FE" w:rsidRDefault="003532F0" w:rsidP="00B85339">
      <w:pPr>
        <w:pStyle w:val="Body"/>
        <w:jc w:val="both"/>
        <w:rPr>
          <w:rFonts w:ascii="Calibri" w:hAnsi="Calibri"/>
          <w:lang w:val="en-NZ"/>
        </w:rPr>
      </w:pPr>
    </w:p>
    <w:p w:rsidR="00A0723D" w:rsidRDefault="005B69BA" w:rsidP="00B85339">
      <w:pPr>
        <w:pStyle w:val="Body"/>
        <w:jc w:val="both"/>
        <w:rPr>
          <w:rFonts w:ascii="Calibri" w:hAnsi="Calibri"/>
          <w:lang w:val="en-NZ"/>
        </w:rPr>
      </w:pPr>
      <w:r w:rsidRPr="00A561FE">
        <w:rPr>
          <w:rFonts w:ascii="Calibri" w:hAnsi="Calibri"/>
          <w:lang w:val="en-NZ"/>
        </w:rPr>
        <w:t xml:space="preserve">Mr Jeffries said there </w:t>
      </w:r>
      <w:r w:rsidR="004C2919" w:rsidRPr="00A561FE">
        <w:rPr>
          <w:rFonts w:ascii="Calibri" w:hAnsi="Calibri"/>
          <w:lang w:val="en-NZ"/>
        </w:rPr>
        <w:t xml:space="preserve">were clear signs across the country that the pace of price increase was </w:t>
      </w:r>
      <w:r w:rsidR="0027185A" w:rsidRPr="00A561FE">
        <w:rPr>
          <w:rFonts w:ascii="Calibri" w:hAnsi="Calibri"/>
          <w:lang w:val="en-NZ"/>
        </w:rPr>
        <w:t>s</w:t>
      </w:r>
      <w:r w:rsidR="008F0618" w:rsidRPr="00A561FE">
        <w:rPr>
          <w:rFonts w:ascii="Calibri" w:hAnsi="Calibri"/>
          <w:lang w:val="en-NZ"/>
        </w:rPr>
        <w:t>teady</w:t>
      </w:r>
      <w:r w:rsidR="00A0723D">
        <w:rPr>
          <w:rFonts w:ascii="Calibri" w:hAnsi="Calibri"/>
          <w:lang w:val="en-NZ"/>
        </w:rPr>
        <w:t xml:space="preserve">, and </w:t>
      </w:r>
      <w:r w:rsidR="0027185A" w:rsidRPr="00A561FE">
        <w:rPr>
          <w:rFonts w:ascii="Calibri" w:hAnsi="Calibri"/>
          <w:lang w:val="en-NZ"/>
        </w:rPr>
        <w:t xml:space="preserve">only </w:t>
      </w:r>
      <w:r w:rsidR="004C2919" w:rsidRPr="00A561FE">
        <w:rPr>
          <w:rFonts w:ascii="Calibri" w:hAnsi="Calibri"/>
          <w:lang w:val="en-NZ"/>
        </w:rPr>
        <w:t>the West Coast</w:t>
      </w:r>
      <w:r w:rsidR="0027185A" w:rsidRPr="00A561FE">
        <w:rPr>
          <w:rFonts w:ascii="Calibri" w:hAnsi="Calibri"/>
          <w:lang w:val="en-NZ"/>
        </w:rPr>
        <w:t xml:space="preserve"> report</w:t>
      </w:r>
      <w:r w:rsidR="00A0723D">
        <w:rPr>
          <w:rFonts w:ascii="Calibri" w:hAnsi="Calibri"/>
          <w:lang w:val="en-NZ"/>
        </w:rPr>
        <w:t xml:space="preserve">ed </w:t>
      </w:r>
      <w:r w:rsidR="0027185A" w:rsidRPr="00A561FE">
        <w:rPr>
          <w:rFonts w:ascii="Calibri" w:hAnsi="Calibri"/>
          <w:lang w:val="en-NZ"/>
        </w:rPr>
        <w:t>a fall in price expectation</w:t>
      </w:r>
      <w:r w:rsidR="008F0618" w:rsidRPr="00A561FE">
        <w:rPr>
          <w:rFonts w:ascii="Calibri" w:hAnsi="Calibri"/>
          <w:lang w:val="en-NZ"/>
        </w:rPr>
        <w:t xml:space="preserve"> in November</w:t>
      </w:r>
      <w:r w:rsidR="004C2919" w:rsidRPr="00A561FE">
        <w:rPr>
          <w:rFonts w:ascii="Calibri" w:hAnsi="Calibri"/>
          <w:lang w:val="en-NZ"/>
        </w:rPr>
        <w:t xml:space="preserve">. All other regions </w:t>
      </w:r>
      <w:r w:rsidR="00A0723D">
        <w:rPr>
          <w:rFonts w:ascii="Calibri" w:hAnsi="Calibri"/>
          <w:lang w:val="en-NZ"/>
        </w:rPr>
        <w:t xml:space="preserve">saw </w:t>
      </w:r>
      <w:r w:rsidR="004C2919" w:rsidRPr="00A561FE">
        <w:rPr>
          <w:rFonts w:ascii="Calibri" w:hAnsi="Calibri"/>
          <w:lang w:val="en-NZ"/>
        </w:rPr>
        <w:t xml:space="preserve">a year-on-year rise </w:t>
      </w:r>
      <w:r w:rsidR="00A0723D">
        <w:rPr>
          <w:rFonts w:ascii="Calibri" w:hAnsi="Calibri"/>
          <w:lang w:val="en-NZ"/>
        </w:rPr>
        <w:t xml:space="preserve">in average asking price, ranging from Waikato’s small lift of 1.8 per cent, through to the strong </w:t>
      </w:r>
      <w:r w:rsidR="004C2919" w:rsidRPr="00A561FE">
        <w:rPr>
          <w:rFonts w:ascii="Calibri" w:hAnsi="Calibri"/>
          <w:lang w:val="en-NZ"/>
        </w:rPr>
        <w:t>24</w:t>
      </w:r>
      <w:r w:rsidR="00A0723D">
        <w:rPr>
          <w:rFonts w:ascii="Calibri" w:hAnsi="Calibri"/>
          <w:lang w:val="en-NZ"/>
        </w:rPr>
        <w:t>.1</w:t>
      </w:r>
      <w:r w:rsidR="004C2919" w:rsidRPr="00A561FE">
        <w:rPr>
          <w:rFonts w:ascii="Calibri" w:hAnsi="Calibri"/>
          <w:lang w:val="en-NZ"/>
        </w:rPr>
        <w:t xml:space="preserve"> per</w:t>
      </w:r>
      <w:r w:rsidR="00A0723D">
        <w:rPr>
          <w:rFonts w:ascii="Calibri" w:hAnsi="Calibri"/>
          <w:lang w:val="en-NZ"/>
        </w:rPr>
        <w:t xml:space="preserve"> </w:t>
      </w:r>
      <w:r w:rsidR="004C2919" w:rsidRPr="00A561FE">
        <w:rPr>
          <w:rFonts w:ascii="Calibri" w:hAnsi="Calibri"/>
          <w:lang w:val="en-NZ"/>
        </w:rPr>
        <w:t xml:space="preserve">cent </w:t>
      </w:r>
      <w:r w:rsidR="00A0723D">
        <w:rPr>
          <w:rFonts w:ascii="Calibri" w:hAnsi="Calibri"/>
          <w:lang w:val="en-NZ"/>
        </w:rPr>
        <w:t xml:space="preserve">increase </w:t>
      </w:r>
      <w:r w:rsidR="004C2919" w:rsidRPr="00A561FE">
        <w:rPr>
          <w:rFonts w:ascii="Calibri" w:hAnsi="Calibri"/>
          <w:lang w:val="en-NZ"/>
        </w:rPr>
        <w:t>in the Hawke</w:t>
      </w:r>
      <w:r w:rsidR="00A0723D">
        <w:rPr>
          <w:rFonts w:ascii="Calibri" w:hAnsi="Calibri"/>
          <w:lang w:val="en-NZ"/>
        </w:rPr>
        <w:t>’</w:t>
      </w:r>
      <w:r w:rsidR="004C2919" w:rsidRPr="00A561FE">
        <w:rPr>
          <w:rFonts w:ascii="Calibri" w:hAnsi="Calibri"/>
          <w:lang w:val="en-NZ"/>
        </w:rPr>
        <w:t xml:space="preserve">s Bay.  </w:t>
      </w:r>
      <w:r w:rsidR="00A0723D">
        <w:rPr>
          <w:rFonts w:ascii="Calibri" w:hAnsi="Calibri"/>
          <w:lang w:val="en-NZ"/>
        </w:rPr>
        <w:t xml:space="preserve">Mr Jeffries </w:t>
      </w:r>
      <w:r w:rsidR="00CA6DA0">
        <w:rPr>
          <w:rFonts w:ascii="Calibri" w:hAnsi="Calibri"/>
          <w:lang w:val="en-NZ"/>
        </w:rPr>
        <w:t xml:space="preserve">said it was </w:t>
      </w:r>
      <w:r w:rsidR="00A0723D">
        <w:rPr>
          <w:rFonts w:ascii="Calibri" w:hAnsi="Calibri"/>
          <w:lang w:val="en-NZ"/>
        </w:rPr>
        <w:t xml:space="preserve">good to see the Waikato return to growth after </w:t>
      </w:r>
      <w:r w:rsidR="00CA6DA0">
        <w:rPr>
          <w:rFonts w:ascii="Calibri" w:hAnsi="Calibri"/>
          <w:lang w:val="en-NZ"/>
        </w:rPr>
        <w:t>a quiet period.</w:t>
      </w:r>
    </w:p>
    <w:p w:rsidR="00A0723D" w:rsidRDefault="00A0723D" w:rsidP="00B85339">
      <w:pPr>
        <w:pStyle w:val="Body"/>
        <w:jc w:val="both"/>
        <w:rPr>
          <w:rFonts w:ascii="Calibri" w:hAnsi="Calibri"/>
          <w:lang w:val="en-NZ"/>
        </w:rPr>
      </w:pPr>
    </w:p>
    <w:p w:rsidR="00F94750" w:rsidRPr="00A561FE" w:rsidRDefault="00A0723D" w:rsidP="00B85339">
      <w:pPr>
        <w:pStyle w:val="Body"/>
        <w:jc w:val="both"/>
        <w:rPr>
          <w:rFonts w:ascii="Calibri" w:hAnsi="Calibri"/>
          <w:lang w:val="en-NZ"/>
        </w:rPr>
      </w:pPr>
      <w:r>
        <w:rPr>
          <w:rFonts w:ascii="Calibri" w:hAnsi="Calibri"/>
          <w:lang w:val="en-NZ"/>
        </w:rPr>
        <w:t xml:space="preserve">Five other regions </w:t>
      </w:r>
      <w:r w:rsidR="004C2919" w:rsidRPr="00A561FE">
        <w:rPr>
          <w:rFonts w:ascii="Calibri" w:hAnsi="Calibri"/>
          <w:lang w:val="en-NZ"/>
        </w:rPr>
        <w:t>show</w:t>
      </w:r>
      <w:r>
        <w:rPr>
          <w:rFonts w:ascii="Calibri" w:hAnsi="Calibri"/>
          <w:lang w:val="en-NZ"/>
        </w:rPr>
        <w:t xml:space="preserve">ed </w:t>
      </w:r>
      <w:r w:rsidR="004C2919" w:rsidRPr="00A561FE">
        <w:rPr>
          <w:rFonts w:ascii="Calibri" w:hAnsi="Calibri"/>
          <w:lang w:val="en-NZ"/>
        </w:rPr>
        <w:t>double</w:t>
      </w:r>
      <w:r>
        <w:rPr>
          <w:rFonts w:ascii="Calibri" w:hAnsi="Calibri"/>
          <w:lang w:val="en-NZ"/>
        </w:rPr>
        <w:t>-</w:t>
      </w:r>
      <w:r w:rsidR="004C2919" w:rsidRPr="00A561FE">
        <w:rPr>
          <w:rFonts w:ascii="Calibri" w:hAnsi="Calibri"/>
          <w:lang w:val="en-NZ"/>
        </w:rPr>
        <w:t>digit growth</w:t>
      </w:r>
      <w:r>
        <w:rPr>
          <w:rFonts w:ascii="Calibri" w:hAnsi="Calibri"/>
          <w:lang w:val="en-NZ"/>
        </w:rPr>
        <w:t xml:space="preserve">: </w:t>
      </w:r>
      <w:r w:rsidR="004C2919" w:rsidRPr="00A561FE">
        <w:rPr>
          <w:rFonts w:ascii="Calibri" w:hAnsi="Calibri"/>
          <w:lang w:val="en-NZ"/>
        </w:rPr>
        <w:t xml:space="preserve">Taranaki </w:t>
      </w:r>
      <w:r>
        <w:rPr>
          <w:rFonts w:ascii="Calibri" w:hAnsi="Calibri"/>
          <w:lang w:val="en-NZ"/>
        </w:rPr>
        <w:t>(+</w:t>
      </w:r>
      <w:r w:rsidR="00C13B6C" w:rsidRPr="00A561FE">
        <w:rPr>
          <w:rFonts w:ascii="Calibri" w:hAnsi="Calibri"/>
          <w:lang w:val="en-NZ"/>
        </w:rPr>
        <w:t>18</w:t>
      </w:r>
      <w:r>
        <w:rPr>
          <w:rFonts w:ascii="Calibri" w:hAnsi="Calibri"/>
          <w:lang w:val="en-NZ"/>
        </w:rPr>
        <w:t>.2</w:t>
      </w:r>
      <w:r w:rsidR="00C13B6C" w:rsidRPr="00A561FE">
        <w:rPr>
          <w:rFonts w:ascii="Calibri" w:hAnsi="Calibri"/>
          <w:lang w:val="en-NZ"/>
        </w:rPr>
        <w:t xml:space="preserve"> per cent</w:t>
      </w:r>
      <w:r>
        <w:rPr>
          <w:rFonts w:ascii="Calibri" w:hAnsi="Calibri"/>
          <w:lang w:val="en-NZ"/>
        </w:rPr>
        <w:t>)</w:t>
      </w:r>
      <w:r w:rsidR="00C13B6C" w:rsidRPr="00A561FE">
        <w:rPr>
          <w:rFonts w:ascii="Calibri" w:hAnsi="Calibri"/>
          <w:lang w:val="en-NZ"/>
        </w:rPr>
        <w:t xml:space="preserve">, Canterbury </w:t>
      </w:r>
      <w:r>
        <w:rPr>
          <w:rFonts w:ascii="Calibri" w:hAnsi="Calibri"/>
          <w:lang w:val="en-NZ"/>
        </w:rPr>
        <w:t>(+</w:t>
      </w:r>
      <w:r w:rsidR="00C13B6C" w:rsidRPr="00A561FE">
        <w:rPr>
          <w:rFonts w:ascii="Calibri" w:hAnsi="Calibri"/>
          <w:lang w:val="en-NZ"/>
        </w:rPr>
        <w:t>12</w:t>
      </w:r>
      <w:r>
        <w:rPr>
          <w:rFonts w:ascii="Calibri" w:hAnsi="Calibri"/>
          <w:lang w:val="en-NZ"/>
        </w:rPr>
        <w:t>.5</w:t>
      </w:r>
      <w:r w:rsidR="00C13B6C" w:rsidRPr="00A561FE">
        <w:rPr>
          <w:rFonts w:ascii="Calibri" w:hAnsi="Calibri"/>
          <w:lang w:val="en-NZ"/>
        </w:rPr>
        <w:t xml:space="preserve"> per cent</w:t>
      </w:r>
      <w:r>
        <w:rPr>
          <w:rFonts w:ascii="Calibri" w:hAnsi="Calibri"/>
          <w:lang w:val="en-NZ"/>
        </w:rPr>
        <w:t>)</w:t>
      </w:r>
      <w:r w:rsidR="00C13B6C" w:rsidRPr="00A561FE">
        <w:rPr>
          <w:rFonts w:ascii="Calibri" w:hAnsi="Calibri"/>
          <w:lang w:val="en-NZ"/>
        </w:rPr>
        <w:t>, Otago</w:t>
      </w:r>
      <w:r>
        <w:rPr>
          <w:rFonts w:ascii="Calibri" w:hAnsi="Calibri"/>
          <w:lang w:val="en-NZ"/>
        </w:rPr>
        <w:t xml:space="preserve"> (+</w:t>
      </w:r>
      <w:r w:rsidR="00C13B6C" w:rsidRPr="00A561FE">
        <w:rPr>
          <w:rFonts w:ascii="Calibri" w:hAnsi="Calibri"/>
          <w:lang w:val="en-NZ"/>
        </w:rPr>
        <w:t>1</w:t>
      </w:r>
      <w:r>
        <w:rPr>
          <w:rFonts w:ascii="Calibri" w:hAnsi="Calibri"/>
          <w:lang w:val="en-NZ"/>
        </w:rPr>
        <w:t>1.6</w:t>
      </w:r>
      <w:r w:rsidR="00C13B6C" w:rsidRPr="00A561FE">
        <w:rPr>
          <w:rFonts w:ascii="Calibri" w:hAnsi="Calibri"/>
          <w:lang w:val="en-NZ"/>
        </w:rPr>
        <w:t xml:space="preserve"> per cent</w:t>
      </w:r>
      <w:r>
        <w:rPr>
          <w:rFonts w:ascii="Calibri" w:hAnsi="Calibri"/>
          <w:lang w:val="en-NZ"/>
        </w:rPr>
        <w:t>)</w:t>
      </w:r>
      <w:r w:rsidR="00CA6DA0">
        <w:rPr>
          <w:rFonts w:ascii="Calibri" w:hAnsi="Calibri"/>
          <w:lang w:val="en-NZ"/>
        </w:rPr>
        <w:t>,</w:t>
      </w:r>
      <w:r w:rsidR="00C13B6C" w:rsidRPr="00A561FE">
        <w:rPr>
          <w:rFonts w:ascii="Calibri" w:hAnsi="Calibri"/>
          <w:lang w:val="en-NZ"/>
        </w:rPr>
        <w:t xml:space="preserve"> Auckland </w:t>
      </w:r>
      <w:r>
        <w:rPr>
          <w:rFonts w:ascii="Calibri" w:hAnsi="Calibri"/>
          <w:lang w:val="en-NZ"/>
        </w:rPr>
        <w:t>(+</w:t>
      </w:r>
      <w:r w:rsidR="00C13B6C" w:rsidRPr="00A561FE">
        <w:rPr>
          <w:rFonts w:ascii="Calibri" w:hAnsi="Calibri"/>
          <w:lang w:val="en-NZ"/>
        </w:rPr>
        <w:t>11</w:t>
      </w:r>
      <w:r>
        <w:rPr>
          <w:rFonts w:ascii="Calibri" w:hAnsi="Calibri"/>
          <w:lang w:val="en-NZ"/>
        </w:rPr>
        <w:t>.3</w:t>
      </w:r>
      <w:r w:rsidR="00C13B6C" w:rsidRPr="00A561FE">
        <w:rPr>
          <w:rFonts w:ascii="Calibri" w:hAnsi="Calibri"/>
          <w:lang w:val="en-NZ"/>
        </w:rPr>
        <w:t xml:space="preserve"> per cent</w:t>
      </w:r>
      <w:r>
        <w:rPr>
          <w:rFonts w:ascii="Calibri" w:hAnsi="Calibri"/>
          <w:lang w:val="en-NZ"/>
        </w:rPr>
        <w:t>)</w:t>
      </w:r>
      <w:r w:rsidR="00CA6DA0">
        <w:rPr>
          <w:rFonts w:ascii="Calibri" w:hAnsi="Calibri"/>
          <w:lang w:val="en-NZ"/>
        </w:rPr>
        <w:t xml:space="preserve"> and Southland (+10.8 per cent).</w:t>
      </w:r>
    </w:p>
    <w:p w:rsidR="00F94750" w:rsidRPr="00A561FE" w:rsidRDefault="00F94750" w:rsidP="00B85339">
      <w:pPr>
        <w:pStyle w:val="Body"/>
        <w:jc w:val="both"/>
        <w:rPr>
          <w:rFonts w:ascii="Calibri" w:hAnsi="Calibri"/>
          <w:lang w:val="en-NZ"/>
        </w:rPr>
      </w:pPr>
    </w:p>
    <w:p w:rsidR="003532F0" w:rsidRDefault="00FE24A9" w:rsidP="00B85339">
      <w:pPr>
        <w:pStyle w:val="Body"/>
        <w:jc w:val="both"/>
        <w:rPr>
          <w:rFonts w:ascii="Calibri" w:hAnsi="Calibri"/>
          <w:lang w:val="en-NZ"/>
        </w:rPr>
      </w:pPr>
      <w:r w:rsidRPr="00A561FE">
        <w:rPr>
          <w:rFonts w:ascii="Calibri" w:hAnsi="Calibri"/>
          <w:lang w:val="en-NZ"/>
        </w:rPr>
        <w:t>Mr Jeffries said the data from the country’</w:t>
      </w:r>
      <w:r w:rsidR="00C13B6C" w:rsidRPr="00A561FE">
        <w:rPr>
          <w:rFonts w:ascii="Calibri" w:hAnsi="Calibri"/>
          <w:lang w:val="en-NZ"/>
        </w:rPr>
        <w:t>s</w:t>
      </w:r>
      <w:r w:rsidRPr="00A561FE">
        <w:rPr>
          <w:rFonts w:ascii="Calibri" w:hAnsi="Calibri"/>
          <w:lang w:val="en-NZ"/>
        </w:rPr>
        <w:t xml:space="preserve"> major urban centres </w:t>
      </w:r>
      <w:r w:rsidR="00226C44" w:rsidRPr="00A561FE">
        <w:rPr>
          <w:rFonts w:ascii="Calibri" w:hAnsi="Calibri"/>
          <w:lang w:val="en-NZ"/>
        </w:rPr>
        <w:t>reflect</w:t>
      </w:r>
      <w:r w:rsidRPr="00A561FE">
        <w:rPr>
          <w:rFonts w:ascii="Calibri" w:hAnsi="Calibri"/>
          <w:lang w:val="en-NZ"/>
        </w:rPr>
        <w:t>ed</w:t>
      </w:r>
      <w:r w:rsidR="00226C44" w:rsidRPr="00A561FE">
        <w:rPr>
          <w:rFonts w:ascii="Calibri" w:hAnsi="Calibri"/>
          <w:lang w:val="en-NZ"/>
        </w:rPr>
        <w:t xml:space="preserve"> </w:t>
      </w:r>
      <w:r w:rsidR="00813935" w:rsidRPr="00A561FE">
        <w:rPr>
          <w:rFonts w:ascii="Calibri" w:hAnsi="Calibri"/>
          <w:lang w:val="en-NZ"/>
        </w:rPr>
        <w:t xml:space="preserve">a </w:t>
      </w:r>
      <w:r w:rsidR="00C13B6C" w:rsidRPr="00A561FE">
        <w:rPr>
          <w:rFonts w:ascii="Calibri" w:hAnsi="Calibri"/>
          <w:lang w:val="en-NZ"/>
        </w:rPr>
        <w:t>strengthening market</w:t>
      </w:r>
      <w:r w:rsidR="0027185A" w:rsidRPr="00A561FE">
        <w:rPr>
          <w:rFonts w:ascii="Calibri" w:hAnsi="Calibri"/>
          <w:lang w:val="en-NZ"/>
        </w:rPr>
        <w:t xml:space="preserve"> heading into the pre-Christmas period</w:t>
      </w:r>
      <w:r w:rsidR="00CA6DA0">
        <w:rPr>
          <w:rFonts w:ascii="Calibri" w:hAnsi="Calibri"/>
          <w:lang w:val="en-NZ"/>
        </w:rPr>
        <w:t>, with solid increases in asking price expectations from sellers across Auckland, Wellington and Christchurch.</w:t>
      </w:r>
    </w:p>
    <w:p w:rsidR="008C43AA" w:rsidRPr="00A561FE" w:rsidRDefault="008C43AA" w:rsidP="00B85339">
      <w:pPr>
        <w:pStyle w:val="Body"/>
        <w:jc w:val="both"/>
        <w:rPr>
          <w:rFonts w:ascii="Calibri" w:hAnsi="Calibri"/>
          <w:lang w:val="en-NZ"/>
        </w:rPr>
      </w:pPr>
    </w:p>
    <w:p w:rsidR="003532F0" w:rsidRPr="00A561FE" w:rsidRDefault="0054370D" w:rsidP="0054370D">
      <w:pPr>
        <w:pStyle w:val="Body"/>
        <w:jc w:val="center"/>
        <w:rPr>
          <w:rFonts w:ascii="Calibri" w:hAnsi="Calibri"/>
          <w:lang w:val="en-NZ"/>
        </w:rPr>
      </w:pPr>
      <w:r>
        <w:rPr>
          <w:rFonts w:eastAsia="Times New Roman"/>
          <w:noProof/>
          <w:sz w:val="21"/>
          <w:szCs w:val="21"/>
          <w:lang w:val="en-NZ" w:eastAsia="en-NZ"/>
        </w:rPr>
        <w:drawing>
          <wp:inline distT="0" distB="0" distL="0" distR="0" wp14:anchorId="3BC13578" wp14:editId="6DAB7860">
            <wp:extent cx="3785235" cy="3487565"/>
            <wp:effectExtent l="0" t="0" r="5715" b="0"/>
            <wp:docPr id="1" name="Picture 1" descr="cid:DB7C3BF2-071D-43D5-9308-BC62A441C2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B7C3BF2-071D-43D5-9308-BC62A441C2F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85235" cy="3487565"/>
                    </a:xfrm>
                    <a:prstGeom prst="rect">
                      <a:avLst/>
                    </a:prstGeom>
                    <a:noFill/>
                    <a:ln>
                      <a:noFill/>
                    </a:ln>
                  </pic:spPr>
                </pic:pic>
              </a:graphicData>
            </a:graphic>
          </wp:inline>
        </w:drawing>
      </w:r>
    </w:p>
    <w:p w:rsidR="00785196" w:rsidRDefault="00785196" w:rsidP="00B85339">
      <w:pPr>
        <w:pStyle w:val="Body"/>
        <w:jc w:val="both"/>
        <w:rPr>
          <w:rFonts w:ascii="Calibri" w:hAnsi="Calibri"/>
          <w:b/>
          <w:lang w:val="en-NZ"/>
        </w:rPr>
      </w:pPr>
    </w:p>
    <w:p w:rsidR="00785196" w:rsidRDefault="00785196" w:rsidP="00B85339">
      <w:pPr>
        <w:pStyle w:val="Body"/>
        <w:jc w:val="both"/>
        <w:rPr>
          <w:rFonts w:ascii="Calibri" w:hAnsi="Calibri"/>
          <w:b/>
          <w:lang w:val="en-NZ"/>
        </w:rPr>
      </w:pPr>
    </w:p>
    <w:p w:rsidR="003532F0" w:rsidRPr="00A561FE" w:rsidRDefault="00CA6DA0" w:rsidP="00B85339">
      <w:pPr>
        <w:pStyle w:val="Body"/>
        <w:jc w:val="both"/>
        <w:rPr>
          <w:rFonts w:ascii="Calibri" w:hAnsi="Calibri"/>
          <w:b/>
          <w:lang w:val="en-NZ"/>
        </w:rPr>
      </w:pPr>
      <w:r>
        <w:rPr>
          <w:rFonts w:ascii="Calibri" w:hAnsi="Calibri"/>
          <w:b/>
          <w:lang w:val="en-NZ"/>
        </w:rPr>
        <w:lastRenderedPageBreak/>
        <w:t>S</w:t>
      </w:r>
      <w:r w:rsidR="00C920C7" w:rsidRPr="00A561FE">
        <w:rPr>
          <w:rFonts w:ascii="Calibri" w:hAnsi="Calibri"/>
          <w:b/>
          <w:lang w:val="en-NZ"/>
        </w:rPr>
        <w:t xml:space="preserve">maller properties </w:t>
      </w:r>
      <w:r>
        <w:rPr>
          <w:rFonts w:ascii="Calibri" w:hAnsi="Calibri"/>
          <w:b/>
          <w:lang w:val="en-NZ"/>
        </w:rPr>
        <w:t xml:space="preserve">also </w:t>
      </w:r>
      <w:r w:rsidR="00C920C7" w:rsidRPr="00A561FE">
        <w:rPr>
          <w:rFonts w:ascii="Calibri" w:hAnsi="Calibri"/>
          <w:b/>
          <w:lang w:val="en-NZ"/>
        </w:rPr>
        <w:t>breaking records</w:t>
      </w:r>
      <w:r w:rsidR="00226C44" w:rsidRPr="00A561FE">
        <w:rPr>
          <w:rFonts w:ascii="Calibri" w:hAnsi="Calibri"/>
          <w:b/>
          <w:lang w:val="en-NZ"/>
        </w:rPr>
        <w:t xml:space="preserve"> </w:t>
      </w:r>
    </w:p>
    <w:p w:rsidR="003532F0" w:rsidRPr="00A561FE" w:rsidRDefault="003532F0" w:rsidP="00B85339">
      <w:pPr>
        <w:pStyle w:val="Body"/>
        <w:jc w:val="both"/>
        <w:rPr>
          <w:rFonts w:ascii="Calibri" w:hAnsi="Calibri"/>
          <w:lang w:val="en-NZ"/>
        </w:rPr>
      </w:pPr>
    </w:p>
    <w:p w:rsidR="00B85339" w:rsidRPr="00A561FE" w:rsidRDefault="00FE24A9" w:rsidP="00B85339">
      <w:pPr>
        <w:pStyle w:val="Body"/>
        <w:jc w:val="both"/>
        <w:rPr>
          <w:rFonts w:ascii="Calibri" w:hAnsi="Calibri"/>
          <w:lang w:val="en-NZ"/>
        </w:rPr>
      </w:pPr>
      <w:r w:rsidRPr="00A561FE">
        <w:rPr>
          <w:rFonts w:ascii="Calibri" w:hAnsi="Calibri"/>
          <w:lang w:val="en-NZ"/>
        </w:rPr>
        <w:t>Mr Jeffries said there w</w:t>
      </w:r>
      <w:r w:rsidR="00813935" w:rsidRPr="00A561FE">
        <w:rPr>
          <w:rFonts w:ascii="Calibri" w:hAnsi="Calibri"/>
          <w:lang w:val="en-NZ"/>
        </w:rPr>
        <w:t>as a significant rise in price expectation</w:t>
      </w:r>
      <w:r w:rsidR="00CA6DA0">
        <w:rPr>
          <w:rFonts w:ascii="Calibri" w:hAnsi="Calibri"/>
          <w:lang w:val="en-NZ"/>
        </w:rPr>
        <w:t>s</w:t>
      </w:r>
      <w:r w:rsidR="00813935" w:rsidRPr="00A561FE">
        <w:rPr>
          <w:rFonts w:ascii="Calibri" w:hAnsi="Calibri"/>
          <w:lang w:val="en-NZ"/>
        </w:rPr>
        <w:t xml:space="preserve"> for </w:t>
      </w:r>
      <w:r w:rsidR="000A1392" w:rsidRPr="00A561FE">
        <w:rPr>
          <w:rFonts w:ascii="Calibri" w:hAnsi="Calibri"/>
          <w:lang w:val="en-NZ"/>
        </w:rPr>
        <w:t>small</w:t>
      </w:r>
      <w:r w:rsidR="00C920C7" w:rsidRPr="00A561FE">
        <w:rPr>
          <w:rFonts w:ascii="Calibri" w:hAnsi="Calibri"/>
          <w:lang w:val="en-NZ"/>
        </w:rPr>
        <w:t xml:space="preserve"> and medium</w:t>
      </w:r>
      <w:r w:rsidR="00CA6DA0">
        <w:rPr>
          <w:rFonts w:ascii="Calibri" w:hAnsi="Calibri"/>
          <w:lang w:val="en-NZ"/>
        </w:rPr>
        <w:t>-</w:t>
      </w:r>
      <w:r w:rsidR="00C920C7" w:rsidRPr="00A561FE">
        <w:rPr>
          <w:rFonts w:ascii="Calibri" w:hAnsi="Calibri"/>
          <w:lang w:val="en-NZ"/>
        </w:rPr>
        <w:t>sized properties in November</w:t>
      </w:r>
      <w:r w:rsidR="00CA6DA0">
        <w:rPr>
          <w:rFonts w:ascii="Calibri" w:hAnsi="Calibri"/>
          <w:lang w:val="en-NZ"/>
        </w:rPr>
        <w:t xml:space="preserve">, up more than 15 per cent and 13 per cent respectively to new record asking prices. </w:t>
      </w:r>
      <w:r w:rsidRPr="00A561FE">
        <w:rPr>
          <w:rFonts w:ascii="Calibri" w:hAnsi="Calibri"/>
          <w:lang w:val="en-NZ"/>
        </w:rPr>
        <w:t>“</w:t>
      </w:r>
      <w:r w:rsidR="00CA6DA0">
        <w:rPr>
          <w:rFonts w:ascii="Calibri" w:hAnsi="Calibri"/>
          <w:lang w:val="en-NZ"/>
        </w:rPr>
        <w:t>T</w:t>
      </w:r>
      <w:r w:rsidR="000A1392" w:rsidRPr="00A561FE">
        <w:rPr>
          <w:rFonts w:ascii="Calibri" w:hAnsi="Calibri"/>
          <w:lang w:val="en-NZ"/>
        </w:rPr>
        <w:t xml:space="preserve">he </w:t>
      </w:r>
      <w:r w:rsidR="00CA6DA0">
        <w:rPr>
          <w:rFonts w:ascii="Calibri" w:hAnsi="Calibri"/>
          <w:lang w:val="en-NZ"/>
        </w:rPr>
        <w:t xml:space="preserve">lift in seller expectations </w:t>
      </w:r>
      <w:r w:rsidR="000A1392" w:rsidRPr="00A561FE">
        <w:rPr>
          <w:rFonts w:ascii="Calibri" w:hAnsi="Calibri"/>
          <w:lang w:val="en-NZ"/>
        </w:rPr>
        <w:t>remains strong in the major metro areas</w:t>
      </w:r>
      <w:r w:rsidR="00CA6DA0">
        <w:rPr>
          <w:rFonts w:ascii="Calibri" w:hAnsi="Calibri"/>
          <w:lang w:val="en-NZ"/>
        </w:rPr>
        <w:t>, but we’ve seen this spread</w:t>
      </w:r>
      <w:r w:rsidR="008A59FF">
        <w:rPr>
          <w:rFonts w:ascii="Calibri" w:hAnsi="Calibri"/>
          <w:lang w:val="en-NZ"/>
        </w:rPr>
        <w:t xml:space="preserve"> wider too. For example we’ve seen </w:t>
      </w:r>
      <w:r w:rsidR="0027185A" w:rsidRPr="00A561FE">
        <w:rPr>
          <w:rFonts w:ascii="Calibri" w:hAnsi="Calibri"/>
          <w:lang w:val="en-NZ"/>
        </w:rPr>
        <w:t xml:space="preserve">asking prices </w:t>
      </w:r>
      <w:r w:rsidR="008A59FF">
        <w:rPr>
          <w:rFonts w:ascii="Calibri" w:hAnsi="Calibri"/>
          <w:lang w:val="en-NZ"/>
        </w:rPr>
        <w:t xml:space="preserve">for three and four bedroom </w:t>
      </w:r>
      <w:r w:rsidR="000A1392" w:rsidRPr="00A561FE">
        <w:rPr>
          <w:rFonts w:ascii="Calibri" w:hAnsi="Calibri"/>
          <w:lang w:val="en-NZ"/>
        </w:rPr>
        <w:t>properties in Taranaki, Hawke</w:t>
      </w:r>
      <w:r w:rsidR="008A59FF">
        <w:rPr>
          <w:rFonts w:ascii="Calibri" w:hAnsi="Calibri"/>
          <w:lang w:val="en-NZ"/>
        </w:rPr>
        <w:t>’</w:t>
      </w:r>
      <w:r w:rsidR="000A1392" w:rsidRPr="00A561FE">
        <w:rPr>
          <w:rFonts w:ascii="Calibri" w:hAnsi="Calibri"/>
          <w:lang w:val="en-NZ"/>
        </w:rPr>
        <w:t xml:space="preserve">s Bay and Bay of Plenty </w:t>
      </w:r>
      <w:r w:rsidR="008A59FF">
        <w:rPr>
          <w:rFonts w:ascii="Calibri" w:hAnsi="Calibri"/>
          <w:lang w:val="en-NZ"/>
        </w:rPr>
        <w:t>all reach record levels.</w:t>
      </w:r>
      <w:r w:rsidR="00C920C7" w:rsidRPr="00A561FE">
        <w:rPr>
          <w:rFonts w:ascii="Calibri" w:hAnsi="Calibri"/>
          <w:lang w:val="en-NZ"/>
        </w:rPr>
        <w:t>”</w:t>
      </w:r>
    </w:p>
    <w:p w:rsidR="00B85339" w:rsidRPr="00A561FE" w:rsidRDefault="00B85339" w:rsidP="00B85339">
      <w:pPr>
        <w:pStyle w:val="Body"/>
        <w:jc w:val="both"/>
        <w:rPr>
          <w:rFonts w:ascii="Calibri" w:hAnsi="Calibri"/>
          <w:lang w:val="en-NZ"/>
        </w:rPr>
      </w:pPr>
    </w:p>
    <w:p w:rsidR="008A59FF" w:rsidRDefault="008A59FF" w:rsidP="00B85339">
      <w:pPr>
        <w:pStyle w:val="Body"/>
        <w:jc w:val="both"/>
        <w:rPr>
          <w:rFonts w:ascii="Calibri" w:hAnsi="Calibri"/>
          <w:lang w:val="en-NZ"/>
        </w:rPr>
      </w:pPr>
      <w:r>
        <w:rPr>
          <w:rFonts w:ascii="Calibri" w:hAnsi="Calibri"/>
          <w:lang w:val="en-NZ"/>
        </w:rPr>
        <w:t xml:space="preserve">There are </w:t>
      </w:r>
      <w:r w:rsidR="000A1392" w:rsidRPr="00A561FE">
        <w:rPr>
          <w:rFonts w:ascii="Calibri" w:hAnsi="Calibri"/>
          <w:lang w:val="en-NZ"/>
        </w:rPr>
        <w:t xml:space="preserve">early signs that the pressure in </w:t>
      </w:r>
      <w:r>
        <w:rPr>
          <w:rFonts w:ascii="Calibri" w:hAnsi="Calibri"/>
          <w:lang w:val="en-NZ"/>
        </w:rPr>
        <w:t xml:space="preserve">the </w:t>
      </w:r>
      <w:r w:rsidR="000A1392" w:rsidRPr="00A561FE">
        <w:rPr>
          <w:rFonts w:ascii="Calibri" w:hAnsi="Calibri"/>
          <w:lang w:val="en-NZ"/>
        </w:rPr>
        <w:t xml:space="preserve">Christchurch </w:t>
      </w:r>
      <w:r>
        <w:rPr>
          <w:rFonts w:ascii="Calibri" w:hAnsi="Calibri"/>
          <w:lang w:val="en-NZ"/>
        </w:rPr>
        <w:t xml:space="preserve">residential for sale </w:t>
      </w:r>
      <w:r w:rsidR="000A1392" w:rsidRPr="00A561FE">
        <w:rPr>
          <w:rFonts w:ascii="Calibri" w:hAnsi="Calibri"/>
          <w:lang w:val="en-NZ"/>
        </w:rPr>
        <w:t xml:space="preserve">market </w:t>
      </w:r>
      <w:r>
        <w:rPr>
          <w:rFonts w:ascii="Calibri" w:hAnsi="Calibri"/>
          <w:lang w:val="en-NZ"/>
        </w:rPr>
        <w:t xml:space="preserve">is </w:t>
      </w:r>
      <w:r w:rsidR="000A1392" w:rsidRPr="00A561FE">
        <w:rPr>
          <w:rFonts w:ascii="Calibri" w:hAnsi="Calibri"/>
          <w:lang w:val="en-NZ"/>
        </w:rPr>
        <w:t>easing</w:t>
      </w:r>
      <w:r>
        <w:rPr>
          <w:rFonts w:ascii="Calibri" w:hAnsi="Calibri"/>
          <w:lang w:val="en-NZ"/>
        </w:rPr>
        <w:t xml:space="preserve">, with the </w:t>
      </w:r>
      <w:r w:rsidR="000A1392" w:rsidRPr="00A561FE">
        <w:rPr>
          <w:rFonts w:ascii="Calibri" w:hAnsi="Calibri"/>
          <w:lang w:val="en-NZ"/>
        </w:rPr>
        <w:t xml:space="preserve">November </w:t>
      </w:r>
      <w:r>
        <w:rPr>
          <w:rFonts w:ascii="Calibri" w:hAnsi="Calibri"/>
          <w:lang w:val="en-NZ"/>
        </w:rPr>
        <w:t>increase of 12.5 per cent down on October’s 13.6 per cent increase.</w:t>
      </w:r>
    </w:p>
    <w:p w:rsidR="008A59FF" w:rsidRDefault="008A59FF" w:rsidP="00B85339">
      <w:pPr>
        <w:pStyle w:val="Body"/>
        <w:jc w:val="both"/>
        <w:rPr>
          <w:rFonts w:ascii="Calibri" w:hAnsi="Calibri"/>
          <w:lang w:val="en-NZ"/>
        </w:rPr>
      </w:pPr>
    </w:p>
    <w:p w:rsidR="008A59FF" w:rsidRPr="00271363" w:rsidRDefault="008A59FF" w:rsidP="008A59FF">
      <w:pPr>
        <w:rPr>
          <w:rFonts w:ascii="Calibri" w:hAnsi="Calibri"/>
          <w:b/>
          <w:i/>
          <w:sz w:val="20"/>
          <w:szCs w:val="20"/>
        </w:rPr>
      </w:pPr>
      <w:r w:rsidRPr="00271363">
        <w:rPr>
          <w:rFonts w:ascii="Calibri" w:hAnsi="Calibri"/>
          <w:b/>
          <w:i/>
          <w:sz w:val="20"/>
          <w:szCs w:val="20"/>
        </w:rPr>
        <w:t xml:space="preserve">Table 1: Asking prices for houses </w:t>
      </w:r>
      <w:r w:rsidR="00271363" w:rsidRPr="00271363">
        <w:rPr>
          <w:rFonts w:ascii="Calibri" w:hAnsi="Calibri"/>
          <w:b/>
          <w:i/>
          <w:sz w:val="20"/>
          <w:szCs w:val="20"/>
        </w:rPr>
        <w:t xml:space="preserve">by size </w:t>
      </w:r>
      <w:r w:rsidRPr="00271363">
        <w:rPr>
          <w:rFonts w:ascii="Calibri" w:hAnsi="Calibri"/>
          <w:b/>
          <w:i/>
          <w:sz w:val="20"/>
          <w:szCs w:val="20"/>
        </w:rPr>
        <w:t xml:space="preserve">&amp; YoY changes (Nov 2014 vs Nov 2013) </w:t>
      </w:r>
      <w:r w:rsidR="00644355" w:rsidRPr="00271363">
        <w:rPr>
          <w:rFonts w:ascii="Calibri" w:hAnsi="Calibri"/>
          <w:b/>
          <w:i/>
          <w:sz w:val="20"/>
          <w:szCs w:val="20"/>
        </w:rPr>
        <w:t xml:space="preserve"> </w:t>
      </w:r>
    </w:p>
    <w:p w:rsidR="008A59FF" w:rsidRPr="00832B69" w:rsidRDefault="008A59FF" w:rsidP="008A59FF">
      <w:pPr>
        <w:pStyle w:val="Body"/>
        <w:jc w:val="both"/>
        <w:rPr>
          <w:rFonts w:ascii="Calibri" w:hAnsi="Calibri"/>
          <w:sz w:val="20"/>
          <w:szCs w:val="20"/>
        </w:rPr>
      </w:pPr>
    </w:p>
    <w:tbl>
      <w:tblPr>
        <w:tblStyle w:val="LightShading-Accent2"/>
        <w:tblW w:w="0" w:type="auto"/>
        <w:tblCellSpacing w:w="57" w:type="dxa"/>
        <w:tblCellMar>
          <w:top w:w="115" w:type="dxa"/>
          <w:left w:w="115" w:type="dxa"/>
          <w:bottom w:w="115" w:type="dxa"/>
          <w:right w:w="115" w:type="dxa"/>
        </w:tblCellMar>
        <w:tblLook w:val="04A0" w:firstRow="1" w:lastRow="0" w:firstColumn="1" w:lastColumn="0" w:noHBand="0" w:noVBand="1"/>
      </w:tblPr>
      <w:tblGrid>
        <w:gridCol w:w="2040"/>
        <w:gridCol w:w="1975"/>
        <w:gridCol w:w="1992"/>
        <w:gridCol w:w="1993"/>
        <w:gridCol w:w="2064"/>
      </w:tblGrid>
      <w:tr w:rsidR="00644355" w:rsidRPr="00832B69" w:rsidTr="006518CF">
        <w:trPr>
          <w:cnfStyle w:val="100000000000" w:firstRow="1" w:lastRow="0" w:firstColumn="0" w:lastColumn="0" w:oddVBand="0" w:evenVBand="0" w:oddHBand="0"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970"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rPr>
            </w:pPr>
          </w:p>
        </w:tc>
        <w:tc>
          <w:tcPr>
            <w:tcW w:w="1971"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New Zealand</w:t>
            </w:r>
          </w:p>
        </w:tc>
        <w:tc>
          <w:tcPr>
            <w:tcW w:w="1971"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Auckland</w:t>
            </w:r>
          </w:p>
        </w:tc>
        <w:tc>
          <w:tcPr>
            <w:tcW w:w="1971"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Wellington</w:t>
            </w:r>
          </w:p>
        </w:tc>
        <w:tc>
          <w:tcPr>
            <w:tcW w:w="1971"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Christchurch</w:t>
            </w:r>
          </w:p>
        </w:tc>
      </w:tr>
      <w:tr w:rsidR="00644355" w:rsidRPr="00832B69" w:rsidTr="006518CF">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970"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832B69">
              <w:rPr>
                <w:rFonts w:ascii="Calibri" w:hAnsi="Calibri"/>
                <w:sz w:val="20"/>
                <w:szCs w:val="20"/>
              </w:rPr>
              <w:t>All property types</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w:t>
            </w:r>
            <w:r w:rsidR="00644355">
              <w:rPr>
                <w:rFonts w:ascii="Calibri" w:hAnsi="Calibri"/>
                <w:sz w:val="20"/>
                <w:szCs w:val="20"/>
              </w:rPr>
              <w:t>509,750</w:t>
            </w:r>
            <w:r w:rsidRPr="00832B69">
              <w:rPr>
                <w:rFonts w:ascii="Calibri" w:hAnsi="Calibri"/>
                <w:sz w:val="20"/>
                <w:szCs w:val="20"/>
              </w:rPr>
              <w:br/>
              <w:t>+ 1</w:t>
            </w:r>
            <w:r w:rsidR="00644355">
              <w:rPr>
                <w:rFonts w:ascii="Calibri" w:hAnsi="Calibri"/>
                <w:sz w:val="20"/>
                <w:szCs w:val="20"/>
              </w:rPr>
              <w:t>3</w:t>
            </w:r>
            <w:r w:rsidRPr="00832B69">
              <w:rPr>
                <w:rFonts w:ascii="Calibri" w:hAnsi="Calibri"/>
                <w:sz w:val="20"/>
                <w:szCs w:val="20"/>
              </w:rPr>
              <w:t>.</w:t>
            </w:r>
            <w:r w:rsidR="00644355">
              <w:rPr>
                <w:rFonts w:ascii="Calibri" w:hAnsi="Calibri"/>
                <w:sz w:val="20"/>
                <w:szCs w:val="20"/>
              </w:rPr>
              <w:t>7</w:t>
            </w:r>
            <w:r w:rsidRPr="00832B69">
              <w:rPr>
                <w:rFonts w:ascii="Calibri" w:hAnsi="Calibri"/>
                <w:sz w:val="20"/>
                <w:szCs w:val="20"/>
              </w:rPr>
              <w:t>%</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$6</w:t>
            </w:r>
            <w:r w:rsidR="00644355">
              <w:rPr>
                <w:rFonts w:ascii="Calibri" w:hAnsi="Calibri"/>
                <w:sz w:val="20"/>
                <w:szCs w:val="20"/>
              </w:rPr>
              <w:t>9</w:t>
            </w:r>
            <w:r w:rsidRPr="00832B69">
              <w:rPr>
                <w:rFonts w:ascii="Calibri" w:hAnsi="Calibri"/>
                <w:sz w:val="20"/>
                <w:szCs w:val="20"/>
              </w:rPr>
              <w:t>0,</w:t>
            </w:r>
            <w:r w:rsidR="00644355">
              <w:rPr>
                <w:rFonts w:ascii="Calibri" w:hAnsi="Calibri"/>
                <w:sz w:val="20"/>
                <w:szCs w:val="20"/>
              </w:rPr>
              <w:t>10</w:t>
            </w:r>
            <w:r w:rsidRPr="00832B69">
              <w:rPr>
                <w:rFonts w:ascii="Calibri" w:hAnsi="Calibri"/>
                <w:sz w:val="20"/>
                <w:szCs w:val="20"/>
              </w:rPr>
              <w:t>0</w:t>
            </w:r>
            <w:r w:rsidRPr="00832B69">
              <w:rPr>
                <w:rFonts w:ascii="Calibri" w:hAnsi="Calibri"/>
                <w:sz w:val="20"/>
                <w:szCs w:val="20"/>
              </w:rPr>
              <w:br/>
              <w:t xml:space="preserve">+ </w:t>
            </w:r>
            <w:r w:rsidR="00644355">
              <w:rPr>
                <w:rFonts w:ascii="Calibri" w:hAnsi="Calibri"/>
                <w:sz w:val="20"/>
                <w:szCs w:val="20"/>
              </w:rPr>
              <w:t>11</w:t>
            </w:r>
            <w:r w:rsidRPr="00832B69">
              <w:rPr>
                <w:rFonts w:ascii="Calibri" w:hAnsi="Calibri"/>
                <w:sz w:val="20"/>
                <w:szCs w:val="20"/>
              </w:rPr>
              <w:t>.</w:t>
            </w:r>
            <w:r w:rsidR="00644355">
              <w:rPr>
                <w:rFonts w:ascii="Calibri" w:hAnsi="Calibri"/>
                <w:sz w:val="20"/>
                <w:szCs w:val="20"/>
              </w:rPr>
              <w:t>3</w:t>
            </w:r>
            <w:r w:rsidRPr="00832B69">
              <w:rPr>
                <w:rFonts w:ascii="Calibri" w:hAnsi="Calibri"/>
                <w:sz w:val="20"/>
                <w:szCs w:val="20"/>
              </w:rPr>
              <w:t>%</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$44</w:t>
            </w:r>
            <w:r w:rsidR="00644355">
              <w:rPr>
                <w:rFonts w:ascii="Calibri" w:hAnsi="Calibri"/>
                <w:sz w:val="20"/>
                <w:szCs w:val="20"/>
              </w:rPr>
              <w:t>5</w:t>
            </w:r>
            <w:r w:rsidRPr="00832B69">
              <w:rPr>
                <w:rFonts w:ascii="Calibri" w:hAnsi="Calibri"/>
                <w:sz w:val="20"/>
                <w:szCs w:val="20"/>
              </w:rPr>
              <w:t>,</w:t>
            </w:r>
            <w:r w:rsidR="00644355">
              <w:rPr>
                <w:rFonts w:ascii="Calibri" w:hAnsi="Calibri"/>
                <w:sz w:val="20"/>
                <w:szCs w:val="20"/>
              </w:rPr>
              <w:t>0</w:t>
            </w:r>
            <w:r w:rsidRPr="00832B69">
              <w:rPr>
                <w:rFonts w:ascii="Calibri" w:hAnsi="Calibri"/>
                <w:sz w:val="20"/>
                <w:szCs w:val="20"/>
              </w:rPr>
              <w:t>00</w:t>
            </w:r>
            <w:r w:rsidRPr="00832B69">
              <w:rPr>
                <w:rFonts w:ascii="Calibri" w:hAnsi="Calibri"/>
                <w:sz w:val="20"/>
                <w:szCs w:val="20"/>
              </w:rPr>
              <w:br/>
              <w:t>+ 6.9%</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$4</w:t>
            </w:r>
            <w:r w:rsidR="00644355">
              <w:rPr>
                <w:rFonts w:ascii="Calibri" w:hAnsi="Calibri"/>
                <w:sz w:val="20"/>
                <w:szCs w:val="20"/>
              </w:rPr>
              <w:t>51</w:t>
            </w:r>
            <w:r w:rsidRPr="00832B69">
              <w:rPr>
                <w:rFonts w:ascii="Calibri" w:hAnsi="Calibri"/>
                <w:sz w:val="20"/>
                <w:szCs w:val="20"/>
              </w:rPr>
              <w:t>,</w:t>
            </w:r>
            <w:r w:rsidR="00644355">
              <w:rPr>
                <w:rFonts w:ascii="Calibri" w:hAnsi="Calibri"/>
                <w:sz w:val="20"/>
                <w:szCs w:val="20"/>
              </w:rPr>
              <w:t>700</w:t>
            </w:r>
            <w:r w:rsidR="00644355">
              <w:rPr>
                <w:rFonts w:ascii="Calibri" w:hAnsi="Calibri"/>
                <w:sz w:val="20"/>
                <w:szCs w:val="20"/>
              </w:rPr>
              <w:br/>
              <w:t>+ 10.9</w:t>
            </w:r>
            <w:r w:rsidRPr="00832B69">
              <w:rPr>
                <w:rFonts w:ascii="Calibri" w:hAnsi="Calibri"/>
                <w:sz w:val="20"/>
                <w:szCs w:val="20"/>
              </w:rPr>
              <w:t>%</w:t>
            </w:r>
          </w:p>
        </w:tc>
      </w:tr>
      <w:tr w:rsidR="00644355" w:rsidRPr="00832B69" w:rsidTr="006518CF">
        <w:trPr>
          <w:tblCellSpacing w:w="57" w:type="dxa"/>
        </w:trPr>
        <w:tc>
          <w:tcPr>
            <w:cnfStyle w:val="001000000000" w:firstRow="0" w:lastRow="0" w:firstColumn="1" w:lastColumn="0" w:oddVBand="0" w:evenVBand="0" w:oddHBand="0" w:evenHBand="0" w:firstRowFirstColumn="0" w:firstRowLastColumn="0" w:lastRowFirstColumn="0" w:lastRowLastColumn="0"/>
            <w:tcW w:w="1970"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832B69">
              <w:rPr>
                <w:rFonts w:ascii="Calibri" w:hAnsi="Calibri"/>
                <w:sz w:val="20"/>
                <w:szCs w:val="20"/>
              </w:rPr>
              <w:t>Large houses</w:t>
            </w:r>
            <w:r w:rsidRPr="00832B69">
              <w:rPr>
                <w:rFonts w:ascii="Calibri" w:hAnsi="Calibri"/>
                <w:sz w:val="20"/>
                <w:szCs w:val="20"/>
              </w:rPr>
              <w:br/>
            </w:r>
            <w:r w:rsidRPr="00832B69">
              <w:rPr>
                <w:rFonts w:ascii="Calibri" w:hAnsi="Calibri"/>
                <w:b w:val="0"/>
                <w:sz w:val="20"/>
                <w:szCs w:val="20"/>
              </w:rPr>
              <w:t>5+ bedrooms</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$86</w:t>
            </w:r>
            <w:r w:rsidR="00644355">
              <w:rPr>
                <w:rFonts w:ascii="Calibri" w:hAnsi="Calibri"/>
                <w:sz w:val="20"/>
                <w:szCs w:val="20"/>
              </w:rPr>
              <w:t>7</w:t>
            </w:r>
            <w:r w:rsidRPr="00832B69">
              <w:rPr>
                <w:rFonts w:ascii="Calibri" w:hAnsi="Calibri"/>
                <w:sz w:val="20"/>
                <w:szCs w:val="20"/>
              </w:rPr>
              <w:t>,</w:t>
            </w:r>
            <w:r w:rsidR="00644355">
              <w:rPr>
                <w:rFonts w:ascii="Calibri" w:hAnsi="Calibri"/>
                <w:sz w:val="20"/>
                <w:szCs w:val="20"/>
              </w:rPr>
              <w:t>70</w:t>
            </w:r>
            <w:r w:rsidRPr="00832B69">
              <w:rPr>
                <w:rFonts w:ascii="Calibri" w:hAnsi="Calibri"/>
                <w:sz w:val="20"/>
                <w:szCs w:val="20"/>
              </w:rPr>
              <w:t>0</w:t>
            </w:r>
            <w:r w:rsidRPr="00832B69">
              <w:rPr>
                <w:rFonts w:ascii="Calibri" w:hAnsi="Calibri"/>
                <w:sz w:val="20"/>
                <w:szCs w:val="20"/>
              </w:rPr>
              <w:br/>
              <w:t xml:space="preserve">+ </w:t>
            </w:r>
            <w:r w:rsidR="00644355">
              <w:rPr>
                <w:rFonts w:ascii="Calibri" w:hAnsi="Calibri"/>
                <w:sz w:val="20"/>
                <w:szCs w:val="20"/>
              </w:rPr>
              <w:t>8</w:t>
            </w:r>
            <w:r w:rsidRPr="00832B69">
              <w:rPr>
                <w:rFonts w:ascii="Calibri" w:hAnsi="Calibri"/>
                <w:sz w:val="20"/>
                <w:szCs w:val="20"/>
              </w:rPr>
              <w:t>.</w:t>
            </w:r>
            <w:r w:rsidR="00644355">
              <w:rPr>
                <w:rFonts w:ascii="Calibri" w:hAnsi="Calibri"/>
                <w:sz w:val="20"/>
                <w:szCs w:val="20"/>
              </w:rPr>
              <w:t>5</w:t>
            </w:r>
            <w:r w:rsidRPr="00832B69">
              <w:rPr>
                <w:rFonts w:ascii="Calibri" w:hAnsi="Calibri"/>
                <w:sz w:val="20"/>
                <w:szCs w:val="20"/>
              </w:rPr>
              <w:t>%</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$1,0</w:t>
            </w:r>
            <w:r w:rsidR="00644355">
              <w:rPr>
                <w:rFonts w:ascii="Calibri" w:hAnsi="Calibri"/>
                <w:sz w:val="20"/>
                <w:szCs w:val="20"/>
              </w:rPr>
              <w:t>20</w:t>
            </w:r>
            <w:r w:rsidRPr="00832B69">
              <w:rPr>
                <w:rFonts w:ascii="Calibri" w:hAnsi="Calibri"/>
                <w:sz w:val="20"/>
                <w:szCs w:val="20"/>
              </w:rPr>
              <w:t>,</w:t>
            </w:r>
            <w:r w:rsidR="00644355">
              <w:rPr>
                <w:rFonts w:ascii="Calibri" w:hAnsi="Calibri"/>
                <w:sz w:val="20"/>
                <w:szCs w:val="20"/>
              </w:rPr>
              <w:t>80</w:t>
            </w:r>
            <w:r w:rsidRPr="00832B69">
              <w:rPr>
                <w:rFonts w:ascii="Calibri" w:hAnsi="Calibri"/>
                <w:sz w:val="20"/>
                <w:szCs w:val="20"/>
              </w:rPr>
              <w:t>0</w:t>
            </w:r>
            <w:r w:rsidRPr="00832B69">
              <w:rPr>
                <w:rFonts w:ascii="Calibri" w:hAnsi="Calibri"/>
                <w:sz w:val="20"/>
                <w:szCs w:val="20"/>
              </w:rPr>
              <w:br/>
              <w:t xml:space="preserve">+ </w:t>
            </w:r>
            <w:r w:rsidR="00644355">
              <w:rPr>
                <w:rFonts w:ascii="Calibri" w:hAnsi="Calibri"/>
                <w:sz w:val="20"/>
                <w:szCs w:val="20"/>
              </w:rPr>
              <w:t>5.3</w:t>
            </w:r>
            <w:r w:rsidRPr="00832B69">
              <w:rPr>
                <w:rFonts w:ascii="Calibri" w:hAnsi="Calibri"/>
                <w:sz w:val="20"/>
                <w:szCs w:val="20"/>
              </w:rPr>
              <w:t>%</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644355">
              <w:rPr>
                <w:rFonts w:ascii="Calibri" w:hAnsi="Calibri"/>
                <w:color w:val="000000" w:themeColor="text1"/>
                <w:sz w:val="20"/>
                <w:szCs w:val="20"/>
              </w:rPr>
              <w:t>$7</w:t>
            </w:r>
            <w:r w:rsidR="00644355" w:rsidRPr="00644355">
              <w:rPr>
                <w:rFonts w:ascii="Calibri" w:hAnsi="Calibri"/>
                <w:color w:val="000000" w:themeColor="text1"/>
                <w:sz w:val="20"/>
                <w:szCs w:val="20"/>
              </w:rPr>
              <w:t>14</w:t>
            </w:r>
            <w:r w:rsidRPr="00644355">
              <w:rPr>
                <w:rFonts w:ascii="Calibri" w:hAnsi="Calibri"/>
                <w:color w:val="000000" w:themeColor="text1"/>
                <w:sz w:val="20"/>
                <w:szCs w:val="20"/>
              </w:rPr>
              <w:t>,</w:t>
            </w:r>
            <w:r w:rsidR="00644355" w:rsidRPr="00644355">
              <w:rPr>
                <w:rFonts w:ascii="Calibri" w:hAnsi="Calibri"/>
                <w:color w:val="000000" w:themeColor="text1"/>
                <w:sz w:val="20"/>
                <w:szCs w:val="20"/>
              </w:rPr>
              <w:t>95</w:t>
            </w:r>
            <w:r w:rsidRPr="00644355">
              <w:rPr>
                <w:rFonts w:ascii="Calibri" w:hAnsi="Calibri"/>
                <w:color w:val="000000" w:themeColor="text1"/>
                <w:sz w:val="20"/>
                <w:szCs w:val="20"/>
              </w:rPr>
              <w:t>0</w:t>
            </w:r>
            <w:r w:rsidRPr="00644355">
              <w:rPr>
                <w:rFonts w:ascii="Calibri" w:hAnsi="Calibri"/>
                <w:color w:val="000000" w:themeColor="text1"/>
                <w:sz w:val="20"/>
                <w:szCs w:val="20"/>
              </w:rPr>
              <w:br/>
            </w:r>
            <w:r w:rsidR="00644355" w:rsidRPr="00644355">
              <w:rPr>
                <w:rFonts w:ascii="Calibri" w:hAnsi="Calibri"/>
                <w:color w:val="000000" w:themeColor="text1"/>
                <w:sz w:val="20"/>
                <w:szCs w:val="20"/>
              </w:rPr>
              <w:t>+</w:t>
            </w:r>
            <w:r w:rsidRPr="00644355">
              <w:rPr>
                <w:rFonts w:ascii="Calibri" w:hAnsi="Calibri"/>
                <w:color w:val="000000" w:themeColor="text1"/>
                <w:sz w:val="20"/>
                <w:szCs w:val="20"/>
              </w:rPr>
              <w:t xml:space="preserve"> 2.</w:t>
            </w:r>
            <w:r w:rsidR="00644355" w:rsidRPr="00644355">
              <w:rPr>
                <w:rFonts w:ascii="Calibri" w:hAnsi="Calibri"/>
                <w:color w:val="000000" w:themeColor="text1"/>
                <w:sz w:val="20"/>
                <w:szCs w:val="20"/>
              </w:rPr>
              <w:t>5</w:t>
            </w:r>
            <w:r w:rsidRPr="00644355">
              <w:rPr>
                <w:rFonts w:ascii="Calibri" w:hAnsi="Calibri"/>
                <w:color w:val="000000" w:themeColor="text1"/>
                <w:sz w:val="20"/>
                <w:szCs w:val="20"/>
              </w:rPr>
              <w:t>%</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44355">
              <w:rPr>
                <w:rFonts w:ascii="Calibri" w:hAnsi="Calibri"/>
                <w:color w:val="FF0000"/>
                <w:sz w:val="20"/>
                <w:szCs w:val="20"/>
              </w:rPr>
              <w:t>$</w:t>
            </w:r>
            <w:r w:rsidR="00644355" w:rsidRPr="00644355">
              <w:rPr>
                <w:rFonts w:ascii="Calibri" w:hAnsi="Calibri"/>
                <w:color w:val="FF0000"/>
                <w:sz w:val="20"/>
                <w:szCs w:val="20"/>
              </w:rPr>
              <w:t>690,650</w:t>
            </w:r>
            <w:r w:rsidRPr="00644355">
              <w:rPr>
                <w:rFonts w:ascii="Calibri" w:hAnsi="Calibri"/>
                <w:color w:val="FF0000"/>
                <w:sz w:val="20"/>
                <w:szCs w:val="20"/>
              </w:rPr>
              <w:br/>
            </w:r>
            <w:r w:rsidR="00644355" w:rsidRPr="00644355">
              <w:rPr>
                <w:rFonts w:ascii="Calibri" w:hAnsi="Calibri"/>
                <w:color w:val="FF0000"/>
                <w:sz w:val="20"/>
                <w:szCs w:val="20"/>
              </w:rPr>
              <w:t>- 4.3</w:t>
            </w:r>
            <w:r w:rsidRPr="00644355">
              <w:rPr>
                <w:rFonts w:ascii="Calibri" w:hAnsi="Calibri"/>
                <w:color w:val="FF0000"/>
                <w:sz w:val="20"/>
                <w:szCs w:val="20"/>
              </w:rPr>
              <w:t>%</w:t>
            </w:r>
          </w:p>
        </w:tc>
      </w:tr>
      <w:tr w:rsidR="00644355" w:rsidRPr="00832B69" w:rsidTr="006518CF">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970"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832B69">
              <w:rPr>
                <w:rFonts w:ascii="Calibri" w:hAnsi="Calibri"/>
                <w:sz w:val="20"/>
                <w:szCs w:val="20"/>
              </w:rPr>
              <w:t>Medium houses</w:t>
            </w:r>
          </w:p>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sz w:val="20"/>
                <w:szCs w:val="20"/>
              </w:rPr>
            </w:pPr>
            <w:r w:rsidRPr="00832B69">
              <w:rPr>
                <w:rFonts w:ascii="Calibri" w:hAnsi="Calibri"/>
                <w:b w:val="0"/>
                <w:sz w:val="20"/>
                <w:szCs w:val="20"/>
              </w:rPr>
              <w:t>3-4 bedrooms</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w:t>
            </w:r>
            <w:r w:rsidR="00644355">
              <w:rPr>
                <w:rFonts w:ascii="Calibri" w:hAnsi="Calibri"/>
                <w:sz w:val="20"/>
                <w:szCs w:val="20"/>
              </w:rPr>
              <w:t>514,050</w:t>
            </w:r>
            <w:r w:rsidRPr="00832B69">
              <w:rPr>
                <w:rFonts w:ascii="Calibri" w:hAnsi="Calibri"/>
                <w:sz w:val="20"/>
                <w:szCs w:val="20"/>
              </w:rPr>
              <w:br/>
              <w:t>+ 1</w:t>
            </w:r>
            <w:r w:rsidR="00644355">
              <w:rPr>
                <w:rFonts w:ascii="Calibri" w:hAnsi="Calibri"/>
                <w:sz w:val="20"/>
                <w:szCs w:val="20"/>
              </w:rPr>
              <w:t>3</w:t>
            </w:r>
            <w:r w:rsidRPr="00832B69">
              <w:rPr>
                <w:rFonts w:ascii="Calibri" w:hAnsi="Calibri"/>
                <w:sz w:val="20"/>
                <w:szCs w:val="20"/>
              </w:rPr>
              <w:t>.</w:t>
            </w:r>
            <w:r w:rsidR="00644355">
              <w:rPr>
                <w:rFonts w:ascii="Calibri" w:hAnsi="Calibri"/>
                <w:sz w:val="20"/>
                <w:szCs w:val="20"/>
              </w:rPr>
              <w:t>2</w:t>
            </w:r>
            <w:r w:rsidRPr="00832B69">
              <w:rPr>
                <w:rFonts w:ascii="Calibri" w:hAnsi="Calibri"/>
                <w:sz w:val="20"/>
                <w:szCs w:val="20"/>
              </w:rPr>
              <w:t>%</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w:t>
            </w:r>
            <w:r w:rsidR="00644355">
              <w:rPr>
                <w:rFonts w:ascii="Calibri" w:hAnsi="Calibri"/>
                <w:sz w:val="20"/>
                <w:szCs w:val="20"/>
              </w:rPr>
              <w:t>702,900</w:t>
            </w:r>
            <w:r w:rsidRPr="00832B69">
              <w:rPr>
                <w:rFonts w:ascii="Calibri" w:hAnsi="Calibri"/>
                <w:sz w:val="20"/>
                <w:szCs w:val="20"/>
              </w:rPr>
              <w:br/>
              <w:t>+ 8</w:t>
            </w:r>
            <w:r w:rsidR="00644355">
              <w:rPr>
                <w:rFonts w:ascii="Calibri" w:hAnsi="Calibri"/>
                <w:sz w:val="20"/>
                <w:szCs w:val="20"/>
              </w:rPr>
              <w:t>.7</w:t>
            </w:r>
            <w:r w:rsidRPr="00832B69">
              <w:rPr>
                <w:rFonts w:ascii="Calibri" w:hAnsi="Calibri"/>
                <w:sz w:val="20"/>
                <w:szCs w:val="20"/>
              </w:rPr>
              <w:t>%</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w:t>
            </w:r>
            <w:r w:rsidR="00644355">
              <w:rPr>
                <w:rFonts w:ascii="Calibri" w:hAnsi="Calibri"/>
                <w:sz w:val="20"/>
                <w:szCs w:val="20"/>
              </w:rPr>
              <w:t>458,8</w:t>
            </w:r>
            <w:r w:rsidRPr="00832B69">
              <w:rPr>
                <w:rFonts w:ascii="Calibri" w:hAnsi="Calibri"/>
                <w:sz w:val="20"/>
                <w:szCs w:val="20"/>
              </w:rPr>
              <w:t>00</w:t>
            </w:r>
            <w:r w:rsidRPr="00832B69">
              <w:rPr>
                <w:rFonts w:ascii="Calibri" w:hAnsi="Calibri"/>
                <w:sz w:val="20"/>
                <w:szCs w:val="20"/>
              </w:rPr>
              <w:br/>
              <w:t xml:space="preserve">+ </w:t>
            </w:r>
            <w:r w:rsidR="00644355">
              <w:rPr>
                <w:rFonts w:ascii="Calibri" w:hAnsi="Calibri"/>
                <w:sz w:val="20"/>
                <w:szCs w:val="20"/>
              </w:rPr>
              <w:t>5.8</w:t>
            </w:r>
            <w:r w:rsidRPr="00832B69">
              <w:rPr>
                <w:rFonts w:ascii="Calibri" w:hAnsi="Calibri"/>
                <w:sz w:val="20"/>
                <w:szCs w:val="20"/>
              </w:rPr>
              <w:t>%</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$4</w:t>
            </w:r>
            <w:r w:rsidR="00644355">
              <w:rPr>
                <w:rFonts w:ascii="Calibri" w:hAnsi="Calibri"/>
                <w:sz w:val="20"/>
                <w:szCs w:val="20"/>
              </w:rPr>
              <w:t>78</w:t>
            </w:r>
            <w:r w:rsidRPr="00832B69">
              <w:rPr>
                <w:rFonts w:ascii="Calibri" w:hAnsi="Calibri"/>
                <w:sz w:val="20"/>
                <w:szCs w:val="20"/>
              </w:rPr>
              <w:t>,700</w:t>
            </w:r>
            <w:r w:rsidRPr="00832B69">
              <w:rPr>
                <w:rFonts w:ascii="Calibri" w:hAnsi="Calibri"/>
                <w:sz w:val="20"/>
                <w:szCs w:val="20"/>
              </w:rPr>
              <w:br/>
              <w:t xml:space="preserve">+ </w:t>
            </w:r>
            <w:r w:rsidR="00644355">
              <w:rPr>
                <w:rFonts w:ascii="Calibri" w:hAnsi="Calibri"/>
                <w:sz w:val="20"/>
                <w:szCs w:val="20"/>
              </w:rPr>
              <w:t>9.7</w:t>
            </w:r>
            <w:r w:rsidRPr="00832B69">
              <w:rPr>
                <w:rFonts w:ascii="Calibri" w:hAnsi="Calibri"/>
                <w:sz w:val="20"/>
                <w:szCs w:val="20"/>
              </w:rPr>
              <w:t>%</w:t>
            </w:r>
          </w:p>
        </w:tc>
      </w:tr>
      <w:tr w:rsidR="00644355" w:rsidRPr="00832B69" w:rsidTr="006518CF">
        <w:trPr>
          <w:trHeight w:val="242"/>
          <w:tblCellSpacing w:w="57" w:type="dxa"/>
        </w:trPr>
        <w:tc>
          <w:tcPr>
            <w:cnfStyle w:val="001000000000" w:firstRow="0" w:lastRow="0" w:firstColumn="1" w:lastColumn="0" w:oddVBand="0" w:evenVBand="0" w:oddHBand="0" w:evenHBand="0" w:firstRowFirstColumn="0" w:firstRowLastColumn="0" w:lastRowFirstColumn="0" w:lastRowLastColumn="0"/>
            <w:tcW w:w="1970"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832B69">
              <w:rPr>
                <w:rFonts w:ascii="Calibri" w:hAnsi="Calibri"/>
                <w:sz w:val="20"/>
                <w:szCs w:val="20"/>
              </w:rPr>
              <w:t>Small houses</w:t>
            </w:r>
          </w:p>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sz w:val="20"/>
                <w:szCs w:val="20"/>
              </w:rPr>
            </w:pPr>
            <w:r w:rsidRPr="00832B69">
              <w:rPr>
                <w:rFonts w:ascii="Calibri" w:hAnsi="Calibri"/>
                <w:b w:val="0"/>
                <w:sz w:val="20"/>
                <w:szCs w:val="20"/>
              </w:rPr>
              <w:t>1-2 bedrooms</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$3</w:t>
            </w:r>
            <w:r w:rsidR="00644355">
              <w:rPr>
                <w:rFonts w:ascii="Calibri" w:hAnsi="Calibri"/>
                <w:sz w:val="20"/>
                <w:szCs w:val="20"/>
              </w:rPr>
              <w:t>34</w:t>
            </w:r>
            <w:r w:rsidRPr="00832B69">
              <w:rPr>
                <w:rFonts w:ascii="Calibri" w:hAnsi="Calibri"/>
                <w:sz w:val="20"/>
                <w:szCs w:val="20"/>
              </w:rPr>
              <w:t>,</w:t>
            </w:r>
            <w:r w:rsidR="00644355">
              <w:rPr>
                <w:rFonts w:ascii="Calibri" w:hAnsi="Calibri"/>
                <w:sz w:val="20"/>
                <w:szCs w:val="20"/>
              </w:rPr>
              <w:t>700</w:t>
            </w:r>
            <w:r w:rsidRPr="00832B69">
              <w:rPr>
                <w:rFonts w:ascii="Calibri" w:hAnsi="Calibri"/>
                <w:sz w:val="20"/>
                <w:szCs w:val="20"/>
              </w:rPr>
              <w:br/>
              <w:t>+ 1</w:t>
            </w:r>
            <w:r w:rsidR="00644355">
              <w:rPr>
                <w:rFonts w:ascii="Calibri" w:hAnsi="Calibri"/>
                <w:sz w:val="20"/>
                <w:szCs w:val="20"/>
              </w:rPr>
              <w:t>5</w:t>
            </w:r>
            <w:r w:rsidRPr="00832B69">
              <w:rPr>
                <w:rFonts w:ascii="Calibri" w:hAnsi="Calibri"/>
                <w:sz w:val="20"/>
                <w:szCs w:val="20"/>
              </w:rPr>
              <w:t>.</w:t>
            </w:r>
            <w:r w:rsidR="00644355">
              <w:rPr>
                <w:rFonts w:ascii="Calibri" w:hAnsi="Calibri"/>
                <w:sz w:val="20"/>
                <w:szCs w:val="20"/>
              </w:rPr>
              <w:t>4</w:t>
            </w:r>
            <w:r w:rsidRPr="00832B69">
              <w:rPr>
                <w:rFonts w:ascii="Calibri" w:hAnsi="Calibri"/>
                <w:sz w:val="20"/>
                <w:szCs w:val="20"/>
              </w:rPr>
              <w:t>%</w:t>
            </w:r>
            <w:r w:rsidRPr="00832B69">
              <w:rPr>
                <w:rFonts w:ascii="Calibri" w:hAnsi="Calibri"/>
                <w:sz w:val="20"/>
                <w:szCs w:val="20"/>
              </w:rPr>
              <w:tab/>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w:t>
            </w:r>
            <w:r w:rsidR="00644355">
              <w:rPr>
                <w:rFonts w:ascii="Calibri" w:hAnsi="Calibri"/>
                <w:sz w:val="20"/>
                <w:szCs w:val="20"/>
              </w:rPr>
              <w:t>521,750</w:t>
            </w:r>
            <w:r w:rsidRPr="00832B69">
              <w:rPr>
                <w:rFonts w:ascii="Calibri" w:hAnsi="Calibri"/>
                <w:sz w:val="20"/>
                <w:szCs w:val="20"/>
              </w:rPr>
              <w:br/>
              <w:t xml:space="preserve">+ </w:t>
            </w:r>
            <w:r w:rsidR="00644355">
              <w:rPr>
                <w:rFonts w:ascii="Calibri" w:hAnsi="Calibri"/>
                <w:sz w:val="20"/>
                <w:szCs w:val="20"/>
              </w:rPr>
              <w:t>14.4</w:t>
            </w:r>
            <w:r w:rsidRPr="00832B69">
              <w:rPr>
                <w:rFonts w:ascii="Calibri" w:hAnsi="Calibri"/>
                <w:sz w:val="20"/>
                <w:szCs w:val="20"/>
              </w:rPr>
              <w:t>%</w:t>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$32</w:t>
            </w:r>
            <w:r w:rsidR="00644355">
              <w:rPr>
                <w:rFonts w:ascii="Calibri" w:hAnsi="Calibri"/>
                <w:sz w:val="20"/>
                <w:szCs w:val="20"/>
              </w:rPr>
              <w:t>9,300</w:t>
            </w:r>
            <w:r w:rsidRPr="00832B69">
              <w:rPr>
                <w:rFonts w:ascii="Calibri" w:hAnsi="Calibri"/>
                <w:sz w:val="20"/>
                <w:szCs w:val="20"/>
              </w:rPr>
              <w:br/>
              <w:t>+ 9</w:t>
            </w:r>
            <w:r w:rsidR="00644355">
              <w:rPr>
                <w:rFonts w:ascii="Calibri" w:hAnsi="Calibri"/>
                <w:sz w:val="20"/>
                <w:szCs w:val="20"/>
              </w:rPr>
              <w:t>.5</w:t>
            </w:r>
            <w:r w:rsidRPr="00832B69">
              <w:rPr>
                <w:rFonts w:ascii="Calibri" w:hAnsi="Calibri"/>
                <w:sz w:val="20"/>
                <w:szCs w:val="20"/>
              </w:rPr>
              <w:t>%</w:t>
            </w:r>
            <w:r w:rsidRPr="00832B69">
              <w:rPr>
                <w:rFonts w:ascii="Calibri" w:hAnsi="Calibri"/>
                <w:sz w:val="20"/>
                <w:szCs w:val="20"/>
              </w:rPr>
              <w:tab/>
            </w:r>
          </w:p>
        </w:tc>
        <w:tc>
          <w:tcPr>
            <w:tcW w:w="1971" w:type="dxa"/>
          </w:tcPr>
          <w:p w:rsidR="008A59FF" w:rsidRPr="00832B69" w:rsidRDefault="008A59FF" w:rsidP="0064435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w:t>
            </w:r>
            <w:r w:rsidR="00644355">
              <w:rPr>
                <w:rFonts w:ascii="Calibri" w:hAnsi="Calibri"/>
                <w:sz w:val="20"/>
                <w:szCs w:val="20"/>
              </w:rPr>
              <w:t>239</w:t>
            </w:r>
            <w:r w:rsidRPr="00832B69">
              <w:rPr>
                <w:rFonts w:ascii="Calibri" w:hAnsi="Calibri"/>
                <w:sz w:val="20"/>
                <w:szCs w:val="20"/>
              </w:rPr>
              <w:t>,</w:t>
            </w:r>
            <w:r w:rsidR="00644355">
              <w:rPr>
                <w:rFonts w:ascii="Calibri" w:hAnsi="Calibri"/>
                <w:sz w:val="20"/>
                <w:szCs w:val="20"/>
              </w:rPr>
              <w:t>10</w:t>
            </w:r>
            <w:r w:rsidRPr="00832B69">
              <w:rPr>
                <w:rFonts w:ascii="Calibri" w:hAnsi="Calibri"/>
                <w:sz w:val="20"/>
                <w:szCs w:val="20"/>
              </w:rPr>
              <w:t>0</w:t>
            </w:r>
            <w:r w:rsidRPr="00832B69">
              <w:rPr>
                <w:rFonts w:ascii="Calibri" w:hAnsi="Calibri"/>
                <w:sz w:val="20"/>
                <w:szCs w:val="20"/>
              </w:rPr>
              <w:br/>
              <w:t xml:space="preserve">+ </w:t>
            </w:r>
            <w:r w:rsidR="00644355">
              <w:rPr>
                <w:rFonts w:ascii="Calibri" w:hAnsi="Calibri"/>
                <w:sz w:val="20"/>
                <w:szCs w:val="20"/>
              </w:rPr>
              <w:t>7.8</w:t>
            </w:r>
            <w:r w:rsidRPr="00832B69">
              <w:rPr>
                <w:rFonts w:ascii="Calibri" w:hAnsi="Calibri"/>
                <w:sz w:val="20"/>
                <w:szCs w:val="20"/>
              </w:rPr>
              <w:t>%</w:t>
            </w:r>
          </w:p>
        </w:tc>
      </w:tr>
    </w:tbl>
    <w:p w:rsidR="008A59FF" w:rsidRPr="00832B69" w:rsidRDefault="008A59FF" w:rsidP="008A59FF">
      <w:pPr>
        <w:pStyle w:val="Body"/>
        <w:jc w:val="both"/>
        <w:rPr>
          <w:rFonts w:ascii="Calibri" w:hAnsi="Calibri"/>
          <w:sz w:val="20"/>
          <w:szCs w:val="20"/>
        </w:rPr>
      </w:pPr>
    </w:p>
    <w:p w:rsidR="00140AB5" w:rsidRDefault="00140AB5" w:rsidP="00B85339">
      <w:pPr>
        <w:pStyle w:val="Body"/>
        <w:jc w:val="both"/>
        <w:rPr>
          <w:rFonts w:ascii="Calibri" w:hAnsi="Calibri"/>
          <w:b/>
          <w:lang w:val="en-NZ"/>
        </w:rPr>
      </w:pPr>
    </w:p>
    <w:p w:rsidR="003532F0" w:rsidRPr="00A561FE" w:rsidRDefault="00226C44" w:rsidP="00B85339">
      <w:pPr>
        <w:pStyle w:val="Body"/>
        <w:jc w:val="both"/>
        <w:rPr>
          <w:rFonts w:ascii="Calibri" w:hAnsi="Calibri"/>
          <w:b/>
          <w:lang w:val="en-NZ"/>
        </w:rPr>
      </w:pPr>
      <w:r w:rsidRPr="00A561FE">
        <w:rPr>
          <w:rFonts w:ascii="Calibri" w:hAnsi="Calibri"/>
          <w:b/>
          <w:lang w:val="en-NZ"/>
        </w:rPr>
        <w:t>Apartment</w:t>
      </w:r>
      <w:r w:rsidR="002E71B5" w:rsidRPr="00A561FE">
        <w:rPr>
          <w:rFonts w:ascii="Calibri" w:hAnsi="Calibri"/>
          <w:b/>
          <w:lang w:val="en-NZ"/>
        </w:rPr>
        <w:t xml:space="preserve"> market surges ahead</w:t>
      </w:r>
    </w:p>
    <w:p w:rsidR="003532F0" w:rsidRPr="00A561FE" w:rsidRDefault="003532F0" w:rsidP="00B85339">
      <w:pPr>
        <w:pStyle w:val="Body"/>
        <w:jc w:val="both"/>
        <w:rPr>
          <w:rFonts w:ascii="Calibri" w:hAnsi="Calibri"/>
          <w:lang w:val="en-NZ"/>
        </w:rPr>
      </w:pPr>
    </w:p>
    <w:p w:rsidR="003532F0" w:rsidRPr="00A561FE" w:rsidRDefault="00226C44" w:rsidP="00B85339">
      <w:pPr>
        <w:pStyle w:val="Body"/>
        <w:jc w:val="both"/>
        <w:rPr>
          <w:rFonts w:ascii="Calibri" w:hAnsi="Calibri"/>
          <w:lang w:val="en-NZ"/>
        </w:rPr>
      </w:pPr>
      <w:r w:rsidRPr="00A561FE">
        <w:rPr>
          <w:rFonts w:ascii="Calibri" w:hAnsi="Calibri"/>
          <w:lang w:val="en-NZ"/>
        </w:rPr>
        <w:t xml:space="preserve">Mr Jeffries </w:t>
      </w:r>
      <w:r w:rsidR="00B85339" w:rsidRPr="00A561FE">
        <w:rPr>
          <w:rFonts w:ascii="Calibri" w:hAnsi="Calibri"/>
          <w:lang w:val="en-NZ"/>
        </w:rPr>
        <w:t xml:space="preserve">said </w:t>
      </w:r>
      <w:r w:rsidR="008A59FF">
        <w:rPr>
          <w:rFonts w:ascii="Calibri" w:hAnsi="Calibri"/>
          <w:lang w:val="en-NZ"/>
        </w:rPr>
        <w:t xml:space="preserve">expectations in the </w:t>
      </w:r>
      <w:r w:rsidRPr="00A561FE">
        <w:rPr>
          <w:rFonts w:ascii="Calibri" w:hAnsi="Calibri"/>
          <w:lang w:val="en-NZ"/>
        </w:rPr>
        <w:t xml:space="preserve">apartment sector </w:t>
      </w:r>
      <w:r w:rsidR="00B85339" w:rsidRPr="00A561FE">
        <w:rPr>
          <w:rFonts w:ascii="Calibri" w:hAnsi="Calibri"/>
          <w:lang w:val="en-NZ"/>
        </w:rPr>
        <w:t>w</w:t>
      </w:r>
      <w:r w:rsidR="008A59FF">
        <w:rPr>
          <w:rFonts w:ascii="Calibri" w:hAnsi="Calibri"/>
          <w:lang w:val="en-NZ"/>
        </w:rPr>
        <w:t xml:space="preserve">ere </w:t>
      </w:r>
      <w:r w:rsidR="0027185A" w:rsidRPr="00A561FE">
        <w:rPr>
          <w:rFonts w:ascii="Calibri" w:hAnsi="Calibri"/>
          <w:lang w:val="en-NZ"/>
        </w:rPr>
        <w:t>clearly</w:t>
      </w:r>
      <w:r w:rsidR="002E71B5" w:rsidRPr="00A561FE">
        <w:rPr>
          <w:rFonts w:ascii="Calibri" w:hAnsi="Calibri"/>
          <w:lang w:val="en-NZ"/>
        </w:rPr>
        <w:t xml:space="preserve"> on the rise with a new </w:t>
      </w:r>
      <w:r w:rsidR="008A59FF">
        <w:rPr>
          <w:rFonts w:ascii="Calibri" w:hAnsi="Calibri"/>
          <w:lang w:val="en-NZ"/>
        </w:rPr>
        <w:t xml:space="preserve">average asking price </w:t>
      </w:r>
      <w:r w:rsidR="002E71B5" w:rsidRPr="00A561FE">
        <w:rPr>
          <w:rFonts w:ascii="Calibri" w:hAnsi="Calibri"/>
          <w:lang w:val="en-NZ"/>
        </w:rPr>
        <w:t>record of $426,950</w:t>
      </w:r>
      <w:r w:rsidR="008A59FF">
        <w:rPr>
          <w:rFonts w:ascii="Calibri" w:hAnsi="Calibri"/>
          <w:lang w:val="en-NZ"/>
        </w:rPr>
        <w:t xml:space="preserve"> in November,</w:t>
      </w:r>
      <w:r w:rsidR="002E71B5" w:rsidRPr="00A561FE">
        <w:rPr>
          <w:rFonts w:ascii="Calibri" w:hAnsi="Calibri"/>
          <w:lang w:val="en-NZ"/>
        </w:rPr>
        <w:t xml:space="preserve"> following</w:t>
      </w:r>
      <w:r w:rsidR="0027185A" w:rsidRPr="00A561FE">
        <w:rPr>
          <w:rFonts w:ascii="Calibri" w:hAnsi="Calibri"/>
          <w:lang w:val="en-NZ"/>
        </w:rPr>
        <w:t xml:space="preserve"> on from</w:t>
      </w:r>
      <w:r w:rsidR="002E71B5" w:rsidRPr="00A561FE">
        <w:rPr>
          <w:rFonts w:ascii="Calibri" w:hAnsi="Calibri"/>
          <w:lang w:val="en-NZ"/>
        </w:rPr>
        <w:t xml:space="preserve"> </w:t>
      </w:r>
      <w:r w:rsidR="008A59FF">
        <w:rPr>
          <w:rFonts w:ascii="Calibri" w:hAnsi="Calibri"/>
          <w:lang w:val="en-NZ"/>
        </w:rPr>
        <w:t xml:space="preserve">a new record last month. “It’s no surprise that the </w:t>
      </w:r>
      <w:r w:rsidR="002E71B5" w:rsidRPr="00A561FE">
        <w:rPr>
          <w:rFonts w:ascii="Calibri" w:hAnsi="Calibri"/>
          <w:lang w:val="en-NZ"/>
        </w:rPr>
        <w:t>driving f</w:t>
      </w:r>
      <w:r w:rsidR="0027185A" w:rsidRPr="00A561FE">
        <w:rPr>
          <w:rFonts w:ascii="Calibri" w:hAnsi="Calibri"/>
          <w:lang w:val="en-NZ"/>
        </w:rPr>
        <w:t>o</w:t>
      </w:r>
      <w:r w:rsidR="002E71B5" w:rsidRPr="00A561FE">
        <w:rPr>
          <w:rFonts w:ascii="Calibri" w:hAnsi="Calibri"/>
          <w:lang w:val="en-NZ"/>
        </w:rPr>
        <w:t>rce</w:t>
      </w:r>
      <w:r w:rsidR="008A59FF">
        <w:rPr>
          <w:rFonts w:ascii="Calibri" w:hAnsi="Calibri"/>
          <w:lang w:val="en-NZ"/>
        </w:rPr>
        <w:t xml:space="preserve"> here</w:t>
      </w:r>
      <w:r w:rsidR="002E71B5" w:rsidRPr="00A561FE">
        <w:rPr>
          <w:rFonts w:ascii="Calibri" w:hAnsi="Calibri"/>
          <w:lang w:val="en-NZ"/>
        </w:rPr>
        <w:t xml:space="preserve"> is Auckland</w:t>
      </w:r>
      <w:r w:rsidR="008A59FF">
        <w:rPr>
          <w:rFonts w:ascii="Calibri" w:hAnsi="Calibri"/>
          <w:lang w:val="en-NZ"/>
        </w:rPr>
        <w:t xml:space="preserve"> – up </w:t>
      </w:r>
      <w:r w:rsidR="002E71B5" w:rsidRPr="00A561FE">
        <w:rPr>
          <w:rFonts w:ascii="Calibri" w:hAnsi="Calibri"/>
          <w:lang w:val="en-NZ"/>
        </w:rPr>
        <w:t xml:space="preserve">22 per cent to </w:t>
      </w:r>
      <w:r w:rsidR="008A59FF">
        <w:rPr>
          <w:rFonts w:ascii="Calibri" w:hAnsi="Calibri"/>
          <w:lang w:val="en-NZ"/>
        </w:rPr>
        <w:t xml:space="preserve">an average asking price of </w:t>
      </w:r>
      <w:r w:rsidR="002E71B5" w:rsidRPr="00A561FE">
        <w:rPr>
          <w:rFonts w:ascii="Calibri" w:hAnsi="Calibri"/>
          <w:lang w:val="en-NZ"/>
        </w:rPr>
        <w:t>$435,500</w:t>
      </w:r>
      <w:r w:rsidR="008A59FF">
        <w:rPr>
          <w:rFonts w:ascii="Calibri" w:hAnsi="Calibri"/>
          <w:lang w:val="en-NZ"/>
        </w:rPr>
        <w:t xml:space="preserve">, and up more than </w:t>
      </w:r>
      <w:r w:rsidR="002E71B5" w:rsidRPr="00A561FE">
        <w:rPr>
          <w:rFonts w:ascii="Calibri" w:hAnsi="Calibri"/>
          <w:lang w:val="en-NZ"/>
        </w:rPr>
        <w:t xml:space="preserve">$30,000 </w:t>
      </w:r>
      <w:r w:rsidR="008A59FF">
        <w:rPr>
          <w:rFonts w:ascii="Calibri" w:hAnsi="Calibri"/>
          <w:lang w:val="en-NZ"/>
        </w:rPr>
        <w:t>since October. Compact living in the city remains alluring.</w:t>
      </w:r>
      <w:r w:rsidR="00B85339" w:rsidRPr="00A561FE">
        <w:rPr>
          <w:rFonts w:ascii="Calibri" w:hAnsi="Calibri"/>
          <w:lang w:val="en-NZ"/>
        </w:rPr>
        <w:t xml:space="preserve">” </w:t>
      </w:r>
    </w:p>
    <w:p w:rsidR="003532F0" w:rsidRPr="00A561FE" w:rsidRDefault="003532F0" w:rsidP="00B85339">
      <w:pPr>
        <w:pStyle w:val="Body"/>
        <w:jc w:val="both"/>
        <w:rPr>
          <w:rFonts w:ascii="Calibri" w:hAnsi="Calibri"/>
          <w:lang w:val="en-NZ"/>
        </w:rPr>
      </w:pPr>
    </w:p>
    <w:p w:rsidR="008A59FF" w:rsidRPr="00271363" w:rsidRDefault="008A59FF" w:rsidP="008A59FF">
      <w:pPr>
        <w:pStyle w:val="Body"/>
        <w:jc w:val="both"/>
        <w:rPr>
          <w:rFonts w:ascii="Calibri" w:hAnsi="Calibri"/>
          <w:b/>
          <w:i/>
          <w:sz w:val="20"/>
          <w:szCs w:val="20"/>
        </w:rPr>
      </w:pPr>
      <w:r w:rsidRPr="00271363">
        <w:rPr>
          <w:rFonts w:ascii="Calibri" w:hAnsi="Calibri"/>
          <w:b/>
          <w:i/>
          <w:sz w:val="20"/>
          <w:szCs w:val="20"/>
        </w:rPr>
        <w:t xml:space="preserve">Table 2: Asking prices for apartments/townhouses/units &amp; YoY changes (Nov 2014 vs Nov 2013) </w:t>
      </w:r>
      <w:r w:rsidR="00E90CD5" w:rsidRPr="00271363">
        <w:rPr>
          <w:rFonts w:ascii="Calibri" w:hAnsi="Calibri"/>
          <w:b/>
          <w:i/>
          <w:sz w:val="20"/>
          <w:szCs w:val="20"/>
        </w:rPr>
        <w:t xml:space="preserve"> </w:t>
      </w:r>
    </w:p>
    <w:p w:rsidR="008A59FF" w:rsidRPr="00832B69" w:rsidRDefault="008A59FF" w:rsidP="008A59FF">
      <w:pPr>
        <w:pStyle w:val="Body"/>
        <w:jc w:val="both"/>
        <w:rPr>
          <w:rFonts w:ascii="Calibri" w:hAnsi="Calibri"/>
          <w:sz w:val="20"/>
          <w:szCs w:val="20"/>
        </w:rPr>
      </w:pPr>
    </w:p>
    <w:tbl>
      <w:tblPr>
        <w:tblStyle w:val="LightShading-Accent2"/>
        <w:tblW w:w="0" w:type="auto"/>
        <w:tblCellSpacing w:w="57" w:type="dxa"/>
        <w:tblCellMar>
          <w:top w:w="115" w:type="dxa"/>
          <w:left w:w="115" w:type="dxa"/>
          <w:bottom w:w="115" w:type="dxa"/>
          <w:right w:w="115" w:type="dxa"/>
        </w:tblCellMar>
        <w:tblLook w:val="04A0" w:firstRow="1" w:lastRow="0" w:firstColumn="1" w:lastColumn="0" w:noHBand="0" w:noVBand="1"/>
      </w:tblPr>
      <w:tblGrid>
        <w:gridCol w:w="1975"/>
        <w:gridCol w:w="1871"/>
        <w:gridCol w:w="1889"/>
        <w:gridCol w:w="1908"/>
        <w:gridCol w:w="1995"/>
      </w:tblGrid>
      <w:tr w:rsidR="008A59FF" w:rsidRPr="00832B69" w:rsidTr="006518CF">
        <w:trPr>
          <w:cnfStyle w:val="100000000000" w:firstRow="1" w:lastRow="0" w:firstColumn="0" w:lastColumn="0" w:oddVBand="0" w:evenVBand="0" w:oddHBand="0"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804"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rPr>
            </w:pPr>
          </w:p>
        </w:tc>
        <w:tc>
          <w:tcPr>
            <w:tcW w:w="1757"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New Zealand</w:t>
            </w:r>
          </w:p>
        </w:tc>
        <w:tc>
          <w:tcPr>
            <w:tcW w:w="1775"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Auckland</w:t>
            </w:r>
          </w:p>
        </w:tc>
        <w:tc>
          <w:tcPr>
            <w:tcW w:w="1794"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Wellington</w:t>
            </w:r>
          </w:p>
        </w:tc>
        <w:tc>
          <w:tcPr>
            <w:tcW w:w="1824"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Christchurch</w:t>
            </w:r>
          </w:p>
        </w:tc>
      </w:tr>
      <w:tr w:rsidR="00E90CD5" w:rsidRPr="00832B69" w:rsidTr="006518CF">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804"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rPr>
            </w:pPr>
            <w:r w:rsidRPr="00832B69">
              <w:rPr>
                <w:rFonts w:ascii="Calibri" w:hAnsi="Calibri"/>
                <w:sz w:val="20"/>
                <w:szCs w:val="20"/>
              </w:rPr>
              <w:t>All property types</w:t>
            </w:r>
          </w:p>
        </w:tc>
        <w:tc>
          <w:tcPr>
            <w:tcW w:w="1757"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w:t>
            </w:r>
            <w:r>
              <w:rPr>
                <w:rFonts w:ascii="Calibri" w:hAnsi="Calibri"/>
                <w:sz w:val="20"/>
                <w:szCs w:val="20"/>
              </w:rPr>
              <w:t>509,750</w:t>
            </w:r>
            <w:r w:rsidRPr="00832B69">
              <w:rPr>
                <w:rFonts w:ascii="Calibri" w:hAnsi="Calibri"/>
                <w:sz w:val="20"/>
                <w:szCs w:val="20"/>
              </w:rPr>
              <w:br/>
              <w:t>+ 1</w:t>
            </w:r>
            <w:r>
              <w:rPr>
                <w:rFonts w:ascii="Calibri" w:hAnsi="Calibri"/>
                <w:sz w:val="20"/>
                <w:szCs w:val="20"/>
              </w:rPr>
              <w:t>3</w:t>
            </w:r>
            <w:r w:rsidRPr="00832B69">
              <w:rPr>
                <w:rFonts w:ascii="Calibri" w:hAnsi="Calibri"/>
                <w:sz w:val="20"/>
                <w:szCs w:val="20"/>
              </w:rPr>
              <w:t>.</w:t>
            </w:r>
            <w:r>
              <w:rPr>
                <w:rFonts w:ascii="Calibri" w:hAnsi="Calibri"/>
                <w:sz w:val="20"/>
                <w:szCs w:val="20"/>
              </w:rPr>
              <w:t>7</w:t>
            </w:r>
            <w:r w:rsidRPr="00832B69">
              <w:rPr>
                <w:rFonts w:ascii="Calibri" w:hAnsi="Calibri"/>
                <w:sz w:val="20"/>
                <w:szCs w:val="20"/>
              </w:rPr>
              <w:t>%</w:t>
            </w:r>
          </w:p>
        </w:tc>
        <w:tc>
          <w:tcPr>
            <w:tcW w:w="1775"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$6</w:t>
            </w:r>
            <w:r>
              <w:rPr>
                <w:rFonts w:ascii="Calibri" w:hAnsi="Calibri"/>
                <w:sz w:val="20"/>
                <w:szCs w:val="20"/>
              </w:rPr>
              <w:t>9</w:t>
            </w:r>
            <w:r w:rsidRPr="00832B69">
              <w:rPr>
                <w:rFonts w:ascii="Calibri" w:hAnsi="Calibri"/>
                <w:sz w:val="20"/>
                <w:szCs w:val="20"/>
              </w:rPr>
              <w:t>0,</w:t>
            </w:r>
            <w:r>
              <w:rPr>
                <w:rFonts w:ascii="Calibri" w:hAnsi="Calibri"/>
                <w:sz w:val="20"/>
                <w:szCs w:val="20"/>
              </w:rPr>
              <w:t>10</w:t>
            </w:r>
            <w:r w:rsidRPr="00832B69">
              <w:rPr>
                <w:rFonts w:ascii="Calibri" w:hAnsi="Calibri"/>
                <w:sz w:val="20"/>
                <w:szCs w:val="20"/>
              </w:rPr>
              <w:t>0</w:t>
            </w:r>
            <w:r w:rsidRPr="00832B69">
              <w:rPr>
                <w:rFonts w:ascii="Calibri" w:hAnsi="Calibri"/>
                <w:sz w:val="20"/>
                <w:szCs w:val="20"/>
              </w:rPr>
              <w:br/>
              <w:t xml:space="preserve">+ </w:t>
            </w:r>
            <w:r>
              <w:rPr>
                <w:rFonts w:ascii="Calibri" w:hAnsi="Calibri"/>
                <w:sz w:val="20"/>
                <w:szCs w:val="20"/>
              </w:rPr>
              <w:t>11</w:t>
            </w:r>
            <w:r w:rsidRPr="00832B69">
              <w:rPr>
                <w:rFonts w:ascii="Calibri" w:hAnsi="Calibri"/>
                <w:sz w:val="20"/>
                <w:szCs w:val="20"/>
              </w:rPr>
              <w:t>.</w:t>
            </w:r>
            <w:r>
              <w:rPr>
                <w:rFonts w:ascii="Calibri" w:hAnsi="Calibri"/>
                <w:sz w:val="20"/>
                <w:szCs w:val="20"/>
              </w:rPr>
              <w:t>3</w:t>
            </w:r>
            <w:r w:rsidRPr="00832B69">
              <w:rPr>
                <w:rFonts w:ascii="Calibri" w:hAnsi="Calibri"/>
                <w:sz w:val="20"/>
                <w:szCs w:val="20"/>
              </w:rPr>
              <w:t>%</w:t>
            </w:r>
          </w:p>
        </w:tc>
        <w:tc>
          <w:tcPr>
            <w:tcW w:w="1794"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$44</w:t>
            </w:r>
            <w:r>
              <w:rPr>
                <w:rFonts w:ascii="Calibri" w:hAnsi="Calibri"/>
                <w:sz w:val="20"/>
                <w:szCs w:val="20"/>
              </w:rPr>
              <w:t>5</w:t>
            </w:r>
            <w:r w:rsidRPr="00832B69">
              <w:rPr>
                <w:rFonts w:ascii="Calibri" w:hAnsi="Calibri"/>
                <w:sz w:val="20"/>
                <w:szCs w:val="20"/>
              </w:rPr>
              <w:t>,</w:t>
            </w:r>
            <w:r>
              <w:rPr>
                <w:rFonts w:ascii="Calibri" w:hAnsi="Calibri"/>
                <w:sz w:val="20"/>
                <w:szCs w:val="20"/>
              </w:rPr>
              <w:t>0</w:t>
            </w:r>
            <w:r w:rsidRPr="00832B69">
              <w:rPr>
                <w:rFonts w:ascii="Calibri" w:hAnsi="Calibri"/>
                <w:sz w:val="20"/>
                <w:szCs w:val="20"/>
              </w:rPr>
              <w:t>00</w:t>
            </w:r>
            <w:r w:rsidRPr="00832B69">
              <w:rPr>
                <w:rFonts w:ascii="Calibri" w:hAnsi="Calibri"/>
                <w:sz w:val="20"/>
                <w:szCs w:val="20"/>
              </w:rPr>
              <w:br/>
              <w:t>+ 6.9%</w:t>
            </w:r>
          </w:p>
        </w:tc>
        <w:tc>
          <w:tcPr>
            <w:tcW w:w="1824"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832B69">
              <w:rPr>
                <w:rFonts w:ascii="Calibri" w:hAnsi="Calibri"/>
                <w:sz w:val="20"/>
                <w:szCs w:val="20"/>
              </w:rPr>
              <w:t>$4</w:t>
            </w:r>
            <w:r>
              <w:rPr>
                <w:rFonts w:ascii="Calibri" w:hAnsi="Calibri"/>
                <w:sz w:val="20"/>
                <w:szCs w:val="20"/>
              </w:rPr>
              <w:t>51</w:t>
            </w:r>
            <w:r w:rsidRPr="00832B69">
              <w:rPr>
                <w:rFonts w:ascii="Calibri" w:hAnsi="Calibri"/>
                <w:sz w:val="20"/>
                <w:szCs w:val="20"/>
              </w:rPr>
              <w:t>,</w:t>
            </w:r>
            <w:r>
              <w:rPr>
                <w:rFonts w:ascii="Calibri" w:hAnsi="Calibri"/>
                <w:sz w:val="20"/>
                <w:szCs w:val="20"/>
              </w:rPr>
              <w:t>700</w:t>
            </w:r>
            <w:r>
              <w:rPr>
                <w:rFonts w:ascii="Calibri" w:hAnsi="Calibri"/>
                <w:sz w:val="20"/>
                <w:szCs w:val="20"/>
              </w:rPr>
              <w:br/>
              <w:t>+ 10.9</w:t>
            </w:r>
            <w:r w:rsidRPr="00832B69">
              <w:rPr>
                <w:rFonts w:ascii="Calibri" w:hAnsi="Calibri"/>
                <w:sz w:val="20"/>
                <w:szCs w:val="20"/>
              </w:rPr>
              <w:t>%</w:t>
            </w:r>
          </w:p>
        </w:tc>
      </w:tr>
      <w:tr w:rsidR="00E90CD5" w:rsidRPr="00832B69" w:rsidTr="006518CF">
        <w:trPr>
          <w:tblCellSpacing w:w="57" w:type="dxa"/>
        </w:trPr>
        <w:tc>
          <w:tcPr>
            <w:cnfStyle w:val="001000000000" w:firstRow="0" w:lastRow="0" w:firstColumn="1" w:lastColumn="0" w:oddVBand="0" w:evenVBand="0" w:oddHBand="0" w:evenHBand="0" w:firstRowFirstColumn="0" w:firstRowLastColumn="0" w:lastRowFirstColumn="0" w:lastRowLastColumn="0"/>
            <w:tcW w:w="1804"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rPr>
            </w:pPr>
            <w:r w:rsidRPr="00832B69">
              <w:rPr>
                <w:rFonts w:ascii="Calibri" w:hAnsi="Calibri"/>
                <w:sz w:val="20"/>
                <w:szCs w:val="20"/>
              </w:rPr>
              <w:t>Apartments</w:t>
            </w:r>
          </w:p>
        </w:tc>
        <w:tc>
          <w:tcPr>
            <w:tcW w:w="1757"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w:t>
            </w:r>
            <w:r>
              <w:rPr>
                <w:rFonts w:ascii="Calibri" w:hAnsi="Calibri"/>
                <w:sz w:val="20"/>
                <w:szCs w:val="20"/>
              </w:rPr>
              <w:t>426,950</w:t>
            </w:r>
            <w:r w:rsidRPr="00832B69">
              <w:rPr>
                <w:rFonts w:ascii="Calibri" w:hAnsi="Calibri"/>
                <w:sz w:val="20"/>
                <w:szCs w:val="20"/>
              </w:rPr>
              <w:br/>
              <w:t xml:space="preserve">+ </w:t>
            </w:r>
            <w:r>
              <w:rPr>
                <w:rFonts w:ascii="Calibri" w:hAnsi="Calibri"/>
                <w:sz w:val="20"/>
                <w:szCs w:val="20"/>
              </w:rPr>
              <w:t>14.9</w:t>
            </w:r>
            <w:r w:rsidRPr="00832B69">
              <w:rPr>
                <w:rFonts w:ascii="Calibri" w:hAnsi="Calibri"/>
                <w:sz w:val="20"/>
                <w:szCs w:val="20"/>
              </w:rPr>
              <w:t>%</w:t>
            </w:r>
          </w:p>
        </w:tc>
        <w:tc>
          <w:tcPr>
            <w:tcW w:w="1775"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w:t>
            </w:r>
            <w:r>
              <w:rPr>
                <w:rFonts w:ascii="Calibri" w:hAnsi="Calibri"/>
                <w:sz w:val="20"/>
                <w:szCs w:val="20"/>
              </w:rPr>
              <w:t>435,500</w:t>
            </w:r>
            <w:r w:rsidRPr="00832B69">
              <w:rPr>
                <w:rFonts w:ascii="Calibri" w:hAnsi="Calibri"/>
                <w:sz w:val="20"/>
                <w:szCs w:val="20"/>
              </w:rPr>
              <w:br/>
              <w:t xml:space="preserve">+ </w:t>
            </w:r>
            <w:r>
              <w:rPr>
                <w:rFonts w:ascii="Calibri" w:hAnsi="Calibri"/>
                <w:sz w:val="20"/>
                <w:szCs w:val="20"/>
              </w:rPr>
              <w:t>22.8</w:t>
            </w:r>
            <w:r w:rsidRPr="00832B69">
              <w:rPr>
                <w:rFonts w:ascii="Calibri" w:hAnsi="Calibri"/>
                <w:sz w:val="20"/>
                <w:szCs w:val="20"/>
              </w:rPr>
              <w:t>%</w:t>
            </w:r>
          </w:p>
        </w:tc>
        <w:tc>
          <w:tcPr>
            <w:tcW w:w="1794"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$4</w:t>
            </w:r>
            <w:r>
              <w:rPr>
                <w:rFonts w:ascii="Calibri" w:hAnsi="Calibri"/>
                <w:sz w:val="20"/>
                <w:szCs w:val="20"/>
              </w:rPr>
              <w:t>09,450</w:t>
            </w:r>
            <w:r w:rsidRPr="00832B69">
              <w:rPr>
                <w:rFonts w:ascii="Calibri" w:hAnsi="Calibri"/>
                <w:sz w:val="20"/>
                <w:szCs w:val="20"/>
              </w:rPr>
              <w:br/>
              <w:t xml:space="preserve">+ </w:t>
            </w:r>
            <w:r>
              <w:rPr>
                <w:rFonts w:ascii="Calibri" w:hAnsi="Calibri"/>
                <w:sz w:val="20"/>
                <w:szCs w:val="20"/>
              </w:rPr>
              <w:t>7.7</w:t>
            </w:r>
            <w:r w:rsidRPr="00832B69">
              <w:rPr>
                <w:rFonts w:ascii="Calibri" w:hAnsi="Calibri"/>
                <w:sz w:val="20"/>
                <w:szCs w:val="20"/>
              </w:rPr>
              <w:t>%</w:t>
            </w:r>
          </w:p>
        </w:tc>
        <w:tc>
          <w:tcPr>
            <w:tcW w:w="1824"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832B69">
              <w:rPr>
                <w:rFonts w:ascii="Calibri" w:hAnsi="Calibri"/>
                <w:sz w:val="20"/>
                <w:szCs w:val="20"/>
              </w:rPr>
              <w:t>$</w:t>
            </w:r>
            <w:r>
              <w:rPr>
                <w:rFonts w:ascii="Calibri" w:hAnsi="Calibri"/>
                <w:sz w:val="20"/>
                <w:szCs w:val="20"/>
              </w:rPr>
              <w:t>425,400</w:t>
            </w:r>
            <w:r>
              <w:rPr>
                <w:rFonts w:ascii="Calibri" w:hAnsi="Calibri"/>
                <w:sz w:val="20"/>
                <w:szCs w:val="20"/>
              </w:rPr>
              <w:br/>
              <w:t>+ 14.7</w:t>
            </w:r>
            <w:r w:rsidRPr="00832B69">
              <w:rPr>
                <w:rFonts w:ascii="Calibri" w:hAnsi="Calibri"/>
                <w:sz w:val="20"/>
                <w:szCs w:val="20"/>
              </w:rPr>
              <w:t>%</w:t>
            </w:r>
          </w:p>
        </w:tc>
      </w:tr>
      <w:tr w:rsidR="00E90CD5" w:rsidRPr="00832B69" w:rsidTr="006518CF">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804"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rPr>
            </w:pPr>
            <w:r w:rsidRPr="00832B69">
              <w:rPr>
                <w:rFonts w:ascii="Calibri" w:hAnsi="Calibri"/>
                <w:sz w:val="20"/>
                <w:szCs w:val="20"/>
              </w:rPr>
              <w:t>Townhouses</w:t>
            </w:r>
          </w:p>
        </w:tc>
        <w:tc>
          <w:tcPr>
            <w:tcW w:w="1757"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w:t>
            </w:r>
            <w:r>
              <w:rPr>
                <w:rFonts w:ascii="Calibri" w:hAnsi="Calibri"/>
                <w:sz w:val="20"/>
                <w:szCs w:val="20"/>
              </w:rPr>
              <w:t>477</w:t>
            </w:r>
            <w:r w:rsidRPr="00832B69">
              <w:rPr>
                <w:rFonts w:ascii="Calibri" w:hAnsi="Calibri"/>
                <w:sz w:val="20"/>
                <w:szCs w:val="20"/>
              </w:rPr>
              <w:t>,</w:t>
            </w:r>
            <w:r>
              <w:rPr>
                <w:rFonts w:ascii="Calibri" w:hAnsi="Calibri"/>
                <w:sz w:val="20"/>
                <w:szCs w:val="20"/>
              </w:rPr>
              <w:t>1</w:t>
            </w:r>
            <w:r w:rsidRPr="00832B69">
              <w:rPr>
                <w:rFonts w:ascii="Calibri" w:hAnsi="Calibri"/>
                <w:sz w:val="20"/>
                <w:szCs w:val="20"/>
              </w:rPr>
              <w:t>50</w:t>
            </w:r>
            <w:r w:rsidRPr="00832B69">
              <w:rPr>
                <w:rFonts w:ascii="Calibri" w:hAnsi="Calibri"/>
                <w:sz w:val="20"/>
                <w:szCs w:val="20"/>
              </w:rPr>
              <w:br/>
              <w:t xml:space="preserve">+ </w:t>
            </w:r>
            <w:r>
              <w:rPr>
                <w:rFonts w:ascii="Calibri" w:hAnsi="Calibri"/>
                <w:sz w:val="20"/>
                <w:szCs w:val="20"/>
              </w:rPr>
              <w:t>7.6</w:t>
            </w:r>
            <w:r w:rsidRPr="00832B69">
              <w:rPr>
                <w:rFonts w:ascii="Calibri" w:hAnsi="Calibri"/>
                <w:sz w:val="20"/>
                <w:szCs w:val="20"/>
              </w:rPr>
              <w:t>%</w:t>
            </w:r>
            <w:r w:rsidRPr="00832B69">
              <w:rPr>
                <w:rFonts w:ascii="Calibri" w:hAnsi="Calibri"/>
                <w:sz w:val="20"/>
                <w:szCs w:val="20"/>
              </w:rPr>
              <w:tab/>
            </w:r>
          </w:p>
        </w:tc>
        <w:tc>
          <w:tcPr>
            <w:tcW w:w="1775"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32B69">
              <w:rPr>
                <w:rFonts w:ascii="Calibri" w:hAnsi="Calibri"/>
                <w:sz w:val="20"/>
                <w:szCs w:val="20"/>
              </w:rPr>
              <w:t>$</w:t>
            </w:r>
            <w:r>
              <w:rPr>
                <w:rFonts w:ascii="Calibri" w:hAnsi="Calibri"/>
                <w:sz w:val="20"/>
                <w:szCs w:val="20"/>
              </w:rPr>
              <w:t>641,450</w:t>
            </w:r>
            <w:r w:rsidRPr="00832B69">
              <w:rPr>
                <w:rFonts w:ascii="Calibri" w:hAnsi="Calibri"/>
                <w:sz w:val="20"/>
                <w:szCs w:val="20"/>
              </w:rPr>
              <w:br/>
              <w:t xml:space="preserve">+ </w:t>
            </w:r>
            <w:r>
              <w:rPr>
                <w:rFonts w:ascii="Calibri" w:hAnsi="Calibri"/>
                <w:sz w:val="20"/>
                <w:szCs w:val="20"/>
              </w:rPr>
              <w:t>5.2</w:t>
            </w:r>
            <w:r w:rsidRPr="00832B69">
              <w:rPr>
                <w:rFonts w:ascii="Calibri" w:hAnsi="Calibri"/>
                <w:sz w:val="20"/>
                <w:szCs w:val="20"/>
              </w:rPr>
              <w:t>%</w:t>
            </w:r>
            <w:r w:rsidRPr="00832B69">
              <w:rPr>
                <w:rFonts w:ascii="Calibri" w:hAnsi="Calibri"/>
                <w:sz w:val="20"/>
                <w:szCs w:val="20"/>
              </w:rPr>
              <w:tab/>
            </w:r>
          </w:p>
        </w:tc>
        <w:tc>
          <w:tcPr>
            <w:tcW w:w="1794"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832B69">
              <w:rPr>
                <w:rFonts w:ascii="Calibri" w:hAnsi="Calibri"/>
                <w:sz w:val="20"/>
                <w:szCs w:val="20"/>
              </w:rPr>
              <w:t>$</w:t>
            </w:r>
            <w:r>
              <w:rPr>
                <w:rFonts w:ascii="Calibri" w:hAnsi="Calibri"/>
                <w:sz w:val="20"/>
                <w:szCs w:val="20"/>
              </w:rPr>
              <w:t>390,800</w:t>
            </w:r>
            <w:r w:rsidRPr="00832B69">
              <w:rPr>
                <w:rFonts w:ascii="Calibri" w:hAnsi="Calibri"/>
                <w:sz w:val="20"/>
                <w:szCs w:val="20"/>
              </w:rPr>
              <w:br/>
              <w:t xml:space="preserve">+ </w:t>
            </w:r>
            <w:r>
              <w:rPr>
                <w:rFonts w:ascii="Calibri" w:hAnsi="Calibri"/>
                <w:sz w:val="20"/>
                <w:szCs w:val="20"/>
              </w:rPr>
              <w:t>4.6</w:t>
            </w:r>
            <w:r w:rsidRPr="00832B69">
              <w:rPr>
                <w:rFonts w:ascii="Calibri" w:hAnsi="Calibri"/>
                <w:sz w:val="20"/>
                <w:szCs w:val="20"/>
              </w:rPr>
              <w:t>%</w:t>
            </w:r>
            <w:r w:rsidRPr="00832B69">
              <w:rPr>
                <w:rFonts w:ascii="Calibri" w:hAnsi="Calibri"/>
                <w:sz w:val="20"/>
                <w:szCs w:val="20"/>
              </w:rPr>
              <w:tab/>
            </w:r>
          </w:p>
        </w:tc>
        <w:tc>
          <w:tcPr>
            <w:tcW w:w="1824" w:type="dxa"/>
          </w:tcPr>
          <w:p w:rsidR="00E90CD5" w:rsidRPr="00832B69" w:rsidRDefault="00E90CD5"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90CD5">
              <w:rPr>
                <w:rFonts w:ascii="Calibri" w:hAnsi="Calibri"/>
                <w:color w:val="000000" w:themeColor="text1"/>
                <w:sz w:val="20"/>
                <w:szCs w:val="20"/>
              </w:rPr>
              <w:t>$414,250</w:t>
            </w:r>
            <w:r w:rsidRPr="00E90CD5">
              <w:rPr>
                <w:rFonts w:ascii="Calibri" w:hAnsi="Calibri"/>
                <w:color w:val="000000" w:themeColor="text1"/>
                <w:sz w:val="20"/>
                <w:szCs w:val="20"/>
              </w:rPr>
              <w:br/>
              <w:t>+ 9.5%</w:t>
            </w:r>
          </w:p>
        </w:tc>
      </w:tr>
      <w:tr w:rsidR="008A59FF" w:rsidRPr="00832B69" w:rsidTr="006518CF">
        <w:trPr>
          <w:tblCellSpacing w:w="57" w:type="dxa"/>
        </w:trPr>
        <w:tc>
          <w:tcPr>
            <w:cnfStyle w:val="001000000000" w:firstRow="0" w:lastRow="0" w:firstColumn="1" w:lastColumn="0" w:oddVBand="0" w:evenVBand="0" w:oddHBand="0" w:evenHBand="0" w:firstRowFirstColumn="0" w:firstRowLastColumn="0" w:lastRowFirstColumn="0" w:lastRowLastColumn="0"/>
            <w:tcW w:w="1804" w:type="dxa"/>
          </w:tcPr>
          <w:p w:rsidR="008A59FF" w:rsidRPr="00832B69" w:rsidRDefault="008A59FF" w:rsidP="006518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rPr>
            </w:pPr>
            <w:r w:rsidRPr="00832B69">
              <w:rPr>
                <w:rFonts w:ascii="Calibri" w:hAnsi="Calibri"/>
                <w:sz w:val="20"/>
                <w:szCs w:val="20"/>
              </w:rPr>
              <w:t>Units</w:t>
            </w:r>
          </w:p>
        </w:tc>
        <w:tc>
          <w:tcPr>
            <w:tcW w:w="1757" w:type="dxa"/>
          </w:tcPr>
          <w:p w:rsidR="008A59FF" w:rsidRPr="00832B69" w:rsidRDefault="008A59FF"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$3</w:t>
            </w:r>
            <w:r w:rsidR="00E90CD5">
              <w:rPr>
                <w:rFonts w:ascii="Calibri" w:hAnsi="Calibri"/>
                <w:sz w:val="20"/>
                <w:szCs w:val="20"/>
              </w:rPr>
              <w:t>55</w:t>
            </w:r>
            <w:r w:rsidRPr="00832B69">
              <w:rPr>
                <w:rFonts w:ascii="Calibri" w:hAnsi="Calibri"/>
                <w:sz w:val="20"/>
                <w:szCs w:val="20"/>
              </w:rPr>
              <w:t>,</w:t>
            </w:r>
            <w:r w:rsidR="00E90CD5">
              <w:rPr>
                <w:rFonts w:ascii="Calibri" w:hAnsi="Calibri"/>
                <w:sz w:val="20"/>
                <w:szCs w:val="20"/>
              </w:rPr>
              <w:t>5</w:t>
            </w:r>
            <w:r w:rsidRPr="00832B69">
              <w:rPr>
                <w:rFonts w:ascii="Calibri" w:hAnsi="Calibri"/>
                <w:sz w:val="20"/>
                <w:szCs w:val="20"/>
              </w:rPr>
              <w:t>00</w:t>
            </w:r>
            <w:r w:rsidRPr="00832B69">
              <w:rPr>
                <w:rFonts w:ascii="Calibri" w:hAnsi="Calibri"/>
                <w:sz w:val="20"/>
                <w:szCs w:val="20"/>
              </w:rPr>
              <w:br/>
              <w:t>+ 1</w:t>
            </w:r>
            <w:r w:rsidR="00E90CD5">
              <w:rPr>
                <w:rFonts w:ascii="Calibri" w:hAnsi="Calibri"/>
                <w:sz w:val="20"/>
                <w:szCs w:val="20"/>
              </w:rPr>
              <w:t>5</w:t>
            </w:r>
            <w:r w:rsidRPr="00832B69">
              <w:rPr>
                <w:rFonts w:ascii="Calibri" w:hAnsi="Calibri"/>
                <w:sz w:val="20"/>
                <w:szCs w:val="20"/>
              </w:rPr>
              <w:t>.</w:t>
            </w:r>
            <w:r w:rsidR="00E90CD5">
              <w:rPr>
                <w:rFonts w:ascii="Calibri" w:hAnsi="Calibri"/>
                <w:sz w:val="20"/>
                <w:szCs w:val="20"/>
              </w:rPr>
              <w:t>2</w:t>
            </w:r>
            <w:r w:rsidRPr="00832B69">
              <w:rPr>
                <w:rFonts w:ascii="Calibri" w:hAnsi="Calibri"/>
                <w:sz w:val="20"/>
                <w:szCs w:val="20"/>
              </w:rPr>
              <w:t>%</w:t>
            </w:r>
          </w:p>
        </w:tc>
        <w:tc>
          <w:tcPr>
            <w:tcW w:w="1775" w:type="dxa"/>
          </w:tcPr>
          <w:p w:rsidR="008A59FF" w:rsidRPr="00832B69" w:rsidRDefault="008A59FF"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$4</w:t>
            </w:r>
            <w:r w:rsidR="00E90CD5">
              <w:rPr>
                <w:rFonts w:ascii="Calibri" w:hAnsi="Calibri"/>
                <w:sz w:val="20"/>
                <w:szCs w:val="20"/>
              </w:rPr>
              <w:t>60</w:t>
            </w:r>
            <w:r w:rsidRPr="00832B69">
              <w:rPr>
                <w:rFonts w:ascii="Calibri" w:hAnsi="Calibri"/>
                <w:sz w:val="20"/>
                <w:szCs w:val="20"/>
              </w:rPr>
              <w:t>,</w:t>
            </w:r>
            <w:r w:rsidR="00E90CD5">
              <w:rPr>
                <w:rFonts w:ascii="Calibri" w:hAnsi="Calibri"/>
                <w:sz w:val="20"/>
                <w:szCs w:val="20"/>
              </w:rPr>
              <w:t>0</w:t>
            </w:r>
            <w:r w:rsidRPr="00832B69">
              <w:rPr>
                <w:rFonts w:ascii="Calibri" w:hAnsi="Calibri"/>
                <w:sz w:val="20"/>
                <w:szCs w:val="20"/>
              </w:rPr>
              <w:t>00</w:t>
            </w:r>
            <w:r w:rsidRPr="00832B69">
              <w:rPr>
                <w:rFonts w:ascii="Calibri" w:hAnsi="Calibri"/>
                <w:sz w:val="20"/>
                <w:szCs w:val="20"/>
              </w:rPr>
              <w:br/>
              <w:t xml:space="preserve">+ </w:t>
            </w:r>
            <w:r w:rsidR="00E90CD5">
              <w:rPr>
                <w:rFonts w:ascii="Calibri" w:hAnsi="Calibri"/>
                <w:sz w:val="20"/>
                <w:szCs w:val="20"/>
              </w:rPr>
              <w:t>11.9</w:t>
            </w:r>
            <w:r w:rsidRPr="00832B69">
              <w:rPr>
                <w:rFonts w:ascii="Calibri" w:hAnsi="Calibri"/>
                <w:sz w:val="20"/>
                <w:szCs w:val="20"/>
              </w:rPr>
              <w:t>%</w:t>
            </w:r>
            <w:r w:rsidRPr="00832B69">
              <w:rPr>
                <w:rFonts w:ascii="Calibri" w:hAnsi="Calibri"/>
                <w:sz w:val="20"/>
                <w:szCs w:val="20"/>
              </w:rPr>
              <w:tab/>
            </w:r>
          </w:p>
        </w:tc>
        <w:tc>
          <w:tcPr>
            <w:tcW w:w="1794" w:type="dxa"/>
          </w:tcPr>
          <w:p w:rsidR="008A59FF" w:rsidRPr="00832B69" w:rsidRDefault="008A59FF"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$26</w:t>
            </w:r>
            <w:r w:rsidR="00E90CD5">
              <w:rPr>
                <w:rFonts w:ascii="Calibri" w:hAnsi="Calibri"/>
                <w:sz w:val="20"/>
                <w:szCs w:val="20"/>
              </w:rPr>
              <w:t>4</w:t>
            </w:r>
            <w:r w:rsidRPr="00832B69">
              <w:rPr>
                <w:rFonts w:ascii="Calibri" w:hAnsi="Calibri"/>
                <w:sz w:val="20"/>
                <w:szCs w:val="20"/>
              </w:rPr>
              <w:t>,</w:t>
            </w:r>
            <w:r w:rsidR="00E90CD5">
              <w:rPr>
                <w:rFonts w:ascii="Calibri" w:hAnsi="Calibri"/>
                <w:sz w:val="20"/>
                <w:szCs w:val="20"/>
              </w:rPr>
              <w:t>70</w:t>
            </w:r>
            <w:r w:rsidRPr="00832B69">
              <w:rPr>
                <w:rFonts w:ascii="Calibri" w:hAnsi="Calibri"/>
                <w:sz w:val="20"/>
                <w:szCs w:val="20"/>
              </w:rPr>
              <w:t>0</w:t>
            </w:r>
            <w:r w:rsidRPr="00832B69">
              <w:rPr>
                <w:rFonts w:ascii="Calibri" w:hAnsi="Calibri"/>
                <w:sz w:val="20"/>
                <w:szCs w:val="20"/>
              </w:rPr>
              <w:br/>
              <w:t xml:space="preserve">+ </w:t>
            </w:r>
            <w:r w:rsidR="00E90CD5">
              <w:rPr>
                <w:rFonts w:ascii="Calibri" w:hAnsi="Calibri"/>
                <w:sz w:val="20"/>
                <w:szCs w:val="20"/>
              </w:rPr>
              <w:t>5</w:t>
            </w:r>
            <w:r w:rsidRPr="00832B69">
              <w:rPr>
                <w:rFonts w:ascii="Calibri" w:hAnsi="Calibri"/>
                <w:sz w:val="20"/>
                <w:szCs w:val="20"/>
              </w:rPr>
              <w:t>.</w:t>
            </w:r>
            <w:r w:rsidR="00E90CD5">
              <w:rPr>
                <w:rFonts w:ascii="Calibri" w:hAnsi="Calibri"/>
                <w:sz w:val="20"/>
                <w:szCs w:val="20"/>
              </w:rPr>
              <w:t>0</w:t>
            </w:r>
            <w:r w:rsidRPr="00832B69">
              <w:rPr>
                <w:rFonts w:ascii="Calibri" w:hAnsi="Calibri"/>
                <w:sz w:val="20"/>
                <w:szCs w:val="20"/>
              </w:rPr>
              <w:t>%</w:t>
            </w:r>
            <w:r w:rsidRPr="00832B69">
              <w:rPr>
                <w:rFonts w:ascii="Calibri" w:hAnsi="Calibri"/>
                <w:sz w:val="20"/>
                <w:szCs w:val="20"/>
              </w:rPr>
              <w:tab/>
            </w:r>
          </w:p>
        </w:tc>
        <w:tc>
          <w:tcPr>
            <w:tcW w:w="1824" w:type="dxa"/>
          </w:tcPr>
          <w:p w:rsidR="008A59FF" w:rsidRPr="00832B69" w:rsidRDefault="008A59FF" w:rsidP="00E90CD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32B69">
              <w:rPr>
                <w:rFonts w:ascii="Calibri" w:hAnsi="Calibri"/>
                <w:sz w:val="20"/>
                <w:szCs w:val="20"/>
              </w:rPr>
              <w:t>$2</w:t>
            </w:r>
            <w:r w:rsidR="00E90CD5">
              <w:rPr>
                <w:rFonts w:ascii="Calibri" w:hAnsi="Calibri"/>
                <w:sz w:val="20"/>
                <w:szCs w:val="20"/>
              </w:rPr>
              <w:t>94</w:t>
            </w:r>
            <w:r w:rsidRPr="00832B69">
              <w:rPr>
                <w:rFonts w:ascii="Calibri" w:hAnsi="Calibri"/>
                <w:sz w:val="20"/>
                <w:szCs w:val="20"/>
              </w:rPr>
              <w:t>,</w:t>
            </w:r>
            <w:r w:rsidR="00E90CD5">
              <w:rPr>
                <w:rFonts w:ascii="Calibri" w:hAnsi="Calibri"/>
                <w:sz w:val="20"/>
                <w:szCs w:val="20"/>
              </w:rPr>
              <w:t>15</w:t>
            </w:r>
            <w:r w:rsidRPr="00832B69">
              <w:rPr>
                <w:rFonts w:ascii="Calibri" w:hAnsi="Calibri"/>
                <w:sz w:val="20"/>
                <w:szCs w:val="20"/>
              </w:rPr>
              <w:t>0</w:t>
            </w:r>
            <w:r w:rsidRPr="00832B69">
              <w:rPr>
                <w:rFonts w:ascii="Calibri" w:hAnsi="Calibri"/>
                <w:sz w:val="20"/>
                <w:szCs w:val="20"/>
              </w:rPr>
              <w:br/>
              <w:t xml:space="preserve">+ </w:t>
            </w:r>
            <w:r w:rsidR="00E90CD5">
              <w:rPr>
                <w:rFonts w:ascii="Calibri" w:hAnsi="Calibri"/>
                <w:sz w:val="20"/>
                <w:szCs w:val="20"/>
              </w:rPr>
              <w:t>14.8</w:t>
            </w:r>
            <w:r w:rsidRPr="00832B69">
              <w:rPr>
                <w:rFonts w:ascii="Calibri" w:hAnsi="Calibri"/>
                <w:sz w:val="20"/>
                <w:szCs w:val="20"/>
              </w:rPr>
              <w:t>%</w:t>
            </w:r>
          </w:p>
        </w:tc>
      </w:tr>
    </w:tbl>
    <w:p w:rsidR="008A59FF" w:rsidRDefault="008A59FF" w:rsidP="008A59FF">
      <w:pPr>
        <w:pStyle w:val="Body"/>
        <w:jc w:val="center"/>
        <w:rPr>
          <w:rFonts w:ascii="Calibri" w:hAnsi="Calibri"/>
        </w:rPr>
      </w:pPr>
    </w:p>
    <w:p w:rsidR="00B85339" w:rsidRPr="00A561FE" w:rsidRDefault="00B85339" w:rsidP="00B85339">
      <w:pPr>
        <w:pStyle w:val="Body"/>
        <w:jc w:val="both"/>
        <w:rPr>
          <w:rFonts w:ascii="Calibri" w:hAnsi="Calibri"/>
          <w:lang w:val="en-NZ"/>
        </w:rPr>
      </w:pPr>
    </w:p>
    <w:p w:rsidR="00B85339" w:rsidRPr="00A561FE" w:rsidRDefault="00B85339" w:rsidP="00B85339">
      <w:pPr>
        <w:pStyle w:val="Body"/>
        <w:jc w:val="center"/>
        <w:rPr>
          <w:rFonts w:ascii="Calibri" w:hAnsi="Calibri" w:cstheme="minorHAnsi"/>
          <w:b/>
          <w:lang w:val="en-NZ"/>
        </w:rPr>
      </w:pPr>
      <w:r w:rsidRPr="00A561FE">
        <w:rPr>
          <w:rFonts w:ascii="Calibri" w:hAnsi="Calibri"/>
          <w:lang w:val="en-NZ"/>
        </w:rPr>
        <w:t>-</w:t>
      </w:r>
      <w:r w:rsidRPr="00A561FE">
        <w:rPr>
          <w:rFonts w:ascii="Calibri" w:hAnsi="Calibri" w:cstheme="minorHAnsi"/>
          <w:b/>
          <w:lang w:val="en-NZ"/>
        </w:rPr>
        <w:t>ends-</w:t>
      </w:r>
    </w:p>
    <w:p w:rsidR="008C43AA" w:rsidRDefault="008C43AA" w:rsidP="00B85339">
      <w:pPr>
        <w:rPr>
          <w:rFonts w:ascii="Calibri" w:hAnsi="Calibri" w:cstheme="minorHAnsi"/>
          <w:b/>
          <w:sz w:val="22"/>
          <w:szCs w:val="22"/>
        </w:rPr>
      </w:pPr>
    </w:p>
    <w:p w:rsidR="008C43AA" w:rsidRDefault="008C43AA" w:rsidP="00B85339">
      <w:pPr>
        <w:rPr>
          <w:rFonts w:ascii="Calibri" w:hAnsi="Calibri" w:cstheme="minorHAnsi"/>
          <w:b/>
          <w:sz w:val="22"/>
          <w:szCs w:val="22"/>
        </w:rPr>
      </w:pPr>
    </w:p>
    <w:p w:rsidR="00B85339" w:rsidRPr="00A561FE" w:rsidRDefault="00B85339" w:rsidP="00B85339">
      <w:pPr>
        <w:rPr>
          <w:rFonts w:ascii="Calibri" w:hAnsi="Calibri" w:cstheme="minorHAnsi"/>
          <w:b/>
          <w:sz w:val="22"/>
          <w:szCs w:val="22"/>
        </w:rPr>
      </w:pPr>
      <w:r w:rsidRPr="00A561FE">
        <w:rPr>
          <w:rFonts w:ascii="Calibri" w:hAnsi="Calibri" w:cstheme="minorHAnsi"/>
          <w:b/>
          <w:sz w:val="22"/>
          <w:szCs w:val="22"/>
        </w:rPr>
        <w:t>MORE INFORMATION</w:t>
      </w:r>
    </w:p>
    <w:p w:rsidR="008A59FF" w:rsidRPr="00A561FE" w:rsidRDefault="008A59FF" w:rsidP="00A561FE">
      <w:pPr>
        <w:pStyle w:val="ListParagraph"/>
        <w:rPr>
          <w:rFonts w:ascii="Calibri" w:hAnsi="Calibri"/>
          <w:b/>
          <w:sz w:val="22"/>
          <w:szCs w:val="22"/>
        </w:rPr>
      </w:pPr>
    </w:p>
    <w:p w:rsidR="008A59FF" w:rsidRPr="00F20DF9" w:rsidRDefault="008A59FF" w:rsidP="008A59FF">
      <w:pPr>
        <w:pStyle w:val="ListParagraph"/>
        <w:numPr>
          <w:ilvl w:val="0"/>
          <w:numId w:val="2"/>
        </w:numPr>
        <w:rPr>
          <w:rFonts w:ascii="Calibri" w:hAnsi="Calibri"/>
          <w:b/>
          <w:sz w:val="22"/>
          <w:szCs w:val="22"/>
        </w:rPr>
      </w:pPr>
      <w:r w:rsidRPr="00F20DF9">
        <w:rPr>
          <w:rFonts w:ascii="Calibri" w:hAnsi="Calibri" w:cstheme="minorHAnsi"/>
          <w:b/>
          <w:sz w:val="22"/>
          <w:szCs w:val="22"/>
        </w:rPr>
        <w:t xml:space="preserve">About the </w:t>
      </w:r>
      <w:r w:rsidRPr="00F20DF9">
        <w:rPr>
          <w:rFonts w:ascii="Calibri" w:hAnsi="Calibri"/>
          <w:b/>
          <w:sz w:val="22"/>
          <w:szCs w:val="22"/>
        </w:rPr>
        <w:t xml:space="preserve">Trade Me Property Price Index: </w:t>
      </w:r>
    </w:p>
    <w:p w:rsidR="008A59FF" w:rsidRPr="00F20DF9" w:rsidRDefault="008A59FF" w:rsidP="008A59FF">
      <w:pPr>
        <w:pStyle w:val="ListParagraph"/>
        <w:numPr>
          <w:ilvl w:val="1"/>
          <w:numId w:val="2"/>
        </w:numPr>
        <w:rPr>
          <w:rFonts w:ascii="Calibri" w:hAnsi="Calibri"/>
          <w:b/>
          <w:sz w:val="22"/>
          <w:szCs w:val="22"/>
        </w:rPr>
      </w:pPr>
      <w:r w:rsidRPr="00F20DF9">
        <w:rPr>
          <w:rFonts w:ascii="Calibri" w:hAnsi="Calibri"/>
          <w:sz w:val="22"/>
          <w:szCs w:val="22"/>
        </w:rPr>
        <w:t>The Index is a piece of analysis focused on expected sale price. Listings are from private advertisers and real estate agents.</w:t>
      </w:r>
    </w:p>
    <w:p w:rsidR="008A59FF" w:rsidRPr="00F20DF9" w:rsidRDefault="008A59FF" w:rsidP="008A59FF">
      <w:pPr>
        <w:pStyle w:val="ListParagraph"/>
        <w:numPr>
          <w:ilvl w:val="1"/>
          <w:numId w:val="2"/>
        </w:numPr>
        <w:rPr>
          <w:rFonts w:ascii="Calibri" w:hAnsi="Calibri"/>
          <w:b/>
          <w:sz w:val="22"/>
          <w:szCs w:val="22"/>
        </w:rPr>
      </w:pPr>
      <w:r w:rsidRPr="00F20DF9">
        <w:rPr>
          <w:rFonts w:ascii="Calibri" w:hAnsi="Calibri"/>
          <w:sz w:val="22"/>
          <w:szCs w:val="22"/>
        </w:rPr>
        <w:t xml:space="preserve">The Index is produced from data on properties listed on Trade Me Property in the three months leading up to the last day of each period. Each period’s value is a truncated mean of </w:t>
      </w:r>
      <w:r>
        <w:rPr>
          <w:rFonts w:ascii="Calibri" w:hAnsi="Calibri"/>
          <w:sz w:val="22"/>
          <w:szCs w:val="22"/>
        </w:rPr>
        <w:t xml:space="preserve">the complete </w:t>
      </w:r>
      <w:r w:rsidRPr="00F20DF9">
        <w:rPr>
          <w:rFonts w:ascii="Calibri" w:hAnsi="Calibri"/>
          <w:sz w:val="22"/>
          <w:szCs w:val="22"/>
        </w:rPr>
        <w:t xml:space="preserve">three months’ worth of listings. This is to better reflect trends in property prices rather than month-to-month fluctuations in housing stock. </w:t>
      </w:r>
    </w:p>
    <w:p w:rsidR="008A59FF" w:rsidRPr="00F20DF9" w:rsidRDefault="008A59FF" w:rsidP="008A59FF">
      <w:pPr>
        <w:pStyle w:val="ListParagraph"/>
        <w:numPr>
          <w:ilvl w:val="1"/>
          <w:numId w:val="2"/>
        </w:numPr>
        <w:rPr>
          <w:rFonts w:ascii="Calibri" w:hAnsi="Calibri"/>
          <w:sz w:val="22"/>
          <w:szCs w:val="22"/>
        </w:rPr>
      </w:pPr>
      <w:r w:rsidRPr="00F20DF9">
        <w:rPr>
          <w:rFonts w:ascii="Calibri" w:hAnsi="Calibri"/>
          <w:sz w:val="22"/>
          <w:szCs w:val="22"/>
        </w:rPr>
        <w:t xml:space="preserve">The Index uses an “80% truncated mean” of the expected sale price. This excludes the upper and lower 10% of listings by price, and averages the expected sale prices of the remaining properties. </w:t>
      </w:r>
    </w:p>
    <w:p w:rsidR="008A59FF" w:rsidRDefault="008A59FF" w:rsidP="008A59FF">
      <w:pPr>
        <w:pStyle w:val="ListParagraph"/>
        <w:numPr>
          <w:ilvl w:val="1"/>
          <w:numId w:val="2"/>
        </w:numPr>
        <w:rPr>
          <w:rFonts w:ascii="Calibri" w:hAnsi="Calibri"/>
          <w:sz w:val="22"/>
          <w:szCs w:val="22"/>
        </w:rPr>
      </w:pPr>
      <w:r w:rsidRPr="00F20DF9">
        <w:rPr>
          <w:rFonts w:ascii="Calibri" w:hAnsi="Calibri"/>
          <w:sz w:val="22"/>
          <w:szCs w:val="22"/>
        </w:rPr>
        <w:t xml:space="preserve">It is the first report to provide an insight into ‘for sale’ price trends by type and size of property. Other reports tend to aggregate the property price data across these various properties. </w:t>
      </w:r>
    </w:p>
    <w:p w:rsidR="008A59FF" w:rsidRPr="000768EB" w:rsidRDefault="008A59FF" w:rsidP="000768EB">
      <w:pPr>
        <w:rPr>
          <w:rFonts w:ascii="Calibri" w:hAnsi="Calibri"/>
          <w:sz w:val="22"/>
          <w:szCs w:val="22"/>
        </w:rPr>
      </w:pPr>
    </w:p>
    <w:p w:rsidR="008A59FF" w:rsidRDefault="008A59FF" w:rsidP="008A59FF">
      <w:pPr>
        <w:pStyle w:val="ListParagraph"/>
        <w:numPr>
          <w:ilvl w:val="0"/>
          <w:numId w:val="2"/>
        </w:numPr>
        <w:rPr>
          <w:rFonts w:ascii="Calibri" w:hAnsi="Calibri" w:cstheme="minorHAnsi"/>
          <w:sz w:val="22"/>
          <w:szCs w:val="22"/>
        </w:rPr>
      </w:pPr>
      <w:r w:rsidRPr="00F20DF9">
        <w:rPr>
          <w:rFonts w:ascii="Calibri" w:hAnsi="Calibri" w:cstheme="minorHAnsi"/>
          <w:b/>
          <w:sz w:val="22"/>
          <w:szCs w:val="22"/>
        </w:rPr>
        <w:t>Regional data:</w:t>
      </w:r>
      <w:r w:rsidRPr="00F20DF9">
        <w:rPr>
          <w:rFonts w:ascii="Calibri" w:hAnsi="Calibri" w:cstheme="minorHAnsi"/>
          <w:sz w:val="22"/>
          <w:szCs w:val="22"/>
        </w:rPr>
        <w:t xml:space="preserve"> If you are after information for a particular region, please email </w:t>
      </w:r>
      <w:r w:rsidR="00140AB5">
        <w:rPr>
          <w:rFonts w:ascii="Calibri" w:hAnsi="Calibri" w:cstheme="minorHAnsi"/>
          <w:sz w:val="22"/>
          <w:szCs w:val="22"/>
        </w:rPr>
        <w:t>Jeff Hunkin</w:t>
      </w:r>
      <w:r w:rsidRPr="00F20DF9">
        <w:rPr>
          <w:rFonts w:ascii="Calibri" w:hAnsi="Calibri" w:cstheme="minorHAnsi"/>
          <w:sz w:val="22"/>
          <w:szCs w:val="22"/>
        </w:rPr>
        <w:t xml:space="preserve"> via </w:t>
      </w:r>
      <w:hyperlink r:id="rId12" w:history="1">
        <w:r w:rsidRPr="00F20DF9">
          <w:rPr>
            <w:rStyle w:val="Hyperlink"/>
            <w:rFonts w:ascii="Calibri" w:hAnsi="Calibri" w:cstheme="minorHAnsi"/>
            <w:sz w:val="22"/>
            <w:szCs w:val="22"/>
          </w:rPr>
          <w:t>mediaenquiries@trademe.co.nz</w:t>
        </w:r>
      </w:hyperlink>
      <w:r w:rsidRPr="00F20DF9">
        <w:rPr>
          <w:rFonts w:ascii="Calibri" w:hAnsi="Calibri" w:cstheme="minorHAnsi"/>
          <w:sz w:val="22"/>
          <w:szCs w:val="22"/>
        </w:rPr>
        <w:t xml:space="preserve"> and we will see what we can unearth for you. We can also provide </w:t>
      </w:r>
      <w:r>
        <w:rPr>
          <w:rFonts w:ascii="Calibri" w:hAnsi="Calibri" w:cstheme="minorHAnsi"/>
          <w:sz w:val="22"/>
          <w:szCs w:val="22"/>
        </w:rPr>
        <w:t xml:space="preserve">the </w:t>
      </w:r>
      <w:r w:rsidRPr="00F20DF9">
        <w:rPr>
          <w:rFonts w:ascii="Calibri" w:hAnsi="Calibri" w:cstheme="minorHAnsi"/>
          <w:sz w:val="22"/>
          <w:szCs w:val="22"/>
        </w:rPr>
        <w:t>graphs and tables.</w:t>
      </w:r>
    </w:p>
    <w:p w:rsidR="008A59FF" w:rsidRDefault="008A59FF" w:rsidP="008A59FF">
      <w:pPr>
        <w:rPr>
          <w:rFonts w:ascii="Calibri" w:hAnsi="Calibri" w:cstheme="minorHAnsi"/>
          <w:sz w:val="22"/>
          <w:szCs w:val="22"/>
        </w:rPr>
      </w:pPr>
    </w:p>
    <w:p w:rsidR="008A59FF" w:rsidRPr="00F20DF9" w:rsidRDefault="008A59FF" w:rsidP="008A59FF">
      <w:pPr>
        <w:pStyle w:val="ListParagraph"/>
        <w:numPr>
          <w:ilvl w:val="0"/>
          <w:numId w:val="2"/>
        </w:numPr>
        <w:rPr>
          <w:rFonts w:ascii="Calibri" w:hAnsi="Calibri" w:cstheme="minorHAnsi"/>
          <w:sz w:val="22"/>
          <w:szCs w:val="22"/>
        </w:rPr>
      </w:pPr>
      <w:r>
        <w:rPr>
          <w:rFonts w:ascii="Calibri" w:hAnsi="Calibri" w:cstheme="minorHAnsi"/>
          <w:b/>
          <w:sz w:val="22"/>
          <w:szCs w:val="22"/>
        </w:rPr>
        <w:t>Contact</w:t>
      </w:r>
      <w:r w:rsidRPr="00F20DF9">
        <w:rPr>
          <w:rFonts w:ascii="Calibri" w:hAnsi="Calibri" w:cstheme="minorHAnsi"/>
          <w:b/>
          <w:sz w:val="22"/>
          <w:szCs w:val="22"/>
        </w:rPr>
        <w:t>:</w:t>
      </w:r>
      <w:r w:rsidRPr="00F20DF9">
        <w:rPr>
          <w:rFonts w:ascii="Calibri" w:hAnsi="Calibri" w:cstheme="minorHAnsi"/>
          <w:sz w:val="22"/>
          <w:szCs w:val="22"/>
        </w:rPr>
        <w:t xml:space="preserve"> Nigel Jeffries is available for interviews. To tee up a time that suits, please email </w:t>
      </w:r>
      <w:r w:rsidR="00140AB5">
        <w:rPr>
          <w:rFonts w:ascii="Calibri" w:hAnsi="Calibri" w:cstheme="minorHAnsi"/>
          <w:sz w:val="22"/>
          <w:szCs w:val="22"/>
        </w:rPr>
        <w:t xml:space="preserve">Jeff Hunkin </w:t>
      </w:r>
      <w:r w:rsidRPr="00F20DF9">
        <w:rPr>
          <w:rFonts w:ascii="Calibri" w:hAnsi="Calibri" w:cstheme="minorHAnsi"/>
          <w:sz w:val="22"/>
          <w:szCs w:val="22"/>
        </w:rPr>
        <w:t xml:space="preserve">via </w:t>
      </w:r>
      <w:hyperlink r:id="rId13" w:history="1">
        <w:r w:rsidRPr="00F20DF9">
          <w:rPr>
            <w:rStyle w:val="Hyperlink"/>
            <w:rFonts w:ascii="Calibri" w:hAnsi="Calibri" w:cstheme="minorHAnsi"/>
            <w:sz w:val="22"/>
            <w:szCs w:val="22"/>
          </w:rPr>
          <w:t>mediaenquiries@trademe.co.nz</w:t>
        </w:r>
      </w:hyperlink>
      <w:r w:rsidR="00140AB5">
        <w:rPr>
          <w:rFonts w:ascii="Calibri" w:hAnsi="Calibri" w:cstheme="minorHAnsi"/>
          <w:sz w:val="22"/>
          <w:szCs w:val="22"/>
        </w:rPr>
        <w:t xml:space="preserve"> or phone (04) 803 2702</w:t>
      </w:r>
      <w:r w:rsidRPr="00F20DF9">
        <w:rPr>
          <w:rFonts w:ascii="Calibri" w:hAnsi="Calibri" w:cstheme="minorHAnsi"/>
          <w:sz w:val="22"/>
          <w:szCs w:val="22"/>
        </w:rPr>
        <w:t>.</w:t>
      </w:r>
    </w:p>
    <w:p w:rsidR="008A59FF" w:rsidRPr="00140844" w:rsidRDefault="008A59FF" w:rsidP="008A59FF">
      <w:pPr>
        <w:rPr>
          <w:rFonts w:ascii="Calibri" w:hAnsi="Calibri" w:cstheme="minorHAnsi"/>
          <w:sz w:val="22"/>
          <w:szCs w:val="22"/>
        </w:rPr>
      </w:pPr>
    </w:p>
    <w:p w:rsidR="008A59FF" w:rsidRPr="00140844" w:rsidRDefault="008A59FF" w:rsidP="008A59FF">
      <w:pPr>
        <w:rPr>
          <w:rFonts w:ascii="Calibri" w:hAnsi="Calibri"/>
          <w:sz w:val="22"/>
          <w:szCs w:val="22"/>
        </w:rPr>
      </w:pPr>
    </w:p>
    <w:p w:rsidR="00B73E39" w:rsidRPr="00A561FE" w:rsidRDefault="00B73E39" w:rsidP="00A561FE">
      <w:pPr>
        <w:rPr>
          <w:rFonts w:ascii="Calibri" w:hAnsi="Calibri" w:cstheme="minorHAnsi"/>
          <w:sz w:val="22"/>
          <w:szCs w:val="22"/>
        </w:rPr>
      </w:pPr>
    </w:p>
    <w:p w:rsidR="00B73E39" w:rsidRPr="00A561FE" w:rsidRDefault="00B73E39" w:rsidP="00A561FE">
      <w:pPr>
        <w:rPr>
          <w:rFonts w:ascii="Calibri" w:hAnsi="Calibri"/>
          <w:sz w:val="22"/>
          <w:szCs w:val="22"/>
        </w:rPr>
      </w:pPr>
    </w:p>
    <w:p w:rsidR="003532F0" w:rsidRPr="00A561FE" w:rsidRDefault="003532F0" w:rsidP="00B85339">
      <w:pPr>
        <w:pStyle w:val="Body"/>
        <w:jc w:val="both"/>
        <w:rPr>
          <w:rFonts w:ascii="Calibri" w:hAnsi="Calibri"/>
          <w:lang w:val="en-NZ"/>
        </w:rPr>
      </w:pPr>
    </w:p>
    <w:sectPr w:rsidR="003532F0" w:rsidRPr="00A561FE" w:rsidSect="00D7614A">
      <w:pgSz w:w="11906" w:h="16838"/>
      <w:pgMar w:top="567" w:right="991" w:bottom="851" w:left="851"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D1" w:rsidRDefault="000A75D1">
      <w:r>
        <w:separator/>
      </w:r>
    </w:p>
  </w:endnote>
  <w:endnote w:type="continuationSeparator" w:id="0">
    <w:p w:rsidR="000A75D1" w:rsidRDefault="000A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Light">
    <w:altName w:val="Malgun Gothic"/>
    <w:charset w:val="00"/>
    <w:family w:val="auto"/>
    <w:pitch w:val="variable"/>
    <w:sig w:usb0="00000003"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D1" w:rsidRDefault="000A75D1">
      <w:r>
        <w:separator/>
      </w:r>
    </w:p>
  </w:footnote>
  <w:footnote w:type="continuationSeparator" w:id="0">
    <w:p w:rsidR="000A75D1" w:rsidRDefault="000A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9695B"/>
    <w:multiLevelType w:val="hybridMultilevel"/>
    <w:tmpl w:val="F8DEE064"/>
    <w:lvl w:ilvl="0" w:tplc="0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D683170"/>
    <w:multiLevelType w:val="hybridMultilevel"/>
    <w:tmpl w:val="956E1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F0"/>
    <w:rsid w:val="000334A4"/>
    <w:rsid w:val="000768EB"/>
    <w:rsid w:val="000A1392"/>
    <w:rsid w:val="000A75D1"/>
    <w:rsid w:val="000C2235"/>
    <w:rsid w:val="00140AB5"/>
    <w:rsid w:val="0014398D"/>
    <w:rsid w:val="001D49DB"/>
    <w:rsid w:val="00226C44"/>
    <w:rsid w:val="00271363"/>
    <w:rsid w:val="0027185A"/>
    <w:rsid w:val="002A462D"/>
    <w:rsid w:val="002C79E9"/>
    <w:rsid w:val="002E71B5"/>
    <w:rsid w:val="00300F07"/>
    <w:rsid w:val="00332096"/>
    <w:rsid w:val="0034386D"/>
    <w:rsid w:val="003532F0"/>
    <w:rsid w:val="003C7145"/>
    <w:rsid w:val="003E3E6F"/>
    <w:rsid w:val="004C2919"/>
    <w:rsid w:val="005346D2"/>
    <w:rsid w:val="0054370D"/>
    <w:rsid w:val="00571DBD"/>
    <w:rsid w:val="005B69BA"/>
    <w:rsid w:val="00644355"/>
    <w:rsid w:val="00655D6B"/>
    <w:rsid w:val="00684EC9"/>
    <w:rsid w:val="007309B0"/>
    <w:rsid w:val="007366FD"/>
    <w:rsid w:val="00775321"/>
    <w:rsid w:val="00776003"/>
    <w:rsid w:val="00785196"/>
    <w:rsid w:val="00813935"/>
    <w:rsid w:val="00815F69"/>
    <w:rsid w:val="008461F9"/>
    <w:rsid w:val="00866D20"/>
    <w:rsid w:val="008A59FF"/>
    <w:rsid w:val="008B1AFA"/>
    <w:rsid w:val="008C43AA"/>
    <w:rsid w:val="008D397D"/>
    <w:rsid w:val="008F0618"/>
    <w:rsid w:val="00911F83"/>
    <w:rsid w:val="009D1230"/>
    <w:rsid w:val="009D6930"/>
    <w:rsid w:val="00A033A8"/>
    <w:rsid w:val="00A0723D"/>
    <w:rsid w:val="00A561FE"/>
    <w:rsid w:val="00A8186C"/>
    <w:rsid w:val="00AE19E5"/>
    <w:rsid w:val="00AE24CC"/>
    <w:rsid w:val="00AE4F64"/>
    <w:rsid w:val="00B73E39"/>
    <w:rsid w:val="00B85339"/>
    <w:rsid w:val="00B87C72"/>
    <w:rsid w:val="00BC4314"/>
    <w:rsid w:val="00C13B6C"/>
    <w:rsid w:val="00C632B7"/>
    <w:rsid w:val="00C920C7"/>
    <w:rsid w:val="00CA6DA0"/>
    <w:rsid w:val="00D55083"/>
    <w:rsid w:val="00D7614A"/>
    <w:rsid w:val="00DB65E9"/>
    <w:rsid w:val="00E10F68"/>
    <w:rsid w:val="00E14A80"/>
    <w:rsid w:val="00E30D65"/>
    <w:rsid w:val="00E90CD5"/>
    <w:rsid w:val="00EC4346"/>
    <w:rsid w:val="00EE4D8E"/>
    <w:rsid w:val="00F2768F"/>
    <w:rsid w:val="00F4255F"/>
    <w:rsid w:val="00F94750"/>
    <w:rsid w:val="00FA275C"/>
    <w:rsid w:val="00FD0B21"/>
    <w:rsid w:val="00FE24A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LabelDark">
    <w:name w:val="Label Dark"/>
    <w:pPr>
      <w:jc w:val="center"/>
    </w:pPr>
    <w:rPr>
      <w:rFonts w:ascii="Helvetica Light" w:hAnsi="Arial Unicode MS" w:cs="Arial Unicode MS"/>
      <w:color w:val="000000"/>
      <w:sz w:val="24"/>
      <w:szCs w:val="24"/>
      <w:lang w:val="en-US"/>
    </w:rPr>
  </w:style>
  <w:style w:type="character" w:styleId="CommentReference">
    <w:name w:val="annotation reference"/>
    <w:basedOn w:val="DefaultParagraphFont"/>
    <w:uiPriority w:val="99"/>
    <w:semiHidden/>
    <w:unhideWhenUsed/>
    <w:rsid w:val="00A8186C"/>
    <w:rPr>
      <w:sz w:val="16"/>
      <w:szCs w:val="16"/>
    </w:rPr>
  </w:style>
  <w:style w:type="paragraph" w:styleId="CommentText">
    <w:name w:val="annotation text"/>
    <w:basedOn w:val="Normal"/>
    <w:link w:val="CommentTextChar"/>
    <w:uiPriority w:val="99"/>
    <w:semiHidden/>
    <w:unhideWhenUsed/>
    <w:rsid w:val="00A8186C"/>
    <w:rPr>
      <w:sz w:val="20"/>
      <w:szCs w:val="20"/>
    </w:rPr>
  </w:style>
  <w:style w:type="character" w:customStyle="1" w:styleId="CommentTextChar">
    <w:name w:val="Comment Text Char"/>
    <w:basedOn w:val="DefaultParagraphFont"/>
    <w:link w:val="CommentText"/>
    <w:uiPriority w:val="99"/>
    <w:semiHidden/>
    <w:rsid w:val="00A8186C"/>
    <w:rPr>
      <w:lang w:val="en-US"/>
    </w:rPr>
  </w:style>
  <w:style w:type="paragraph" w:styleId="CommentSubject">
    <w:name w:val="annotation subject"/>
    <w:basedOn w:val="CommentText"/>
    <w:next w:val="CommentText"/>
    <w:link w:val="CommentSubjectChar"/>
    <w:uiPriority w:val="99"/>
    <w:semiHidden/>
    <w:unhideWhenUsed/>
    <w:rsid w:val="00A8186C"/>
    <w:rPr>
      <w:b/>
      <w:bCs/>
    </w:rPr>
  </w:style>
  <w:style w:type="character" w:customStyle="1" w:styleId="CommentSubjectChar">
    <w:name w:val="Comment Subject Char"/>
    <w:basedOn w:val="CommentTextChar"/>
    <w:link w:val="CommentSubject"/>
    <w:uiPriority w:val="99"/>
    <w:semiHidden/>
    <w:rsid w:val="00A8186C"/>
    <w:rPr>
      <w:b/>
      <w:bCs/>
      <w:lang w:val="en-US"/>
    </w:rPr>
  </w:style>
  <w:style w:type="paragraph" w:styleId="BalloonText">
    <w:name w:val="Balloon Text"/>
    <w:basedOn w:val="Normal"/>
    <w:link w:val="BalloonTextChar"/>
    <w:uiPriority w:val="99"/>
    <w:semiHidden/>
    <w:unhideWhenUsed/>
    <w:rsid w:val="00A81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6C"/>
    <w:rPr>
      <w:rFonts w:ascii="Segoe UI" w:hAnsi="Segoe UI" w:cs="Segoe UI"/>
      <w:sz w:val="18"/>
      <w:szCs w:val="18"/>
      <w:lang w:val="en-US"/>
    </w:rPr>
  </w:style>
  <w:style w:type="paragraph" w:styleId="ListParagraph">
    <w:name w:val="List Paragraph"/>
    <w:basedOn w:val="Normal"/>
    <w:uiPriority w:val="34"/>
    <w:qFormat/>
    <w:rsid w:val="00B85339"/>
    <w:pPr>
      <w:ind w:left="720"/>
      <w:contextualSpacing/>
    </w:pPr>
  </w:style>
  <w:style w:type="table" w:styleId="LightShading-Accent2">
    <w:name w:val="Light Shading Accent 2"/>
    <w:basedOn w:val="TableNormal"/>
    <w:uiPriority w:val="60"/>
    <w:rsid w:val="008A59FF"/>
    <w:rPr>
      <w:color w:val="528F2A" w:themeColor="accent2" w:themeShade="BF"/>
    </w:rPr>
    <w:tblPr>
      <w:tblStyleRowBandSize w:val="1"/>
      <w:tblStyleColBandSize w:val="1"/>
      <w:tblInd w:w="0" w:type="dxa"/>
      <w:tblBorders>
        <w:top w:val="single" w:sz="8" w:space="0" w:color="6EC038" w:themeColor="accent2"/>
        <w:bottom w:val="single" w:sz="8" w:space="0" w:color="6EC03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paragraph" w:styleId="Header">
    <w:name w:val="header"/>
    <w:basedOn w:val="Normal"/>
    <w:link w:val="HeaderChar"/>
    <w:uiPriority w:val="99"/>
    <w:unhideWhenUsed/>
    <w:rsid w:val="008C43AA"/>
    <w:pPr>
      <w:tabs>
        <w:tab w:val="center" w:pos="4513"/>
        <w:tab w:val="right" w:pos="9026"/>
      </w:tabs>
    </w:pPr>
  </w:style>
  <w:style w:type="character" w:customStyle="1" w:styleId="HeaderChar">
    <w:name w:val="Header Char"/>
    <w:basedOn w:val="DefaultParagraphFont"/>
    <w:link w:val="Header"/>
    <w:uiPriority w:val="99"/>
    <w:rsid w:val="008C43AA"/>
    <w:rPr>
      <w:sz w:val="24"/>
      <w:szCs w:val="24"/>
    </w:rPr>
  </w:style>
  <w:style w:type="paragraph" w:styleId="Footer">
    <w:name w:val="footer"/>
    <w:basedOn w:val="Normal"/>
    <w:link w:val="FooterChar"/>
    <w:uiPriority w:val="99"/>
    <w:unhideWhenUsed/>
    <w:rsid w:val="008C43AA"/>
    <w:pPr>
      <w:tabs>
        <w:tab w:val="center" w:pos="4513"/>
        <w:tab w:val="right" w:pos="9026"/>
      </w:tabs>
    </w:pPr>
  </w:style>
  <w:style w:type="character" w:customStyle="1" w:styleId="FooterChar">
    <w:name w:val="Footer Char"/>
    <w:basedOn w:val="DefaultParagraphFont"/>
    <w:link w:val="Footer"/>
    <w:uiPriority w:val="99"/>
    <w:rsid w:val="008C43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ediaenquiries@trademe.co.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diaenquiries@trademe.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DB7C3BF2-071D-43D5-9308-BC62A441C2F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2014-12-01T22:24:00Z</dcterms:created>
  <dcterms:modified xsi:type="dcterms:W3CDTF">2014-12-02T20:42:00Z</dcterms:modified>
</cp:coreProperties>
</file>