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718911" w14:textId="77777777" w:rsidR="00137364" w:rsidRDefault="00137364">
      <w:pPr>
        <w:pStyle w:val="NormalWeb"/>
        <w:spacing w:before="0"/>
        <w:jc w:val="right"/>
      </w:pPr>
    </w:p>
    <w:p w14:paraId="37A4362E" w14:textId="78962D73" w:rsidR="00137364" w:rsidRDefault="00137364">
      <w:pPr>
        <w:pStyle w:val="NormalWeb"/>
        <w:rPr>
          <w:b/>
          <w:sz w:val="28"/>
          <w:szCs w:val="28"/>
        </w:rPr>
      </w:pPr>
      <w:r>
        <w:t>Media Release</w:t>
      </w:r>
      <w:r>
        <w:tab/>
      </w:r>
      <w:r>
        <w:tab/>
      </w:r>
      <w:r>
        <w:tab/>
      </w:r>
      <w:r>
        <w:tab/>
      </w:r>
      <w:r>
        <w:tab/>
      </w:r>
      <w:r>
        <w:tab/>
      </w:r>
      <w:r>
        <w:tab/>
      </w:r>
      <w:r>
        <w:tab/>
      </w:r>
      <w:r w:rsidR="00970B3B" w:rsidRPr="00A14D08">
        <w:t>1</w:t>
      </w:r>
      <w:r w:rsidR="00970B3B">
        <w:t>5</w:t>
      </w:r>
      <w:r w:rsidR="00970B3B" w:rsidRPr="00A14D08">
        <w:t xml:space="preserve"> </w:t>
      </w:r>
      <w:r w:rsidRPr="00A14D08">
        <w:t xml:space="preserve">October </w:t>
      </w:r>
      <w:r w:rsidR="00451918" w:rsidRPr="00A14D08">
        <w:t>201</w:t>
      </w:r>
      <w:r w:rsidR="00451918">
        <w:t xml:space="preserve">4 </w:t>
      </w:r>
    </w:p>
    <w:p w14:paraId="31BF56DB" w14:textId="4357B34D" w:rsidR="00137364" w:rsidRDefault="00A14D08">
      <w:pPr>
        <w:pStyle w:val="NormalWeb"/>
        <w:jc w:val="both"/>
      </w:pPr>
      <w:r>
        <w:rPr>
          <w:b/>
          <w:sz w:val="28"/>
          <w:szCs w:val="28"/>
        </w:rPr>
        <w:t>Southwest</w:t>
      </w:r>
      <w:r w:rsidR="00137364">
        <w:rPr>
          <w:b/>
          <w:sz w:val="28"/>
          <w:szCs w:val="28"/>
        </w:rPr>
        <w:t xml:space="preserve"> Pacific Tropical Cyclone Outlook: Near average </w:t>
      </w:r>
      <w:r w:rsidR="009325F2">
        <w:rPr>
          <w:b/>
          <w:sz w:val="28"/>
          <w:szCs w:val="28"/>
        </w:rPr>
        <w:t>tropical cyclone</w:t>
      </w:r>
      <w:r w:rsidR="00137364">
        <w:rPr>
          <w:b/>
          <w:sz w:val="28"/>
          <w:szCs w:val="28"/>
        </w:rPr>
        <w:t xml:space="preserve"> numbers for </w:t>
      </w:r>
      <w:r w:rsidR="009325F2">
        <w:rPr>
          <w:b/>
          <w:sz w:val="28"/>
          <w:szCs w:val="28"/>
        </w:rPr>
        <w:t>the region is</w:t>
      </w:r>
      <w:r w:rsidR="008861DC">
        <w:rPr>
          <w:b/>
          <w:sz w:val="28"/>
          <w:szCs w:val="28"/>
        </w:rPr>
        <w:t xml:space="preserve"> </w:t>
      </w:r>
      <w:r w:rsidR="00137364">
        <w:rPr>
          <w:b/>
          <w:sz w:val="28"/>
          <w:szCs w:val="28"/>
        </w:rPr>
        <w:t xml:space="preserve">likely, </w:t>
      </w:r>
      <w:r w:rsidR="009325F2">
        <w:rPr>
          <w:b/>
          <w:sz w:val="28"/>
          <w:szCs w:val="28"/>
        </w:rPr>
        <w:t>with</w:t>
      </w:r>
      <w:r w:rsidR="008861DC">
        <w:rPr>
          <w:b/>
          <w:sz w:val="28"/>
          <w:szCs w:val="28"/>
        </w:rPr>
        <w:t xml:space="preserve"> </w:t>
      </w:r>
      <w:r w:rsidR="00137364">
        <w:rPr>
          <w:b/>
          <w:sz w:val="28"/>
          <w:szCs w:val="28"/>
        </w:rPr>
        <w:t xml:space="preserve">increased activity </w:t>
      </w:r>
      <w:r w:rsidR="00D934F7">
        <w:rPr>
          <w:b/>
          <w:sz w:val="28"/>
          <w:szCs w:val="28"/>
        </w:rPr>
        <w:t>from February onward</w:t>
      </w:r>
    </w:p>
    <w:p w14:paraId="1473E8BA" w14:textId="7A998898" w:rsidR="00137364" w:rsidRDefault="00137364">
      <w:pPr>
        <w:pStyle w:val="NormalWeb"/>
        <w:jc w:val="both"/>
      </w:pPr>
      <w:r>
        <w:t xml:space="preserve">Meteorological </w:t>
      </w:r>
      <w:r w:rsidRPr="009325F2">
        <w:t xml:space="preserve">forecasting centres across the </w:t>
      </w:r>
      <w:r w:rsidR="00724D6A">
        <w:t xml:space="preserve">Southwest </w:t>
      </w:r>
      <w:r w:rsidRPr="009325F2">
        <w:t xml:space="preserve">Pacific are predicting near average numbers of tropical cyclones </w:t>
      </w:r>
      <w:r w:rsidR="00332B16">
        <w:t xml:space="preserve">(TC) </w:t>
      </w:r>
      <w:r w:rsidRPr="009325F2">
        <w:t xml:space="preserve">for the </w:t>
      </w:r>
      <w:r w:rsidR="000B2185" w:rsidRPr="009325F2">
        <w:t>201</w:t>
      </w:r>
      <w:r w:rsidR="000B2185">
        <w:t>4</w:t>
      </w:r>
      <w:r w:rsidRPr="009325F2">
        <w:t>–</w:t>
      </w:r>
      <w:r w:rsidR="000B2185" w:rsidRPr="009325F2">
        <w:t>1</w:t>
      </w:r>
      <w:r w:rsidR="000B2185">
        <w:t>5</w:t>
      </w:r>
      <w:r w:rsidR="000B2185" w:rsidRPr="009325F2">
        <w:t xml:space="preserve"> </w:t>
      </w:r>
      <w:r w:rsidRPr="009325F2">
        <w:t xml:space="preserve">season (November </w:t>
      </w:r>
      <w:r w:rsidR="000B2185" w:rsidRPr="009325F2">
        <w:t>201</w:t>
      </w:r>
      <w:r w:rsidR="000B2185">
        <w:t>4</w:t>
      </w:r>
      <w:r w:rsidR="000B2185" w:rsidRPr="009325F2">
        <w:t xml:space="preserve"> </w:t>
      </w:r>
      <w:r w:rsidRPr="009325F2">
        <w:t xml:space="preserve">to April </w:t>
      </w:r>
      <w:r w:rsidR="000B2185" w:rsidRPr="009325F2">
        <w:t>201</w:t>
      </w:r>
      <w:r w:rsidR="000B2185">
        <w:t>5</w:t>
      </w:r>
      <w:r w:rsidRPr="009325F2">
        <w:t xml:space="preserve">). </w:t>
      </w:r>
      <w:r w:rsidR="00216D9E">
        <w:t xml:space="preserve">The </w:t>
      </w:r>
      <w:r w:rsidR="00216D9E" w:rsidRPr="00216D9E">
        <w:t xml:space="preserve">30-year average </w:t>
      </w:r>
      <w:r w:rsidR="009202FB">
        <w:t>number of all</w:t>
      </w:r>
      <w:r w:rsidR="00886C60">
        <w:t xml:space="preserve"> (named) </w:t>
      </w:r>
      <w:r w:rsidR="00216D9E">
        <w:t xml:space="preserve">of TCs </w:t>
      </w:r>
      <w:r w:rsidR="00216D9E" w:rsidRPr="00216D9E">
        <w:t>from 1981-2010 is 12.4</w:t>
      </w:r>
      <w:r w:rsidR="00886C60">
        <w:t xml:space="preserve"> (10.4)</w:t>
      </w:r>
      <w:r w:rsidR="00216D9E" w:rsidRPr="00216D9E">
        <w:t xml:space="preserve"> </w:t>
      </w:r>
      <w:r w:rsidRPr="009325F2">
        <w:t xml:space="preserve">in the </w:t>
      </w:r>
      <w:r w:rsidR="00A14D08" w:rsidRPr="00A14D08">
        <w:t>Southwest</w:t>
      </w:r>
      <w:r w:rsidRPr="00A14D08">
        <w:t xml:space="preserve"> Pacific</w:t>
      </w:r>
      <w:r w:rsidR="00A8469C">
        <w:rPr>
          <w:rStyle w:val="FootnoteReference"/>
        </w:rPr>
        <w:footnoteReference w:id="1"/>
      </w:r>
      <w:r w:rsidR="00A8469C" w:rsidRPr="00A8469C">
        <w:t xml:space="preserve"> </w:t>
      </w:r>
      <w:r w:rsidR="00A8469C" w:rsidRPr="009325F2">
        <w:t xml:space="preserve">each season </w:t>
      </w:r>
      <w:r w:rsidR="00A8469C">
        <w:t xml:space="preserve">from </w:t>
      </w:r>
      <w:r w:rsidR="00A8469C" w:rsidRPr="009325F2">
        <w:t>November to April</w:t>
      </w:r>
      <w:r w:rsidRPr="009325F2">
        <w:t xml:space="preserve">. The outlook indicates that </w:t>
      </w:r>
      <w:r w:rsidR="009325F2" w:rsidRPr="009325F2">
        <w:t>8 to</w:t>
      </w:r>
      <w:r w:rsidRPr="009325F2">
        <w:t xml:space="preserve"> 12 named </w:t>
      </w:r>
      <w:r w:rsidR="00332B16">
        <w:t>TC</w:t>
      </w:r>
      <w:r w:rsidRPr="009325F2">
        <w:t xml:space="preserve">s are expected for the </w:t>
      </w:r>
      <w:r w:rsidR="009325F2" w:rsidRPr="009325F2">
        <w:t>coming</w:t>
      </w:r>
      <w:r w:rsidRPr="009325F2">
        <w:t xml:space="preserve"> season.  </w:t>
      </w:r>
      <w:r w:rsidR="009325F2" w:rsidRPr="009325F2">
        <w:t xml:space="preserve">TC </w:t>
      </w:r>
      <w:r w:rsidRPr="009325F2">
        <w:t xml:space="preserve">activity </w:t>
      </w:r>
      <w:r w:rsidR="00287A88">
        <w:t>for</w:t>
      </w:r>
      <w:r w:rsidR="00287A88" w:rsidRPr="009325F2">
        <w:t xml:space="preserve"> </w:t>
      </w:r>
      <w:r w:rsidR="009325F2" w:rsidRPr="009325F2">
        <w:t>Vanuat</w:t>
      </w:r>
      <w:r w:rsidR="00287A88">
        <w:t>u</w:t>
      </w:r>
      <w:r w:rsidR="00801B52">
        <w:t xml:space="preserve"> and</w:t>
      </w:r>
      <w:r w:rsidR="009325F2" w:rsidRPr="009325F2">
        <w:t xml:space="preserve"> New Caledonia</w:t>
      </w:r>
      <w:r w:rsidRPr="009325F2">
        <w:t xml:space="preserve"> is </w:t>
      </w:r>
      <w:r w:rsidR="00C74FF4">
        <w:t>anticipated</w:t>
      </w:r>
      <w:r w:rsidR="00C74FF4" w:rsidRPr="009325F2">
        <w:t xml:space="preserve"> </w:t>
      </w:r>
      <w:r w:rsidRPr="009325F2">
        <w:t xml:space="preserve">to be </w:t>
      </w:r>
      <w:r w:rsidR="009325F2" w:rsidRPr="009325F2">
        <w:t xml:space="preserve">below </w:t>
      </w:r>
      <w:r w:rsidRPr="009325F2">
        <w:t>normal</w:t>
      </w:r>
      <w:r w:rsidR="009325F2" w:rsidRPr="009325F2">
        <w:t xml:space="preserve"> </w:t>
      </w:r>
      <w:r w:rsidR="00801B52">
        <w:t>for</w:t>
      </w:r>
      <w:r w:rsidR="009325F2" w:rsidRPr="009325F2">
        <w:t xml:space="preserve"> th</w:t>
      </w:r>
      <w:r w:rsidR="00801B52">
        <w:t>is</w:t>
      </w:r>
      <w:r w:rsidR="009325F2" w:rsidRPr="009325F2">
        <w:t xml:space="preserve"> season</w:t>
      </w:r>
      <w:r w:rsidR="00060169">
        <w:t xml:space="preserve">, while elevated activity is expected </w:t>
      </w:r>
      <w:r w:rsidR="00C74FF4">
        <w:t>for</w:t>
      </w:r>
      <w:r w:rsidR="00060169">
        <w:t xml:space="preserve"> Samoa, </w:t>
      </w:r>
      <w:r w:rsidR="00C74FF4">
        <w:t xml:space="preserve">Tuvalu, Tokelau, </w:t>
      </w:r>
      <w:r w:rsidR="00060169">
        <w:t xml:space="preserve">Niue, </w:t>
      </w:r>
      <w:r w:rsidR="00C74FF4">
        <w:t xml:space="preserve">and </w:t>
      </w:r>
      <w:r w:rsidR="00060169">
        <w:t>the Southern Cook Islands</w:t>
      </w:r>
      <w:r w:rsidR="009325F2" w:rsidRPr="009325F2">
        <w:t xml:space="preserve">. </w:t>
      </w:r>
      <w:r w:rsidR="00F503BF">
        <w:t>There is a</w:t>
      </w:r>
      <w:r w:rsidR="00C74FF4">
        <w:t>lso a</w:t>
      </w:r>
      <w:r w:rsidR="00F503BF">
        <w:t>n outlook of no</w:t>
      </w:r>
      <w:r w:rsidR="00F503BF" w:rsidRPr="009325F2">
        <w:t xml:space="preserve">rmal </w:t>
      </w:r>
      <w:r w:rsidR="009325F2" w:rsidRPr="009325F2">
        <w:t>or above</w:t>
      </w:r>
      <w:r w:rsidRPr="009325F2">
        <w:t xml:space="preserve"> normal activity for</w:t>
      </w:r>
      <w:r w:rsidR="009325F2" w:rsidRPr="009325F2">
        <w:t xml:space="preserve"> countries </w:t>
      </w:r>
      <w:r w:rsidR="00287A88">
        <w:t>situated close</w:t>
      </w:r>
      <w:r w:rsidR="00287A88" w:rsidRPr="009325F2">
        <w:t xml:space="preserve"> </w:t>
      </w:r>
      <w:r w:rsidR="009325F2" w:rsidRPr="009325F2">
        <w:t xml:space="preserve">to the International </w:t>
      </w:r>
      <w:r w:rsidR="00A14D08">
        <w:t>Date Line</w:t>
      </w:r>
      <w:r w:rsidR="00C74FF4">
        <w:t xml:space="preserve"> (such as Wallis et Futuna and Tonga)</w:t>
      </w:r>
      <w:r w:rsidRPr="009325F2">
        <w:t>.</w:t>
      </w:r>
      <w:r>
        <w:t xml:space="preserve"> </w:t>
      </w:r>
    </w:p>
    <w:p w14:paraId="3DB3E0E4" w14:textId="382D7173" w:rsidR="00137364" w:rsidRDefault="00137364">
      <w:pPr>
        <w:pStyle w:val="NormalWeb"/>
        <w:jc w:val="both"/>
        <w:rPr>
          <w:color w:val="000000"/>
        </w:rPr>
      </w:pPr>
      <w:r>
        <w:rPr>
          <w:color w:val="000000"/>
        </w:rPr>
        <w:t xml:space="preserve">It should be recognised that </w:t>
      </w:r>
      <w:r w:rsidR="00F43455">
        <w:rPr>
          <w:color w:val="000000"/>
        </w:rPr>
        <w:t xml:space="preserve">the season-long forecast reflects an expectation of overall </w:t>
      </w:r>
      <w:r w:rsidR="00DC777A">
        <w:rPr>
          <w:color w:val="000000"/>
        </w:rPr>
        <w:t>reduced activity during the early season</w:t>
      </w:r>
      <w:r w:rsidR="00801B52">
        <w:rPr>
          <w:color w:val="000000"/>
        </w:rPr>
        <w:t xml:space="preserve"> (November to January)</w:t>
      </w:r>
      <w:r w:rsidR="00DC777A">
        <w:rPr>
          <w:color w:val="000000"/>
        </w:rPr>
        <w:t xml:space="preserve"> and </w:t>
      </w:r>
      <w:r w:rsidR="00F43455">
        <w:rPr>
          <w:color w:val="000000"/>
        </w:rPr>
        <w:t xml:space="preserve">net </w:t>
      </w:r>
      <w:r>
        <w:rPr>
          <w:color w:val="000000"/>
        </w:rPr>
        <w:t xml:space="preserve">increased activity </w:t>
      </w:r>
      <w:r w:rsidR="009325F2">
        <w:rPr>
          <w:color w:val="000000"/>
        </w:rPr>
        <w:t>in general</w:t>
      </w:r>
      <w:r w:rsidR="00DC777A">
        <w:rPr>
          <w:color w:val="000000"/>
        </w:rPr>
        <w:t xml:space="preserve"> during the late season</w:t>
      </w:r>
      <w:r w:rsidR="00801B52">
        <w:rPr>
          <w:color w:val="000000"/>
        </w:rPr>
        <w:t xml:space="preserve"> (February to April)</w:t>
      </w:r>
      <w:r>
        <w:rPr>
          <w:color w:val="000000"/>
        </w:rPr>
        <w:t>. Note that the</w:t>
      </w:r>
      <w:r w:rsidR="00F43455">
        <w:rPr>
          <w:color w:val="000000"/>
        </w:rPr>
        <w:t xml:space="preserve"> </w:t>
      </w:r>
      <w:r w:rsidR="008861DC">
        <w:rPr>
          <w:color w:val="000000"/>
        </w:rPr>
        <w:t>TC</w:t>
      </w:r>
      <w:r>
        <w:rPr>
          <w:color w:val="000000"/>
        </w:rPr>
        <w:t xml:space="preserve"> activity </w:t>
      </w:r>
      <w:r w:rsidR="00513165">
        <w:rPr>
          <w:color w:val="000000"/>
        </w:rPr>
        <w:t xml:space="preserve">outlook </w:t>
      </w:r>
      <w:r>
        <w:rPr>
          <w:color w:val="000000"/>
        </w:rPr>
        <w:t>for islands like New Caledoni</w:t>
      </w:r>
      <w:r w:rsidR="00DC777A">
        <w:rPr>
          <w:color w:val="000000"/>
        </w:rPr>
        <w:t>a,</w:t>
      </w:r>
      <w:r>
        <w:rPr>
          <w:color w:val="000000"/>
        </w:rPr>
        <w:t xml:space="preserve"> Vanuatu, Fiji, and Tonga indicates two </w:t>
      </w:r>
      <w:r w:rsidR="009325F2">
        <w:rPr>
          <w:color w:val="000000"/>
        </w:rPr>
        <w:t>or more</w:t>
      </w:r>
      <w:r>
        <w:rPr>
          <w:color w:val="000000"/>
        </w:rPr>
        <w:t xml:space="preserve"> cyclones </w:t>
      </w:r>
      <w:r w:rsidR="009325F2">
        <w:rPr>
          <w:color w:val="000000"/>
        </w:rPr>
        <w:t>could interact</w:t>
      </w:r>
      <w:r>
        <w:rPr>
          <w:color w:val="000000"/>
        </w:rPr>
        <w:t xml:space="preserve"> with each of those countries during the season</w:t>
      </w:r>
      <w:r w:rsidR="00DC777A">
        <w:rPr>
          <w:color w:val="000000"/>
        </w:rPr>
        <w:t xml:space="preserve"> despite </w:t>
      </w:r>
      <w:r w:rsidR="00513165">
        <w:rPr>
          <w:color w:val="000000"/>
        </w:rPr>
        <w:t>small differences from normal</w:t>
      </w:r>
      <w:r>
        <w:rPr>
          <w:color w:val="000000"/>
        </w:rPr>
        <w:t xml:space="preserve">. At least one or more severe </w:t>
      </w:r>
      <w:r w:rsidR="00332B16">
        <w:rPr>
          <w:color w:val="000000"/>
        </w:rPr>
        <w:t>TC</w:t>
      </w:r>
      <w:r>
        <w:rPr>
          <w:color w:val="000000"/>
        </w:rPr>
        <w:t>s (Category 3 or higher</w:t>
      </w:r>
      <w:r>
        <w:rPr>
          <w:rStyle w:val="FootnoteCharacters"/>
          <w:color w:val="000000"/>
        </w:rPr>
        <w:footnoteReference w:id="2"/>
      </w:r>
      <w:r>
        <w:rPr>
          <w:color w:val="000000"/>
        </w:rPr>
        <w:t xml:space="preserve">) could occur anywhere across the </w:t>
      </w:r>
      <w:r w:rsidR="00A14D08">
        <w:rPr>
          <w:color w:val="000000"/>
        </w:rPr>
        <w:t>Southwest</w:t>
      </w:r>
      <w:r>
        <w:rPr>
          <w:color w:val="000000"/>
        </w:rPr>
        <w:t xml:space="preserve"> Pacific during the season. All communities should remain vigilant</w:t>
      </w:r>
      <w:r w:rsidR="009325F2">
        <w:rPr>
          <w:color w:val="000000"/>
        </w:rPr>
        <w:t xml:space="preserve"> and follow forecast information provided by their national meteorological service</w:t>
      </w:r>
      <w:r>
        <w:rPr>
          <w:color w:val="000000"/>
        </w:rPr>
        <w:t>.</w:t>
      </w:r>
    </w:p>
    <w:p w14:paraId="38C762F2" w14:textId="3D36EA2D" w:rsidR="00137364" w:rsidRDefault="00137364">
      <w:pPr>
        <w:pStyle w:val="NormalWeb"/>
        <w:jc w:val="both"/>
        <w:rPr>
          <w:b/>
          <w:color w:val="000000"/>
        </w:rPr>
      </w:pPr>
      <w:r>
        <w:rPr>
          <w:color w:val="000000"/>
        </w:rPr>
        <w:t>On average, New Zealand experiences at least one ex-tropical cyclon</w:t>
      </w:r>
      <w:r w:rsidR="00C74FF4">
        <w:rPr>
          <w:color w:val="000000"/>
        </w:rPr>
        <w:t>e</w:t>
      </w:r>
      <w:r>
        <w:rPr>
          <w:color w:val="000000"/>
        </w:rPr>
        <w:t xml:space="preserve"> passing within 550km of the country every </w:t>
      </w:r>
      <w:r w:rsidR="009325F2">
        <w:rPr>
          <w:color w:val="000000"/>
        </w:rPr>
        <w:t>year. For the coming TC season, the risk for New Zealand is slightly</w:t>
      </w:r>
      <w:r w:rsidR="00B34D13">
        <w:rPr>
          <w:color w:val="000000"/>
        </w:rPr>
        <w:t xml:space="preserve"> higher</w:t>
      </w:r>
      <w:r w:rsidR="00A14D08">
        <w:rPr>
          <w:color w:val="000000"/>
        </w:rPr>
        <w:t xml:space="preserve"> than normal.</w:t>
      </w:r>
      <w:r w:rsidR="009325F2">
        <w:rPr>
          <w:color w:val="000000"/>
        </w:rPr>
        <w:t xml:space="preserve"> If an ex-</w:t>
      </w:r>
      <w:r w:rsidR="00C74FF4">
        <w:rPr>
          <w:color w:val="000000"/>
        </w:rPr>
        <w:t>tropical cyclone</w:t>
      </w:r>
      <w:r w:rsidR="009325F2">
        <w:rPr>
          <w:color w:val="000000"/>
        </w:rPr>
        <w:t xml:space="preserve"> comes close to the country, </w:t>
      </w:r>
      <w:r w:rsidR="00DC777A">
        <w:rPr>
          <w:color w:val="000000"/>
        </w:rPr>
        <w:t xml:space="preserve">the current background climate conditions suggest </w:t>
      </w:r>
      <w:r w:rsidR="009325F2">
        <w:rPr>
          <w:color w:val="000000"/>
        </w:rPr>
        <w:t xml:space="preserve">it has a higher probability of passing east </w:t>
      </w:r>
      <w:r w:rsidR="00724D6A">
        <w:rPr>
          <w:color w:val="000000"/>
        </w:rPr>
        <w:t xml:space="preserve">rather than west </w:t>
      </w:r>
      <w:r w:rsidR="009325F2">
        <w:rPr>
          <w:color w:val="000000"/>
        </w:rPr>
        <w:t>of Auckland city</w:t>
      </w:r>
      <w:r>
        <w:rPr>
          <w:color w:val="000000"/>
        </w:rPr>
        <w:t>.</w:t>
      </w:r>
    </w:p>
    <w:p w14:paraId="542BA8C4" w14:textId="77777777" w:rsidR="00137364" w:rsidRDefault="00137364">
      <w:pPr>
        <w:pStyle w:val="NormalWeb"/>
        <w:jc w:val="both"/>
        <w:rPr>
          <w:color w:val="000000"/>
        </w:rPr>
      </w:pPr>
      <w:r>
        <w:rPr>
          <w:b/>
          <w:color w:val="000000"/>
        </w:rPr>
        <w:t>Outlook analysis</w:t>
      </w:r>
    </w:p>
    <w:p w14:paraId="29F652A7" w14:textId="36787C35" w:rsidR="00137364" w:rsidRPr="00065ECB" w:rsidRDefault="00451918">
      <w:pPr>
        <w:pStyle w:val="NormalWeb"/>
        <w:jc w:val="both"/>
      </w:pPr>
      <w:r>
        <w:rPr>
          <w:color w:val="000000"/>
        </w:rPr>
        <w:t>C</w:t>
      </w:r>
      <w:r w:rsidR="00137364">
        <w:rPr>
          <w:color w:val="000000"/>
        </w:rPr>
        <w:t xml:space="preserve">onditions </w:t>
      </w:r>
      <w:r>
        <w:rPr>
          <w:color w:val="000000"/>
        </w:rPr>
        <w:t xml:space="preserve">within the ENSO-neutral range </w:t>
      </w:r>
      <w:r w:rsidR="00137364">
        <w:rPr>
          <w:color w:val="000000"/>
        </w:rPr>
        <w:t xml:space="preserve">are indicated by sea surface temperature anomalies across the </w:t>
      </w:r>
      <w:r w:rsidR="00137364" w:rsidRPr="009325F2">
        <w:rPr>
          <w:color w:val="000000"/>
        </w:rPr>
        <w:t xml:space="preserve">central and eastern Equatorial Pacific Ocean, and the atmospheric circulation patterns </w:t>
      </w:r>
      <w:r>
        <w:rPr>
          <w:color w:val="000000"/>
        </w:rPr>
        <w:t xml:space="preserve">that exist </w:t>
      </w:r>
      <w:r w:rsidR="00137364" w:rsidRPr="009325F2">
        <w:rPr>
          <w:color w:val="000000"/>
        </w:rPr>
        <w:t xml:space="preserve">over French Polynesia and northern </w:t>
      </w:r>
      <w:r w:rsidR="00137364" w:rsidRPr="00B34D13">
        <w:rPr>
          <w:color w:val="000000"/>
        </w:rPr>
        <w:t>Australia</w:t>
      </w:r>
      <w:r w:rsidR="00B34D13">
        <w:rPr>
          <w:color w:val="000000"/>
        </w:rPr>
        <w:t>.</w:t>
      </w:r>
      <w:r w:rsidR="00137364" w:rsidRPr="00B34D13">
        <w:rPr>
          <w:color w:val="000000"/>
        </w:rPr>
        <w:t xml:space="preserve"> </w:t>
      </w:r>
      <w:r w:rsidR="00460086">
        <w:rPr>
          <w:color w:val="000000"/>
        </w:rPr>
        <w:t xml:space="preserve">There is an expectation amongst a number of </w:t>
      </w:r>
      <w:r>
        <w:rPr>
          <w:color w:val="000000"/>
        </w:rPr>
        <w:t xml:space="preserve">international forecast centres </w:t>
      </w:r>
      <w:r w:rsidR="00460086">
        <w:rPr>
          <w:color w:val="000000"/>
        </w:rPr>
        <w:t xml:space="preserve">of </w:t>
      </w:r>
      <w:r>
        <w:rPr>
          <w:color w:val="000000"/>
        </w:rPr>
        <w:t>a weak El Ni</w:t>
      </w:r>
      <w:r w:rsidR="00A8469C" w:rsidRPr="00CC2371">
        <w:rPr>
          <w:color w:val="000000"/>
        </w:rPr>
        <w:t>ñ</w:t>
      </w:r>
      <w:r>
        <w:rPr>
          <w:color w:val="000000"/>
        </w:rPr>
        <w:t>o develop</w:t>
      </w:r>
      <w:r w:rsidR="00460086">
        <w:rPr>
          <w:color w:val="000000"/>
        </w:rPr>
        <w:t>ing</w:t>
      </w:r>
      <w:r>
        <w:rPr>
          <w:color w:val="000000"/>
        </w:rPr>
        <w:t xml:space="preserve"> in the coming months</w:t>
      </w:r>
      <w:r w:rsidR="00460086">
        <w:rPr>
          <w:color w:val="000000"/>
        </w:rPr>
        <w:t xml:space="preserve"> and this is supported by a few of the climate models.</w:t>
      </w:r>
      <w:r>
        <w:rPr>
          <w:color w:val="000000"/>
        </w:rPr>
        <w:t xml:space="preserve"> </w:t>
      </w:r>
      <w:r w:rsidR="00460086">
        <w:rPr>
          <w:color w:val="000000"/>
        </w:rPr>
        <w:t xml:space="preserve">Taking this climate scenario into account, </w:t>
      </w:r>
      <w:r w:rsidR="009325F2" w:rsidRPr="009325F2">
        <w:t xml:space="preserve">near </w:t>
      </w:r>
      <w:r w:rsidR="00137364" w:rsidRPr="009325F2">
        <w:t xml:space="preserve">normal TC activity </w:t>
      </w:r>
      <w:r w:rsidR="00460086">
        <w:t>can be expected</w:t>
      </w:r>
      <w:r w:rsidR="00137364" w:rsidRPr="009325F2">
        <w:t xml:space="preserve"> for </w:t>
      </w:r>
      <w:r w:rsidR="00C74FF4">
        <w:t>many</w:t>
      </w:r>
      <w:r w:rsidR="00C74FF4" w:rsidRPr="009325F2">
        <w:t xml:space="preserve"> </w:t>
      </w:r>
      <w:r w:rsidR="00137364" w:rsidRPr="009325F2">
        <w:t xml:space="preserve">islands in the </w:t>
      </w:r>
      <w:r w:rsidR="00A14D08">
        <w:t>Southwest</w:t>
      </w:r>
      <w:r w:rsidR="00137364" w:rsidRPr="009325F2">
        <w:t xml:space="preserve"> Pacific during the </w:t>
      </w:r>
      <w:r w:rsidRPr="009325F2">
        <w:t>201</w:t>
      </w:r>
      <w:r>
        <w:t>4</w:t>
      </w:r>
      <w:r w:rsidR="00137364" w:rsidRPr="009325F2">
        <w:t>–</w:t>
      </w:r>
      <w:r w:rsidRPr="009325F2">
        <w:t>201</w:t>
      </w:r>
      <w:r>
        <w:t>5</w:t>
      </w:r>
      <w:r w:rsidRPr="009325F2">
        <w:t xml:space="preserve"> </w:t>
      </w:r>
      <w:r w:rsidR="00137364" w:rsidRPr="009325F2">
        <w:t>season</w:t>
      </w:r>
      <w:r w:rsidR="00460086">
        <w:t xml:space="preserve">, </w:t>
      </w:r>
      <w:r w:rsidR="00137364" w:rsidRPr="009325F2">
        <w:t xml:space="preserve">with </w:t>
      </w:r>
      <w:r w:rsidR="009325F2" w:rsidRPr="009325F2">
        <w:t>8</w:t>
      </w:r>
      <w:r w:rsidR="00137364" w:rsidRPr="009325F2">
        <w:t xml:space="preserve"> to 12 named TCs </w:t>
      </w:r>
      <w:r w:rsidR="00460086">
        <w:t xml:space="preserve">forming across the region during </w:t>
      </w:r>
      <w:r w:rsidR="00137364" w:rsidRPr="009325F2">
        <w:t xml:space="preserve"> the November </w:t>
      </w:r>
      <w:r w:rsidRPr="009325F2">
        <w:t>201</w:t>
      </w:r>
      <w:r>
        <w:t>4</w:t>
      </w:r>
      <w:r w:rsidR="00137364" w:rsidRPr="009325F2">
        <w:t xml:space="preserve">–April </w:t>
      </w:r>
      <w:r w:rsidRPr="009325F2">
        <w:t>201</w:t>
      </w:r>
      <w:r>
        <w:t>5</w:t>
      </w:r>
      <w:r w:rsidRPr="009325F2">
        <w:t xml:space="preserve"> </w:t>
      </w:r>
      <w:r w:rsidR="00137364" w:rsidRPr="009325F2">
        <w:t>period</w:t>
      </w:r>
      <w:r w:rsidR="00460086">
        <w:t>.</w:t>
      </w:r>
      <w:r w:rsidR="00137364" w:rsidRPr="00065ECB">
        <w:t xml:space="preserve"> </w:t>
      </w:r>
    </w:p>
    <w:p w14:paraId="69CD9646" w14:textId="2CE7B019" w:rsidR="00137364" w:rsidRDefault="00A14D08">
      <w:pPr>
        <w:pStyle w:val="NormalWeb"/>
        <w:jc w:val="both"/>
      </w:pPr>
      <w:r>
        <w:lastRenderedPageBreak/>
        <w:t>Southwest</w:t>
      </w:r>
      <w:r w:rsidR="00137364" w:rsidRPr="00A14D08">
        <w:t xml:space="preserve"> Pacific</w:t>
      </w:r>
      <w:r w:rsidR="00137364" w:rsidRPr="00065ECB">
        <w:t xml:space="preserve"> TCs are grouped into classes ranging from 1 to 5, with 5 being the most dangerous. For the coming TC season, at least </w:t>
      </w:r>
      <w:r w:rsidR="00236C13">
        <w:t>four</w:t>
      </w:r>
      <w:r w:rsidR="00236C13" w:rsidRPr="00065ECB">
        <w:t xml:space="preserve"> </w:t>
      </w:r>
      <w:r w:rsidR="00065ECB" w:rsidRPr="00065ECB">
        <w:t>storm</w:t>
      </w:r>
      <w:r w:rsidR="00236C13">
        <w:t>s</w:t>
      </w:r>
      <w:r w:rsidR="00137364" w:rsidRPr="00065ECB">
        <w:t xml:space="preserve"> </w:t>
      </w:r>
      <w:r w:rsidR="00236C13">
        <w:t>are</w:t>
      </w:r>
      <w:r w:rsidR="00236C13" w:rsidRPr="00065ECB">
        <w:t xml:space="preserve"> </w:t>
      </w:r>
      <w:r w:rsidR="00137364" w:rsidRPr="00065ECB">
        <w:t xml:space="preserve">predicted to reach </w:t>
      </w:r>
      <w:r w:rsidR="00236C13">
        <w:t xml:space="preserve">at least </w:t>
      </w:r>
      <w:r w:rsidR="00137364" w:rsidRPr="00065ECB">
        <w:t>Category 3, with mean wind speeds of at least 64 knots or 118 km/h</w:t>
      </w:r>
      <w:r w:rsidR="00724D6A">
        <w:t xml:space="preserve"> (so-called ‘hurricane force’ winds)</w:t>
      </w:r>
      <w:r w:rsidR="00065ECB" w:rsidRPr="00065ECB">
        <w:t xml:space="preserve">. </w:t>
      </w:r>
      <w:r w:rsidR="00236C13">
        <w:t xml:space="preserve">Of those systems, three storms </w:t>
      </w:r>
      <w:r w:rsidR="00137364" w:rsidRPr="00065ECB">
        <w:t xml:space="preserve">may reach at least Category 4 strength, with mean wind speeds of at least 86 knots or 159 km/h. While Category 5 strength TCs </w:t>
      </w:r>
      <w:r w:rsidR="00332B16">
        <w:t>(winds greater than 106 knots or 196 km</w:t>
      </w:r>
      <w:r w:rsidR="00513165">
        <w:t>/</w:t>
      </w:r>
      <w:r w:rsidR="00332B16">
        <w:t xml:space="preserve">h) </w:t>
      </w:r>
      <w:r w:rsidR="00137364" w:rsidRPr="00065ECB">
        <w:t xml:space="preserve">have not been prominent for ENSO neutral seasons </w:t>
      </w:r>
      <w:r w:rsidR="00065ECB" w:rsidRPr="00065ECB">
        <w:t xml:space="preserve">like the current one, </w:t>
      </w:r>
      <w:r w:rsidR="00137364" w:rsidRPr="00065ECB">
        <w:t xml:space="preserve">this type of event is still possible.  </w:t>
      </w:r>
      <w:r w:rsidR="00332B16">
        <w:t>Therefore, a</w:t>
      </w:r>
      <w:r w:rsidR="00137364" w:rsidRPr="00065ECB">
        <w:t>ll communities should remain alert and prepared for s</w:t>
      </w:r>
      <w:r w:rsidR="00467123">
        <w:t xml:space="preserve">evere </w:t>
      </w:r>
      <w:r w:rsidR="00137364" w:rsidRPr="00065ECB">
        <w:t>event</w:t>
      </w:r>
      <w:r w:rsidR="00467123">
        <w:t>s</w:t>
      </w:r>
      <w:r w:rsidR="00137364" w:rsidRPr="00065ECB">
        <w:t>.</w:t>
      </w:r>
    </w:p>
    <w:p w14:paraId="0F0AF1D2" w14:textId="5F197140" w:rsidR="00137364" w:rsidRPr="00913C1A" w:rsidRDefault="00137364">
      <w:pPr>
        <w:pStyle w:val="NormalWeb"/>
        <w:jc w:val="both"/>
      </w:pPr>
      <w:r>
        <w:t xml:space="preserve">Tropical cyclones </w:t>
      </w:r>
      <w:r w:rsidR="00B61205">
        <w:t xml:space="preserve">have a significant </w:t>
      </w:r>
      <w:r>
        <w:t xml:space="preserve">impact </w:t>
      </w:r>
      <w:r w:rsidR="00B61205">
        <w:t xml:space="preserve">across </w:t>
      </w:r>
      <w:r>
        <w:t xml:space="preserve">the </w:t>
      </w:r>
      <w:r w:rsidR="00A14D08">
        <w:t>Southwest</w:t>
      </w:r>
      <w:r w:rsidRPr="00A14D08">
        <w:t xml:space="preserve"> Pacific</w:t>
      </w:r>
      <w:r>
        <w:t xml:space="preserve"> </w:t>
      </w:r>
      <w:r w:rsidR="00B61205">
        <w:t>from year to</w:t>
      </w:r>
      <w:r>
        <w:t xml:space="preserve"> year. Vanuatu and New Caledonia typically experience the greatest activity, with an average of </w:t>
      </w:r>
      <w:r w:rsidR="00A743AC" w:rsidRPr="00913C1A">
        <w:t>2</w:t>
      </w:r>
      <w:r w:rsidRPr="00913C1A">
        <w:t xml:space="preserve"> or </w:t>
      </w:r>
      <w:r w:rsidR="00A743AC" w:rsidRPr="00913C1A">
        <w:t>3</w:t>
      </w:r>
      <w:r w:rsidRPr="00913C1A">
        <w:t xml:space="preserve"> TCs passing close to land each year</w:t>
      </w:r>
      <w:r w:rsidR="00B61205">
        <w:t xml:space="preserve"> and there are indications that activity may be below average this season</w:t>
      </w:r>
      <w:r w:rsidR="00CC2371">
        <w:t xml:space="preserve"> for those countries</w:t>
      </w:r>
      <w:r w:rsidRPr="00913C1A">
        <w:t>.</w:t>
      </w:r>
      <w:r w:rsidR="00B61205">
        <w:t xml:space="preserve"> </w:t>
      </w:r>
      <w:r w:rsidRPr="00913C1A">
        <w:t xml:space="preserve"> The </w:t>
      </w:r>
      <w:bookmarkStart w:id="0" w:name="_GoBack"/>
      <w:bookmarkEnd w:id="0"/>
      <w:r w:rsidR="00513165">
        <w:t>outlook</w:t>
      </w:r>
      <w:r w:rsidR="00513165" w:rsidRPr="00913C1A">
        <w:t xml:space="preserve"> </w:t>
      </w:r>
      <w:r w:rsidRPr="00913C1A">
        <w:t xml:space="preserve">for this season indicates near normal </w:t>
      </w:r>
      <w:r w:rsidR="008861DC">
        <w:t>TC</w:t>
      </w:r>
      <w:r w:rsidRPr="00913C1A">
        <w:t xml:space="preserve"> activity for the </w:t>
      </w:r>
      <w:r w:rsidR="000B2185" w:rsidRPr="00913C1A">
        <w:t>201</w:t>
      </w:r>
      <w:r w:rsidR="000B2185">
        <w:t>4</w:t>
      </w:r>
      <w:r w:rsidRPr="00913C1A">
        <w:t>–</w:t>
      </w:r>
      <w:r w:rsidR="000B2185" w:rsidRPr="00913C1A">
        <w:t>1</w:t>
      </w:r>
      <w:r w:rsidR="000B2185">
        <w:t>5</w:t>
      </w:r>
      <w:r w:rsidR="000B2185" w:rsidRPr="00913C1A">
        <w:t xml:space="preserve"> </w:t>
      </w:r>
      <w:r w:rsidRPr="00913C1A">
        <w:t>season</w:t>
      </w:r>
      <w:r w:rsidR="006A3AD7">
        <w:t xml:space="preserve"> for many islands</w:t>
      </w:r>
      <w:r w:rsidR="00F74A08">
        <w:t>, with reduced risk for Vanuatu and New Caledonia</w:t>
      </w:r>
      <w:r w:rsidR="006650AB">
        <w:t>.</w:t>
      </w:r>
      <w:r w:rsidRPr="00913C1A">
        <w:t xml:space="preserve"> </w:t>
      </w:r>
      <w:r w:rsidR="00CD5491" w:rsidRPr="00913C1A">
        <w:t xml:space="preserve"> </w:t>
      </w:r>
      <w:r w:rsidR="00680A54">
        <w:t xml:space="preserve">Elevated </w:t>
      </w:r>
      <w:r w:rsidR="00513165">
        <w:t xml:space="preserve">risk </w:t>
      </w:r>
      <w:r w:rsidR="00680A54">
        <w:t xml:space="preserve">is forecast </w:t>
      </w:r>
      <w:r w:rsidR="00CD5491" w:rsidRPr="00913C1A">
        <w:t xml:space="preserve">for countries situated close to the International </w:t>
      </w:r>
      <w:r w:rsidR="00A14D08">
        <w:t>Date Line</w:t>
      </w:r>
      <w:r w:rsidR="00CD5491" w:rsidRPr="00913C1A">
        <w:t xml:space="preserve"> including </w:t>
      </w:r>
      <w:r w:rsidR="00513165">
        <w:t>Tokelau</w:t>
      </w:r>
      <w:r w:rsidR="00CD5491" w:rsidRPr="00913C1A">
        <w:t>, Samoa,</w:t>
      </w:r>
      <w:r w:rsidRPr="00913C1A">
        <w:t xml:space="preserve"> </w:t>
      </w:r>
      <w:r w:rsidR="00513165">
        <w:t xml:space="preserve">Niue, Tuvalu </w:t>
      </w:r>
      <w:r w:rsidR="00451918">
        <w:t xml:space="preserve">and </w:t>
      </w:r>
      <w:r w:rsidR="00513165">
        <w:t>further east in the Southern Cook Islands</w:t>
      </w:r>
      <w:r w:rsidR="00451918">
        <w:t>, although</w:t>
      </w:r>
      <w:r w:rsidR="00B67FB4">
        <w:t xml:space="preserve"> it should be recognized that during ‘normal’ seasons, significant TCs have affected those countries in the past. </w:t>
      </w:r>
    </w:p>
    <w:p w14:paraId="31EBB877" w14:textId="261B141B" w:rsidR="00137364" w:rsidRDefault="006A4C41">
      <w:pPr>
        <w:pStyle w:val="NormalWeb"/>
        <w:jc w:val="both"/>
      </w:pPr>
      <w:r>
        <w:t xml:space="preserve">On average, </w:t>
      </w:r>
      <w:r w:rsidR="00137364" w:rsidRPr="00913C1A">
        <w:t xml:space="preserve">New Zealand usually </w:t>
      </w:r>
      <w:r w:rsidR="00137364" w:rsidRPr="00913C1A">
        <w:rPr>
          <w:color w:val="000000"/>
        </w:rPr>
        <w:t xml:space="preserve">experiences at least one interaction per season with an </w:t>
      </w:r>
      <w:r w:rsidR="008861DC">
        <w:rPr>
          <w:color w:val="000000"/>
        </w:rPr>
        <w:t>ex-</w:t>
      </w:r>
      <w:r w:rsidR="00137364" w:rsidRPr="00913C1A">
        <w:rPr>
          <w:color w:val="000000"/>
        </w:rPr>
        <w:t>tropical cyclone during ENSO neutral conditions. Most of the analog seasons identified for this forecast (1978/79; 1979/80; 1980/81;</w:t>
      </w:r>
      <w:r w:rsidR="00D10EEF" w:rsidRPr="00913C1A">
        <w:rPr>
          <w:color w:val="000000"/>
        </w:rPr>
        <w:t xml:space="preserve"> </w:t>
      </w:r>
      <w:r w:rsidR="00444670">
        <w:rPr>
          <w:color w:val="000000"/>
        </w:rPr>
        <w:t>1986/87</w:t>
      </w:r>
      <w:r w:rsidR="00D10EEF" w:rsidRPr="00913C1A">
        <w:rPr>
          <w:color w:val="000000"/>
        </w:rPr>
        <w:t>; 1990/91; 2001/02</w:t>
      </w:r>
      <w:r w:rsidR="00B67FB4">
        <w:rPr>
          <w:color w:val="000000"/>
        </w:rPr>
        <w:t xml:space="preserve">; </w:t>
      </w:r>
      <w:r w:rsidR="00444670">
        <w:rPr>
          <w:color w:val="000000"/>
        </w:rPr>
        <w:t xml:space="preserve">2009/10 and </w:t>
      </w:r>
      <w:r w:rsidR="00B67FB4">
        <w:rPr>
          <w:color w:val="000000"/>
        </w:rPr>
        <w:t>2012/13</w:t>
      </w:r>
      <w:r w:rsidR="00137364" w:rsidRPr="00913C1A">
        <w:rPr>
          <w:color w:val="000000"/>
        </w:rPr>
        <w:t>) show an ex-</w:t>
      </w:r>
      <w:r w:rsidR="00467123">
        <w:rPr>
          <w:color w:val="000000"/>
        </w:rPr>
        <w:t>tropical cyclone</w:t>
      </w:r>
      <w:r w:rsidR="00137364" w:rsidRPr="00913C1A">
        <w:rPr>
          <w:color w:val="000000"/>
        </w:rPr>
        <w:t xml:space="preserve"> coming close (within 550</w:t>
      </w:r>
      <w:r w:rsidR="00332B16">
        <w:rPr>
          <w:color w:val="000000"/>
        </w:rPr>
        <w:t xml:space="preserve"> </w:t>
      </w:r>
      <w:r w:rsidR="00137364" w:rsidRPr="00913C1A">
        <w:rPr>
          <w:color w:val="000000"/>
        </w:rPr>
        <w:t>km) to the country. Significant wind, waves and rainfall are possible from these systems. Their effects can be spread over a larger area when the ex-</w:t>
      </w:r>
      <w:r w:rsidR="00467123">
        <w:rPr>
          <w:color w:val="000000"/>
        </w:rPr>
        <w:t>tropical cyclone</w:t>
      </w:r>
      <w:r w:rsidR="00137364" w:rsidRPr="00913C1A">
        <w:rPr>
          <w:color w:val="000000"/>
        </w:rPr>
        <w:t xml:space="preserve"> meets a higher latitude</w:t>
      </w:r>
      <w:r w:rsidR="00137364">
        <w:rPr>
          <w:color w:val="000000"/>
        </w:rPr>
        <w:t xml:space="preserve"> high pressure system.</w:t>
      </w:r>
    </w:p>
    <w:p w14:paraId="3B108965" w14:textId="354CD8E6" w:rsidR="00137364" w:rsidRDefault="00137364">
      <w:pPr>
        <w:pStyle w:val="NormalWeb"/>
        <w:jc w:val="both"/>
      </w:pPr>
      <w:r>
        <w:t xml:space="preserve">Even though TC activity is </w:t>
      </w:r>
      <w:r w:rsidR="00253EC3">
        <w:t xml:space="preserve">expected to be near </w:t>
      </w:r>
      <w:r w:rsidR="007B2B23">
        <w:t xml:space="preserve">normal </w:t>
      </w:r>
      <w:r w:rsidR="00253EC3">
        <w:t>or below normal</w:t>
      </w:r>
      <w:r>
        <w:t xml:space="preserve"> </w:t>
      </w:r>
      <w:r w:rsidR="007B2B23">
        <w:t>for some countries</w:t>
      </w:r>
      <w:r>
        <w:t xml:space="preserve">, historical cyclone tracks (see supporting information for this forecast, Figure 2) indicate that TCs can affect parts of French Polynesia </w:t>
      </w:r>
      <w:r w:rsidR="00724D6A">
        <w:t>(</w:t>
      </w:r>
      <w:r>
        <w:t xml:space="preserve">including the Society </w:t>
      </w:r>
      <w:r w:rsidR="007B2B23">
        <w:t>Islands</w:t>
      </w:r>
      <w:r w:rsidR="00724D6A">
        <w:t xml:space="preserve"> and</w:t>
      </w:r>
      <w:r w:rsidR="007B2B23">
        <w:t xml:space="preserve"> the </w:t>
      </w:r>
      <w:r>
        <w:t>Austral Islands</w:t>
      </w:r>
      <w:r w:rsidR="00724D6A">
        <w:t>),</w:t>
      </w:r>
      <w:r>
        <w:t xml:space="preserve"> especially late in the TC season. </w:t>
      </w:r>
      <w:r w:rsidR="007B2B23">
        <w:t>As</w:t>
      </w:r>
      <w:r>
        <w:t xml:space="preserve"> with the majority </w:t>
      </w:r>
      <w:r w:rsidR="00253EC3">
        <w:t>of other years</w:t>
      </w:r>
      <w:r>
        <w:t xml:space="preserve">, the late </w:t>
      </w:r>
      <w:r w:rsidR="00253EC3">
        <w:t xml:space="preserve">TC </w:t>
      </w:r>
      <w:r>
        <w:t xml:space="preserve">season (February–April) is expected to be the most active time in </w:t>
      </w:r>
      <w:r w:rsidRPr="00371C4E">
        <w:t xml:space="preserve">the </w:t>
      </w:r>
      <w:r w:rsidR="00A14D08">
        <w:t>Southwest</w:t>
      </w:r>
      <w:r w:rsidRPr="00A14D08">
        <w:t xml:space="preserve"> Pacific</w:t>
      </w:r>
      <w:r w:rsidRPr="00371C4E">
        <w:t>.</w:t>
      </w:r>
      <w:r>
        <w:t xml:space="preserve"> </w:t>
      </w:r>
    </w:p>
    <w:p w14:paraId="0473AB35" w14:textId="0C31221D" w:rsidR="00137364" w:rsidRDefault="00137364">
      <w:pPr>
        <w:pStyle w:val="NormalWeb"/>
        <w:jc w:val="both"/>
        <w:rPr>
          <w:i/>
        </w:rPr>
      </w:pPr>
      <w:r>
        <w:t xml:space="preserve">All Pacific Islands should remain vigilant </w:t>
      </w:r>
      <w:r>
        <w:rPr>
          <w:color w:val="000000"/>
        </w:rPr>
        <w:t xml:space="preserve">in case conditions in the equatorial Pacific change during the </w:t>
      </w:r>
      <w:r w:rsidR="008861DC">
        <w:rPr>
          <w:color w:val="000000"/>
        </w:rPr>
        <w:t>TC</w:t>
      </w:r>
      <w:r>
        <w:rPr>
          <w:color w:val="000000"/>
        </w:rPr>
        <w:t xml:space="preserve"> season. </w:t>
      </w:r>
      <w:r w:rsidR="00253EC3">
        <w:rPr>
          <w:color w:val="000000"/>
        </w:rPr>
        <w:t>Past</w:t>
      </w:r>
      <w:r>
        <w:rPr>
          <w:color w:val="000000"/>
        </w:rPr>
        <w:t xml:space="preserve"> ENSO neutral sea</w:t>
      </w:r>
      <w:r w:rsidR="00253EC3">
        <w:rPr>
          <w:color w:val="000000"/>
        </w:rPr>
        <w:t>sons have seen</w:t>
      </w:r>
      <w:r>
        <w:rPr>
          <w:color w:val="000000"/>
        </w:rPr>
        <w:t xml:space="preserve"> </w:t>
      </w:r>
      <w:r w:rsidR="008861DC">
        <w:rPr>
          <w:color w:val="000000"/>
        </w:rPr>
        <w:t>TC</w:t>
      </w:r>
      <w:r>
        <w:rPr>
          <w:color w:val="000000"/>
        </w:rPr>
        <w:t xml:space="preserve"> tracks </w:t>
      </w:r>
      <w:r w:rsidR="00253EC3">
        <w:rPr>
          <w:color w:val="000000"/>
        </w:rPr>
        <w:t>with</w:t>
      </w:r>
      <w:r w:rsidR="00D42C4D">
        <w:rPr>
          <w:color w:val="000000"/>
        </w:rPr>
        <w:t xml:space="preserve"> increased sinuosity</w:t>
      </w:r>
      <w:r>
        <w:rPr>
          <w:color w:val="000000"/>
        </w:rPr>
        <w:t xml:space="preserve"> </w:t>
      </w:r>
      <w:r w:rsidR="00D42C4D">
        <w:rPr>
          <w:color w:val="000000"/>
        </w:rPr>
        <w:t>(</w:t>
      </w:r>
      <w:r w:rsidR="00371C4E">
        <w:rPr>
          <w:color w:val="000000"/>
        </w:rPr>
        <w:t>irregular or looping motions</w:t>
      </w:r>
      <w:r w:rsidR="00D42C4D">
        <w:rPr>
          <w:color w:val="000000"/>
        </w:rPr>
        <w:t xml:space="preserve"> rather than a curvilinear trajectory)</w:t>
      </w:r>
      <w:r>
        <w:rPr>
          <w:color w:val="000000"/>
        </w:rPr>
        <w:t xml:space="preserve">, which means they have potential </w:t>
      </w:r>
      <w:r w:rsidR="00D42C4D">
        <w:rPr>
          <w:color w:val="000000"/>
        </w:rPr>
        <w:t>to impact a large area</w:t>
      </w:r>
      <w:r>
        <w:t xml:space="preserve">. </w:t>
      </w:r>
    </w:p>
    <w:p w14:paraId="647BB69E" w14:textId="120BD184" w:rsidR="00137364" w:rsidRDefault="00137364">
      <w:pPr>
        <w:pStyle w:val="NormalWeb"/>
        <w:jc w:val="both"/>
        <w:rPr>
          <w:b/>
          <w:bCs/>
          <w:lang w:eastAsia="en-NZ"/>
        </w:rPr>
      </w:pPr>
      <w:r>
        <w:rPr>
          <w:i/>
        </w:rPr>
        <w:t xml:space="preserve">New Zealand’s National Institute of Water &amp; Atmospheric Research (NIWA) and Meteorological Service of New Zealand (MetService) along with meteorological forecasting organizations from the </w:t>
      </w:r>
      <w:r w:rsidR="00A14D08">
        <w:rPr>
          <w:i/>
        </w:rPr>
        <w:t>Southwest</w:t>
      </w:r>
      <w:r>
        <w:rPr>
          <w:i/>
        </w:rPr>
        <w:t xml:space="preserve"> Pacific, including the Australian Bureau of Meteorology, and the Pacific Island National Meteorological Services have prepared this tropical cyclone outlook.</w:t>
      </w:r>
    </w:p>
    <w:p w14:paraId="7919A53C" w14:textId="77777777" w:rsidR="00137364" w:rsidRDefault="00137364">
      <w:pPr>
        <w:pageBreakBefore/>
        <w:autoSpaceDE w:val="0"/>
        <w:spacing w:after="0" w:line="240" w:lineRule="auto"/>
        <w:jc w:val="both"/>
        <w:rPr>
          <w:rFonts w:ascii="Times New Roman" w:eastAsia="Calibri" w:hAnsi="Times New Roman"/>
          <w:b/>
          <w:bCs/>
          <w:sz w:val="23"/>
          <w:szCs w:val="23"/>
          <w:lang w:eastAsia="en-NZ"/>
        </w:rPr>
      </w:pPr>
      <w:r>
        <w:rPr>
          <w:rFonts w:ascii="Times New Roman" w:eastAsia="Calibri" w:hAnsi="Times New Roman"/>
          <w:b/>
          <w:bCs/>
          <w:sz w:val="24"/>
          <w:szCs w:val="24"/>
          <w:lang w:eastAsia="en-NZ"/>
        </w:rPr>
        <w:lastRenderedPageBreak/>
        <w:t>Contacts for comment</w:t>
      </w:r>
    </w:p>
    <w:p w14:paraId="67E4E6D4" w14:textId="77777777" w:rsidR="00137364" w:rsidRDefault="00137364">
      <w:pPr>
        <w:autoSpaceDE w:val="0"/>
        <w:spacing w:after="0" w:line="240" w:lineRule="auto"/>
        <w:jc w:val="both"/>
        <w:rPr>
          <w:rFonts w:ascii="Times New Roman" w:eastAsia="Calibri" w:hAnsi="Times New Roman"/>
          <w:b/>
          <w:bCs/>
          <w:sz w:val="23"/>
          <w:szCs w:val="23"/>
          <w:lang w:eastAsia="en-NZ"/>
        </w:rPr>
      </w:pPr>
    </w:p>
    <w:p w14:paraId="537852EB" w14:textId="77777777" w:rsidR="00137364" w:rsidRDefault="00137364">
      <w:pPr>
        <w:autoSpaceDE w:val="0"/>
        <w:spacing w:after="0" w:line="240" w:lineRule="auto"/>
        <w:jc w:val="both"/>
        <w:rPr>
          <w:rFonts w:ascii="Times New Roman" w:eastAsia="Calibri" w:hAnsi="Times New Roman"/>
          <w:lang w:eastAsia="en-NZ"/>
        </w:rPr>
      </w:pPr>
      <w:r>
        <w:rPr>
          <w:rFonts w:ascii="Times New Roman" w:eastAsia="Calibri" w:hAnsi="Times New Roman"/>
          <w:b/>
          <w:lang w:eastAsia="en-NZ"/>
        </w:rPr>
        <w:t>In New Zealand:</w:t>
      </w:r>
    </w:p>
    <w:p w14:paraId="4A11DD88" w14:textId="77777777" w:rsidR="00137364" w:rsidRDefault="00137364">
      <w:pPr>
        <w:autoSpaceDE w:val="0"/>
        <w:spacing w:after="0" w:line="240" w:lineRule="auto"/>
        <w:jc w:val="both"/>
        <w:rPr>
          <w:rFonts w:ascii="Times New Roman" w:eastAsia="Calibri" w:hAnsi="Times New Roman"/>
          <w:lang w:eastAsia="en-NZ"/>
        </w:rPr>
      </w:pPr>
    </w:p>
    <w:p w14:paraId="4D2FACD0" w14:textId="7D6387D6" w:rsidR="00C673D7" w:rsidRDefault="00C673D7" w:rsidP="00A743AC">
      <w:pPr>
        <w:autoSpaceDE w:val="0"/>
        <w:spacing w:after="0" w:line="240" w:lineRule="auto"/>
        <w:jc w:val="both"/>
        <w:rPr>
          <w:rFonts w:ascii="Times New Roman" w:eastAsia="Calibri" w:hAnsi="Times New Roman"/>
          <w:lang w:eastAsia="en-NZ"/>
        </w:rPr>
      </w:pPr>
      <w:r>
        <w:rPr>
          <w:rFonts w:ascii="Times New Roman" w:eastAsia="Calibri" w:hAnsi="Times New Roman"/>
          <w:lang w:eastAsia="en-NZ"/>
        </w:rPr>
        <w:t>Dr Andrew Lorrey</w:t>
      </w:r>
    </w:p>
    <w:p w14:paraId="23DD571C" w14:textId="5330D2DD" w:rsidR="00C673D7" w:rsidRDefault="00C673D7" w:rsidP="00A743AC">
      <w:pPr>
        <w:autoSpaceDE w:val="0"/>
        <w:spacing w:after="0" w:line="240" w:lineRule="auto"/>
        <w:jc w:val="both"/>
        <w:rPr>
          <w:rFonts w:ascii="Times New Roman" w:eastAsia="Calibri" w:hAnsi="Times New Roman"/>
          <w:lang w:eastAsia="en-NZ"/>
        </w:rPr>
      </w:pPr>
      <w:r>
        <w:rPr>
          <w:rFonts w:ascii="Times New Roman" w:eastAsia="Calibri" w:hAnsi="Times New Roman"/>
          <w:lang w:eastAsia="en-NZ"/>
        </w:rPr>
        <w:t>Climate Scientist, NIWA</w:t>
      </w:r>
    </w:p>
    <w:p w14:paraId="6E5F258F" w14:textId="13164221" w:rsidR="00C673D7" w:rsidRDefault="00C673D7" w:rsidP="00A743AC">
      <w:pPr>
        <w:autoSpaceDE w:val="0"/>
        <w:spacing w:after="0" w:line="240" w:lineRule="auto"/>
        <w:jc w:val="both"/>
        <w:rPr>
          <w:rFonts w:ascii="Times New Roman" w:eastAsia="Calibri" w:hAnsi="Times New Roman"/>
          <w:lang w:eastAsia="en-NZ"/>
        </w:rPr>
      </w:pPr>
      <w:r>
        <w:rPr>
          <w:rFonts w:ascii="Times New Roman" w:eastAsia="Calibri" w:hAnsi="Times New Roman"/>
          <w:lang w:eastAsia="en-NZ"/>
        </w:rPr>
        <w:t>Tel: +64 9 375 2055</w:t>
      </w:r>
    </w:p>
    <w:p w14:paraId="39058573" w14:textId="77777777" w:rsidR="00C673D7" w:rsidRDefault="00C673D7" w:rsidP="00A743AC">
      <w:pPr>
        <w:autoSpaceDE w:val="0"/>
        <w:spacing w:after="0" w:line="240" w:lineRule="auto"/>
        <w:jc w:val="both"/>
        <w:rPr>
          <w:rFonts w:ascii="Times New Roman" w:eastAsia="Calibri" w:hAnsi="Times New Roman"/>
          <w:lang w:eastAsia="en-NZ"/>
        </w:rPr>
      </w:pPr>
    </w:p>
    <w:p w14:paraId="007A5AF6" w14:textId="77777777" w:rsidR="00A743AC" w:rsidRDefault="00A743AC" w:rsidP="00A743AC">
      <w:pPr>
        <w:autoSpaceDE w:val="0"/>
        <w:spacing w:after="0" w:line="240" w:lineRule="auto"/>
        <w:jc w:val="both"/>
        <w:rPr>
          <w:rFonts w:ascii="Times New Roman" w:eastAsia="Calibri" w:hAnsi="Times New Roman"/>
          <w:lang w:eastAsia="en-NZ"/>
        </w:rPr>
      </w:pPr>
      <w:r>
        <w:rPr>
          <w:rFonts w:ascii="Times New Roman" w:eastAsia="Calibri" w:hAnsi="Times New Roman"/>
          <w:lang w:eastAsia="en-NZ"/>
        </w:rPr>
        <w:t>Mr. Steve Ready</w:t>
      </w:r>
    </w:p>
    <w:p w14:paraId="710045C3" w14:textId="77777777" w:rsidR="00A743AC" w:rsidRDefault="00A743AC" w:rsidP="00A743AC">
      <w:pPr>
        <w:autoSpaceDE w:val="0"/>
        <w:spacing w:after="0" w:line="240" w:lineRule="auto"/>
        <w:jc w:val="both"/>
        <w:rPr>
          <w:rFonts w:ascii="Times New Roman" w:eastAsia="Calibri" w:hAnsi="Times New Roman"/>
          <w:lang w:eastAsia="en-NZ"/>
        </w:rPr>
      </w:pPr>
      <w:r>
        <w:rPr>
          <w:rFonts w:ascii="Times New Roman" w:eastAsia="Calibri" w:hAnsi="Times New Roman"/>
          <w:lang w:eastAsia="en-NZ"/>
        </w:rPr>
        <w:t>Manager, Wellington RSMC (Regional Specialized Meteorological Centre)</w:t>
      </w:r>
    </w:p>
    <w:p w14:paraId="32814519" w14:textId="77777777" w:rsidR="00A743AC" w:rsidRDefault="00A743AC" w:rsidP="00A743AC">
      <w:pPr>
        <w:autoSpaceDE w:val="0"/>
        <w:spacing w:after="0" w:line="240" w:lineRule="auto"/>
        <w:jc w:val="both"/>
        <w:rPr>
          <w:rFonts w:ascii="Times New Roman" w:eastAsia="Calibri" w:hAnsi="Times New Roman"/>
          <w:lang w:eastAsia="en-NZ"/>
        </w:rPr>
      </w:pPr>
      <w:r>
        <w:rPr>
          <w:rFonts w:ascii="Times New Roman" w:eastAsia="Calibri" w:hAnsi="Times New Roman"/>
          <w:lang w:eastAsia="en-NZ"/>
        </w:rPr>
        <w:t>MetService New Zealand</w:t>
      </w:r>
    </w:p>
    <w:p w14:paraId="2444ADD2" w14:textId="53F65B98" w:rsidR="00A743AC" w:rsidRDefault="00A743AC" w:rsidP="00A743AC">
      <w:pPr>
        <w:autoSpaceDE w:val="0"/>
        <w:spacing w:after="0" w:line="240" w:lineRule="auto"/>
        <w:jc w:val="both"/>
      </w:pPr>
      <w:r>
        <w:rPr>
          <w:rFonts w:ascii="Times New Roman" w:eastAsia="Calibri" w:hAnsi="Times New Roman"/>
          <w:lang w:eastAsia="en-NZ"/>
        </w:rPr>
        <w:t>Tel: +64 4 470</w:t>
      </w:r>
      <w:r w:rsidR="00EA0FAB">
        <w:rPr>
          <w:rFonts w:ascii="Times New Roman" w:eastAsia="Calibri" w:hAnsi="Times New Roman"/>
          <w:lang w:eastAsia="en-NZ"/>
        </w:rPr>
        <w:t xml:space="preserve"> </w:t>
      </w:r>
      <w:r>
        <w:rPr>
          <w:rFonts w:ascii="Times New Roman" w:eastAsia="Calibri" w:hAnsi="Times New Roman"/>
          <w:lang w:eastAsia="en-NZ"/>
        </w:rPr>
        <w:t>0737</w:t>
      </w:r>
    </w:p>
    <w:p w14:paraId="3EECF787" w14:textId="77777777" w:rsidR="00A743AC" w:rsidRDefault="00A743AC">
      <w:pPr>
        <w:autoSpaceDE w:val="0"/>
        <w:spacing w:after="0" w:line="240" w:lineRule="auto"/>
        <w:jc w:val="both"/>
        <w:rPr>
          <w:rFonts w:ascii="Times New Roman" w:eastAsia="Calibri" w:hAnsi="Times New Roman"/>
          <w:lang w:eastAsia="en-NZ"/>
        </w:rPr>
      </w:pPr>
    </w:p>
    <w:p w14:paraId="2FF1BE36" w14:textId="6E2C6E52" w:rsidR="00E65D3D" w:rsidRDefault="00E65D3D">
      <w:pPr>
        <w:autoSpaceDE w:val="0"/>
        <w:spacing w:after="0" w:line="240" w:lineRule="auto"/>
        <w:jc w:val="both"/>
        <w:rPr>
          <w:rFonts w:ascii="Times New Roman" w:eastAsia="Calibri" w:hAnsi="Times New Roman"/>
          <w:lang w:eastAsia="en-NZ"/>
        </w:rPr>
      </w:pPr>
      <w:r>
        <w:rPr>
          <w:rFonts w:ascii="Times New Roman" w:eastAsia="Calibri" w:hAnsi="Times New Roman"/>
          <w:lang w:eastAsia="en-NZ"/>
        </w:rPr>
        <w:t>Mr. Chris Brandolino</w:t>
      </w:r>
    </w:p>
    <w:p w14:paraId="399124F1" w14:textId="4586F089" w:rsidR="00E65D3D" w:rsidRDefault="00E65D3D">
      <w:pPr>
        <w:autoSpaceDE w:val="0"/>
        <w:spacing w:after="0" w:line="240" w:lineRule="auto"/>
        <w:jc w:val="both"/>
        <w:rPr>
          <w:rFonts w:ascii="Times New Roman" w:eastAsia="Calibri" w:hAnsi="Times New Roman"/>
          <w:lang w:eastAsia="en-NZ"/>
        </w:rPr>
      </w:pPr>
      <w:r>
        <w:rPr>
          <w:rFonts w:ascii="Times New Roman" w:eastAsia="Calibri" w:hAnsi="Times New Roman"/>
          <w:lang w:eastAsia="en-NZ"/>
        </w:rPr>
        <w:t>Meteorologist, NIWA</w:t>
      </w:r>
    </w:p>
    <w:p w14:paraId="0D31AB57" w14:textId="6F22AC60" w:rsidR="00E65D3D" w:rsidRDefault="00E65D3D">
      <w:pPr>
        <w:autoSpaceDE w:val="0"/>
        <w:spacing w:after="0" w:line="240" w:lineRule="auto"/>
        <w:jc w:val="both"/>
        <w:rPr>
          <w:rFonts w:ascii="Times New Roman" w:eastAsia="Calibri" w:hAnsi="Times New Roman"/>
          <w:lang w:eastAsia="en-NZ"/>
        </w:rPr>
      </w:pPr>
      <w:r>
        <w:rPr>
          <w:rFonts w:ascii="Times New Roman" w:eastAsia="Calibri" w:hAnsi="Times New Roman"/>
          <w:lang w:eastAsia="en-NZ"/>
        </w:rPr>
        <w:t xml:space="preserve">Tel: </w:t>
      </w:r>
      <w:r w:rsidR="00332B16">
        <w:rPr>
          <w:rFonts w:ascii="Times New Roman" w:eastAsia="Calibri" w:hAnsi="Times New Roman"/>
          <w:lang w:eastAsia="en-NZ"/>
        </w:rPr>
        <w:t xml:space="preserve">+64 9 </w:t>
      </w:r>
      <w:r w:rsidR="00332B16" w:rsidRPr="00332B16">
        <w:rPr>
          <w:rFonts w:ascii="Times New Roman" w:eastAsia="Calibri" w:hAnsi="Times New Roman"/>
          <w:lang w:eastAsia="en-NZ"/>
        </w:rPr>
        <w:t>375 6335</w:t>
      </w:r>
    </w:p>
    <w:p w14:paraId="64C69FFE" w14:textId="77777777" w:rsidR="00E65D3D" w:rsidRDefault="00E65D3D">
      <w:pPr>
        <w:autoSpaceDE w:val="0"/>
        <w:spacing w:after="0" w:line="240" w:lineRule="auto"/>
        <w:jc w:val="both"/>
        <w:rPr>
          <w:rFonts w:ascii="Times New Roman" w:eastAsia="Calibri" w:hAnsi="Times New Roman"/>
          <w:lang w:eastAsia="en-NZ"/>
        </w:rPr>
      </w:pPr>
    </w:p>
    <w:p w14:paraId="2A6C9448" w14:textId="77777777" w:rsidR="00137364" w:rsidRDefault="00137364">
      <w:pPr>
        <w:autoSpaceDE w:val="0"/>
        <w:spacing w:after="0" w:line="240" w:lineRule="auto"/>
        <w:jc w:val="both"/>
        <w:rPr>
          <w:rFonts w:ascii="Times New Roman" w:eastAsia="Calibri" w:hAnsi="Times New Roman"/>
          <w:lang w:eastAsia="en-NZ"/>
        </w:rPr>
      </w:pPr>
      <w:r>
        <w:rPr>
          <w:rFonts w:ascii="Times New Roman" w:eastAsia="Calibri" w:hAnsi="Times New Roman"/>
          <w:lang w:eastAsia="en-NZ"/>
        </w:rPr>
        <w:t>Dr Nicolas Fauchereau</w:t>
      </w:r>
    </w:p>
    <w:p w14:paraId="22815AE3" w14:textId="77777777" w:rsidR="00137364" w:rsidRDefault="00137364">
      <w:pPr>
        <w:autoSpaceDE w:val="0"/>
        <w:spacing w:after="0" w:line="240" w:lineRule="auto"/>
        <w:jc w:val="both"/>
        <w:rPr>
          <w:rFonts w:ascii="Times New Roman" w:eastAsia="Calibri" w:hAnsi="Times New Roman"/>
          <w:lang w:eastAsia="en-NZ"/>
        </w:rPr>
      </w:pPr>
      <w:r>
        <w:rPr>
          <w:rFonts w:ascii="Times New Roman" w:eastAsia="Calibri" w:hAnsi="Times New Roman"/>
          <w:lang w:eastAsia="en-NZ"/>
        </w:rPr>
        <w:t>Climate Scientist, NIWA</w:t>
      </w:r>
    </w:p>
    <w:p w14:paraId="578869F1" w14:textId="77777777" w:rsidR="00137364" w:rsidRDefault="00137364">
      <w:pPr>
        <w:autoSpaceDE w:val="0"/>
        <w:spacing w:after="0" w:line="240" w:lineRule="auto"/>
        <w:jc w:val="both"/>
        <w:rPr>
          <w:rFonts w:ascii="Times New Roman" w:eastAsia="Calibri" w:hAnsi="Times New Roman"/>
          <w:lang w:eastAsia="en-NZ"/>
        </w:rPr>
      </w:pPr>
      <w:r>
        <w:rPr>
          <w:rFonts w:ascii="Times New Roman" w:eastAsia="Calibri" w:hAnsi="Times New Roman"/>
          <w:lang w:eastAsia="en-NZ"/>
        </w:rPr>
        <w:t>Tel: +64 9 375 4553</w:t>
      </w:r>
    </w:p>
    <w:p w14:paraId="27551439" w14:textId="77777777" w:rsidR="00137364" w:rsidRDefault="00137364">
      <w:pPr>
        <w:autoSpaceDE w:val="0"/>
        <w:spacing w:after="0" w:line="240" w:lineRule="auto"/>
        <w:jc w:val="both"/>
        <w:rPr>
          <w:rFonts w:ascii="Times New Roman" w:eastAsia="Calibri" w:hAnsi="Times New Roman"/>
          <w:lang w:eastAsia="en-NZ"/>
        </w:rPr>
      </w:pPr>
    </w:p>
    <w:p w14:paraId="246E30C8" w14:textId="77777777" w:rsidR="00137364" w:rsidRDefault="00137364">
      <w:pPr>
        <w:jc w:val="both"/>
      </w:pPr>
    </w:p>
    <w:p w14:paraId="32523D2D" w14:textId="77777777" w:rsidR="00137364" w:rsidRDefault="00137364">
      <w:pPr>
        <w:jc w:val="both"/>
        <w:rPr>
          <w:rFonts w:ascii="Times New Roman" w:hAnsi="Times New Roman"/>
          <w:b/>
        </w:rPr>
      </w:pPr>
      <w:r>
        <w:rPr>
          <w:rFonts w:ascii="Times New Roman" w:hAnsi="Times New Roman"/>
          <w:b/>
        </w:rPr>
        <w:t>In the Pacific Islands</w:t>
      </w:r>
      <w:r>
        <w:rPr>
          <w:rFonts w:ascii="Times New Roman" w:hAnsi="Times New Roman"/>
        </w:rPr>
        <w:t>, please contact your local national meteorological service for information about how this guidance should be interpreted.</w:t>
      </w:r>
    </w:p>
    <w:p w14:paraId="1801BCFE" w14:textId="311FC3E3" w:rsidR="00137364" w:rsidRDefault="00137364">
      <w:pPr>
        <w:jc w:val="both"/>
        <w:rPr>
          <w:rFonts w:ascii="Times New Roman" w:hAnsi="Times New Roman"/>
          <w:b/>
        </w:rPr>
      </w:pPr>
      <w:r>
        <w:rPr>
          <w:rFonts w:ascii="Times New Roman" w:hAnsi="Times New Roman"/>
          <w:b/>
        </w:rPr>
        <w:t>For Australia</w:t>
      </w:r>
      <w:r>
        <w:rPr>
          <w:rFonts w:ascii="Times New Roman" w:hAnsi="Times New Roman"/>
        </w:rPr>
        <w:t xml:space="preserve"> and associated offshore islands, please contact the Australian Bureau of Meteorology for information about how this guidance should be interpreted</w:t>
      </w:r>
      <w:r w:rsidR="00746263">
        <w:rPr>
          <w:rFonts w:ascii="Times New Roman" w:hAnsi="Times New Roman"/>
        </w:rPr>
        <w:t>.</w:t>
      </w:r>
    </w:p>
    <w:p w14:paraId="15BC275B" w14:textId="2AAAB53B" w:rsidR="00137364" w:rsidRDefault="00137364">
      <w:pPr>
        <w:jc w:val="both"/>
        <w:rPr>
          <w:rFonts w:ascii="Times New Roman" w:hAnsi="Times New Roman"/>
          <w:b/>
          <w:sz w:val="24"/>
          <w:szCs w:val="24"/>
          <w:lang w:eastAsia="en-NZ"/>
        </w:rPr>
      </w:pPr>
      <w:r>
        <w:rPr>
          <w:rFonts w:ascii="Times New Roman" w:hAnsi="Times New Roman"/>
          <w:b/>
        </w:rPr>
        <w:t>For French Polynesia and New Caledonia</w:t>
      </w:r>
      <w:r>
        <w:rPr>
          <w:rFonts w:ascii="Times New Roman" w:hAnsi="Times New Roman"/>
        </w:rPr>
        <w:t>, please contact MeteoFrance for information about how this guidance should be interpreted</w:t>
      </w:r>
      <w:r w:rsidR="00746263">
        <w:rPr>
          <w:rFonts w:ascii="Times New Roman" w:hAnsi="Times New Roman"/>
        </w:rPr>
        <w:t>.</w:t>
      </w:r>
    </w:p>
    <w:p w14:paraId="6E3E81AF" w14:textId="77777777" w:rsidR="00137364" w:rsidRDefault="00137364">
      <w:pPr>
        <w:pageBreakBefore/>
        <w:jc w:val="both"/>
        <w:rPr>
          <w:rFonts w:ascii="Times New Roman" w:hAnsi="Times New Roman"/>
          <w:sz w:val="24"/>
          <w:szCs w:val="24"/>
          <w:lang w:eastAsia="en-NZ"/>
        </w:rPr>
      </w:pPr>
      <w:r>
        <w:rPr>
          <w:rFonts w:ascii="Times New Roman" w:hAnsi="Times New Roman"/>
          <w:b/>
          <w:sz w:val="24"/>
          <w:szCs w:val="24"/>
          <w:lang w:eastAsia="en-NZ"/>
        </w:rPr>
        <w:lastRenderedPageBreak/>
        <w:t>Additional background information</w:t>
      </w:r>
    </w:p>
    <w:p w14:paraId="6F01F62E" w14:textId="472838A8" w:rsidR="00137364" w:rsidRDefault="00137364">
      <w:pPr>
        <w:spacing w:before="280" w:after="280" w:line="240" w:lineRule="auto"/>
        <w:jc w:val="both"/>
        <w:rPr>
          <w:rFonts w:ascii="Times New Roman" w:hAnsi="Times New Roman"/>
          <w:sz w:val="24"/>
          <w:szCs w:val="24"/>
          <w:lang w:eastAsia="en-NZ"/>
        </w:rPr>
      </w:pPr>
      <w:r>
        <w:rPr>
          <w:rFonts w:ascii="Times New Roman" w:hAnsi="Times New Roman"/>
          <w:sz w:val="24"/>
          <w:szCs w:val="24"/>
          <w:lang w:eastAsia="en-NZ"/>
        </w:rPr>
        <w:t xml:space="preserve">TCs </w:t>
      </w:r>
      <w:r w:rsidR="00724D6A">
        <w:rPr>
          <w:rFonts w:ascii="Times New Roman" w:hAnsi="Times New Roman"/>
          <w:sz w:val="24"/>
          <w:szCs w:val="24"/>
          <w:lang w:eastAsia="en-NZ"/>
        </w:rPr>
        <w:t xml:space="preserve">in the Southwest Pacific </w:t>
      </w:r>
      <w:r>
        <w:rPr>
          <w:rFonts w:ascii="Times New Roman" w:hAnsi="Times New Roman"/>
          <w:sz w:val="24"/>
          <w:szCs w:val="24"/>
          <w:lang w:eastAsia="en-NZ"/>
        </w:rPr>
        <w:t>usually develop between November and April, but occasionally they can occur in October and May, very rarely in June, July and August</w:t>
      </w:r>
      <w:r w:rsidR="00444670">
        <w:rPr>
          <w:rFonts w:ascii="Times New Roman" w:hAnsi="Times New Roman"/>
          <w:sz w:val="24"/>
          <w:szCs w:val="24"/>
          <w:lang w:eastAsia="en-NZ"/>
        </w:rPr>
        <w:t xml:space="preserve"> and </w:t>
      </w:r>
      <w:r w:rsidR="00CC2371">
        <w:rPr>
          <w:rFonts w:ascii="Times New Roman" w:hAnsi="Times New Roman"/>
          <w:sz w:val="24"/>
          <w:szCs w:val="24"/>
          <w:lang w:eastAsia="en-NZ"/>
        </w:rPr>
        <w:t xml:space="preserve">relatively </w:t>
      </w:r>
      <w:r w:rsidR="00444670">
        <w:rPr>
          <w:rFonts w:ascii="Times New Roman" w:hAnsi="Times New Roman"/>
          <w:sz w:val="24"/>
          <w:szCs w:val="24"/>
          <w:lang w:eastAsia="en-NZ"/>
        </w:rPr>
        <w:t>unknown in September</w:t>
      </w:r>
      <w:r>
        <w:rPr>
          <w:rFonts w:ascii="Times New Roman" w:hAnsi="Times New Roman"/>
          <w:sz w:val="24"/>
          <w:szCs w:val="24"/>
          <w:lang w:eastAsia="en-NZ"/>
        </w:rPr>
        <w:t>.</w:t>
      </w:r>
    </w:p>
    <w:p w14:paraId="394E3A39" w14:textId="7CCE652A" w:rsidR="00137364" w:rsidRDefault="00137364">
      <w:pPr>
        <w:spacing w:before="280" w:after="280" w:line="240" w:lineRule="auto"/>
        <w:jc w:val="both"/>
        <w:rPr>
          <w:rFonts w:ascii="Times New Roman" w:hAnsi="Times New Roman"/>
          <w:sz w:val="24"/>
          <w:szCs w:val="24"/>
          <w:lang w:eastAsia="en-NZ"/>
        </w:rPr>
      </w:pPr>
      <w:r>
        <w:rPr>
          <w:rFonts w:ascii="Times New Roman" w:hAnsi="Times New Roman"/>
          <w:sz w:val="24"/>
          <w:szCs w:val="24"/>
          <w:lang w:eastAsia="en-NZ"/>
        </w:rPr>
        <w:t xml:space="preserve">Peak </w:t>
      </w:r>
      <w:r w:rsidR="00332B16">
        <w:rPr>
          <w:rFonts w:ascii="Times New Roman" w:hAnsi="Times New Roman"/>
          <w:sz w:val="24"/>
          <w:szCs w:val="24"/>
          <w:lang w:eastAsia="en-NZ"/>
        </w:rPr>
        <w:t xml:space="preserve">TC </w:t>
      </w:r>
      <w:r>
        <w:rPr>
          <w:rFonts w:ascii="Times New Roman" w:hAnsi="Times New Roman"/>
          <w:sz w:val="24"/>
          <w:szCs w:val="24"/>
          <w:lang w:eastAsia="en-NZ"/>
        </w:rPr>
        <w:t xml:space="preserve">season is usually from </w:t>
      </w:r>
      <w:r w:rsidR="008B1A8D">
        <w:rPr>
          <w:rFonts w:ascii="Times New Roman" w:hAnsi="Times New Roman"/>
          <w:sz w:val="24"/>
          <w:szCs w:val="24"/>
          <w:lang w:eastAsia="en-NZ"/>
        </w:rPr>
        <w:t>January</w:t>
      </w:r>
      <w:r>
        <w:rPr>
          <w:rFonts w:ascii="Times New Roman" w:hAnsi="Times New Roman"/>
          <w:sz w:val="24"/>
          <w:szCs w:val="24"/>
          <w:lang w:eastAsia="en-NZ"/>
        </w:rPr>
        <w:t xml:space="preserve"> to March. In seasons with similar background climate conditions to present, several </w:t>
      </w:r>
      <w:r w:rsidR="008861DC">
        <w:rPr>
          <w:rFonts w:ascii="Times New Roman" w:hAnsi="Times New Roman"/>
          <w:sz w:val="24"/>
          <w:szCs w:val="24"/>
          <w:lang w:eastAsia="en-NZ"/>
        </w:rPr>
        <w:t>TC</w:t>
      </w:r>
      <w:r>
        <w:rPr>
          <w:rFonts w:ascii="Times New Roman" w:hAnsi="Times New Roman"/>
          <w:sz w:val="24"/>
          <w:szCs w:val="24"/>
          <w:lang w:eastAsia="en-NZ"/>
        </w:rPr>
        <w:t xml:space="preserve">s occurred over the Gulf of Carpentaria </w:t>
      </w:r>
      <w:r w:rsidR="00583624">
        <w:rPr>
          <w:rFonts w:ascii="Times New Roman" w:hAnsi="Times New Roman"/>
          <w:sz w:val="24"/>
          <w:szCs w:val="24"/>
          <w:lang w:eastAsia="en-NZ"/>
        </w:rPr>
        <w:t xml:space="preserve">and countries near the International </w:t>
      </w:r>
      <w:r w:rsidR="00A14D08">
        <w:rPr>
          <w:rFonts w:ascii="Times New Roman" w:hAnsi="Times New Roman"/>
          <w:sz w:val="24"/>
          <w:szCs w:val="24"/>
          <w:lang w:eastAsia="en-NZ"/>
        </w:rPr>
        <w:t>Date Line</w:t>
      </w:r>
      <w:r>
        <w:rPr>
          <w:rFonts w:ascii="Times New Roman" w:hAnsi="Times New Roman"/>
          <w:sz w:val="24"/>
          <w:szCs w:val="24"/>
          <w:lang w:eastAsia="en-NZ"/>
        </w:rPr>
        <w:t>. In addition, TCs also occurred near</w:t>
      </w:r>
      <w:r w:rsidR="00583624">
        <w:rPr>
          <w:rFonts w:ascii="Times New Roman" w:hAnsi="Times New Roman"/>
          <w:sz w:val="24"/>
          <w:szCs w:val="24"/>
          <w:lang w:eastAsia="en-NZ"/>
        </w:rPr>
        <w:t xml:space="preserve"> Fiji, </w:t>
      </w:r>
      <w:r>
        <w:rPr>
          <w:rFonts w:ascii="Times New Roman" w:hAnsi="Times New Roman"/>
          <w:sz w:val="24"/>
          <w:szCs w:val="24"/>
          <w:lang w:eastAsia="en-NZ"/>
        </w:rPr>
        <w:t>Tonga,</w:t>
      </w:r>
      <w:r w:rsidR="00583624">
        <w:rPr>
          <w:rFonts w:ascii="Times New Roman" w:hAnsi="Times New Roman"/>
          <w:sz w:val="24"/>
          <w:szCs w:val="24"/>
          <w:lang w:eastAsia="en-NZ"/>
        </w:rPr>
        <w:t xml:space="preserve"> and Niue</w:t>
      </w:r>
      <w:r>
        <w:rPr>
          <w:rFonts w:ascii="Times New Roman" w:hAnsi="Times New Roman"/>
          <w:sz w:val="24"/>
          <w:szCs w:val="24"/>
          <w:lang w:eastAsia="en-NZ"/>
        </w:rPr>
        <w:t xml:space="preserve"> while a few affected other areas. On average, nearly half of the </w:t>
      </w:r>
      <w:r w:rsidR="008861DC">
        <w:rPr>
          <w:rFonts w:ascii="Times New Roman" w:hAnsi="Times New Roman"/>
          <w:sz w:val="24"/>
          <w:szCs w:val="24"/>
          <w:lang w:eastAsia="en-NZ"/>
        </w:rPr>
        <w:t>TC</w:t>
      </w:r>
      <w:r>
        <w:rPr>
          <w:rFonts w:ascii="Times New Roman" w:hAnsi="Times New Roman"/>
          <w:sz w:val="24"/>
          <w:szCs w:val="24"/>
          <w:lang w:eastAsia="en-NZ"/>
        </w:rPr>
        <w:t>s that developed since the 1969-70 season have reached hurricane force with mean wind speeds of at least 64 knots (118 km/h).</w:t>
      </w:r>
    </w:p>
    <w:p w14:paraId="091C6BC3" w14:textId="6D126DB4" w:rsidR="00137364" w:rsidRDefault="00137364">
      <w:pPr>
        <w:spacing w:before="280" w:after="280" w:line="240" w:lineRule="auto"/>
        <w:jc w:val="both"/>
        <w:rPr>
          <w:rFonts w:ascii="Times New Roman" w:hAnsi="Times New Roman"/>
          <w:sz w:val="24"/>
          <w:szCs w:val="24"/>
          <w:lang w:eastAsia="en-NZ"/>
        </w:rPr>
      </w:pPr>
      <w:r>
        <w:rPr>
          <w:rFonts w:ascii="Times New Roman" w:hAnsi="Times New Roman"/>
          <w:sz w:val="24"/>
          <w:szCs w:val="24"/>
          <w:lang w:eastAsia="en-NZ"/>
        </w:rPr>
        <w:t xml:space="preserve">To find past analogs </w:t>
      </w:r>
      <w:r w:rsidR="00DC777A">
        <w:rPr>
          <w:rFonts w:ascii="Times New Roman" w:hAnsi="Times New Roman"/>
          <w:sz w:val="24"/>
          <w:szCs w:val="24"/>
          <w:lang w:eastAsia="en-NZ"/>
        </w:rPr>
        <w:t xml:space="preserve">that </w:t>
      </w:r>
      <w:r>
        <w:rPr>
          <w:rFonts w:ascii="Times New Roman" w:hAnsi="Times New Roman"/>
          <w:sz w:val="24"/>
          <w:szCs w:val="24"/>
          <w:lang w:eastAsia="en-NZ"/>
        </w:rPr>
        <w:t xml:space="preserve">describe the </w:t>
      </w:r>
      <w:r w:rsidR="007B3777">
        <w:rPr>
          <w:rFonts w:ascii="Times New Roman" w:hAnsi="Times New Roman"/>
          <w:sz w:val="24"/>
          <w:szCs w:val="24"/>
          <w:lang w:eastAsia="en-NZ"/>
        </w:rPr>
        <w:t>climate state</w:t>
      </w:r>
      <w:r>
        <w:rPr>
          <w:rFonts w:ascii="Times New Roman" w:hAnsi="Times New Roman"/>
          <w:sz w:val="24"/>
          <w:szCs w:val="24"/>
          <w:lang w:eastAsia="en-NZ"/>
        </w:rPr>
        <w:t xml:space="preserve"> leading into the upcoming TC season, the </w:t>
      </w:r>
      <w:r w:rsidR="00583624">
        <w:rPr>
          <w:rFonts w:ascii="Times New Roman" w:hAnsi="Times New Roman"/>
          <w:sz w:val="24"/>
          <w:szCs w:val="24"/>
          <w:lang w:eastAsia="en-NZ"/>
        </w:rPr>
        <w:t>past May-</w:t>
      </w:r>
      <w:r w:rsidR="00A57E1A">
        <w:rPr>
          <w:rFonts w:ascii="Times New Roman" w:hAnsi="Times New Roman"/>
          <w:sz w:val="24"/>
          <w:szCs w:val="24"/>
          <w:lang w:eastAsia="en-NZ"/>
        </w:rPr>
        <w:t xml:space="preserve">September </w:t>
      </w:r>
      <w:r>
        <w:rPr>
          <w:rFonts w:ascii="Times New Roman" w:hAnsi="Times New Roman"/>
          <w:sz w:val="24"/>
          <w:szCs w:val="24"/>
          <w:lang w:eastAsia="en-NZ"/>
        </w:rPr>
        <w:t>conditions were examined for the tropical Pacific f</w:t>
      </w:r>
      <w:r w:rsidR="00583624">
        <w:rPr>
          <w:rFonts w:ascii="Times New Roman" w:hAnsi="Times New Roman"/>
          <w:sz w:val="24"/>
          <w:szCs w:val="24"/>
          <w:lang w:eastAsia="en-NZ"/>
        </w:rPr>
        <w:t>r</w:t>
      </w:r>
      <w:r w:rsidR="00332B16">
        <w:rPr>
          <w:rFonts w:ascii="Times New Roman" w:hAnsi="Times New Roman"/>
          <w:sz w:val="24"/>
          <w:szCs w:val="24"/>
          <w:lang w:eastAsia="en-NZ"/>
        </w:rPr>
        <w:t>om</w:t>
      </w:r>
      <w:r w:rsidR="00583624">
        <w:rPr>
          <w:rFonts w:ascii="Times New Roman" w:hAnsi="Times New Roman"/>
          <w:sz w:val="24"/>
          <w:szCs w:val="24"/>
          <w:lang w:eastAsia="en-NZ"/>
        </w:rPr>
        <w:t xml:space="preserve"> 1969 to </w:t>
      </w:r>
      <w:r w:rsidR="00332B16">
        <w:rPr>
          <w:rFonts w:ascii="Times New Roman" w:hAnsi="Times New Roman"/>
          <w:sz w:val="24"/>
          <w:szCs w:val="24"/>
          <w:lang w:eastAsia="en-NZ"/>
        </w:rPr>
        <w:t xml:space="preserve">the </w:t>
      </w:r>
      <w:r w:rsidR="00583624">
        <w:rPr>
          <w:rFonts w:ascii="Times New Roman" w:hAnsi="Times New Roman"/>
          <w:sz w:val="24"/>
          <w:szCs w:val="24"/>
          <w:lang w:eastAsia="en-NZ"/>
        </w:rPr>
        <w:t>present. For the majority of winter and early spring</w:t>
      </w:r>
      <w:r w:rsidR="00DC777A">
        <w:rPr>
          <w:rFonts w:ascii="Times New Roman" w:hAnsi="Times New Roman"/>
          <w:sz w:val="24"/>
          <w:szCs w:val="24"/>
          <w:lang w:eastAsia="en-NZ"/>
        </w:rPr>
        <w:t xml:space="preserve"> 2014</w:t>
      </w:r>
      <w:r>
        <w:rPr>
          <w:rFonts w:ascii="Times New Roman" w:hAnsi="Times New Roman"/>
          <w:sz w:val="24"/>
          <w:szCs w:val="24"/>
          <w:lang w:eastAsia="en-NZ"/>
        </w:rPr>
        <w:t>, the ENSO system ha</w:t>
      </w:r>
      <w:r w:rsidR="00583624">
        <w:rPr>
          <w:rFonts w:ascii="Times New Roman" w:hAnsi="Times New Roman"/>
          <w:sz w:val="24"/>
          <w:szCs w:val="24"/>
          <w:lang w:eastAsia="en-NZ"/>
        </w:rPr>
        <w:t>s</w:t>
      </w:r>
      <w:r>
        <w:rPr>
          <w:rFonts w:ascii="Times New Roman" w:hAnsi="Times New Roman"/>
          <w:sz w:val="24"/>
          <w:szCs w:val="24"/>
          <w:lang w:eastAsia="en-NZ"/>
        </w:rPr>
        <w:t xml:space="preserve"> </w:t>
      </w:r>
      <w:r w:rsidR="00583624">
        <w:rPr>
          <w:rFonts w:ascii="Times New Roman" w:hAnsi="Times New Roman"/>
          <w:sz w:val="24"/>
          <w:szCs w:val="24"/>
          <w:lang w:eastAsia="en-NZ"/>
        </w:rPr>
        <w:t xml:space="preserve">been in </w:t>
      </w:r>
      <w:r>
        <w:rPr>
          <w:rFonts w:ascii="Times New Roman" w:hAnsi="Times New Roman"/>
          <w:sz w:val="24"/>
          <w:szCs w:val="24"/>
          <w:lang w:eastAsia="en-NZ"/>
        </w:rPr>
        <w:t>a neutral state</w:t>
      </w:r>
      <w:r w:rsidR="00444670">
        <w:rPr>
          <w:rFonts w:ascii="Times New Roman" w:hAnsi="Times New Roman"/>
          <w:sz w:val="24"/>
          <w:szCs w:val="24"/>
          <w:lang w:eastAsia="en-NZ"/>
        </w:rPr>
        <w:t xml:space="preserve"> (with a bias towards El Ni</w:t>
      </w:r>
      <w:r w:rsidR="00A8469C" w:rsidRPr="008177DE">
        <w:rPr>
          <w:rFonts w:ascii="Times New Roman" w:hAnsi="Times New Roman"/>
          <w:color w:val="000000"/>
          <w:sz w:val="24"/>
          <w:szCs w:val="24"/>
        </w:rPr>
        <w:t>ñ</w:t>
      </w:r>
      <w:r w:rsidR="00444670">
        <w:rPr>
          <w:rFonts w:ascii="Times New Roman" w:hAnsi="Times New Roman"/>
          <w:sz w:val="24"/>
          <w:szCs w:val="24"/>
          <w:lang w:eastAsia="en-NZ"/>
        </w:rPr>
        <w:t>o characteristics)</w:t>
      </w:r>
      <w:r>
        <w:rPr>
          <w:rFonts w:ascii="Times New Roman" w:hAnsi="Times New Roman"/>
          <w:sz w:val="24"/>
          <w:szCs w:val="24"/>
          <w:lang w:eastAsia="en-NZ"/>
        </w:rPr>
        <w:t xml:space="preserve">. </w:t>
      </w:r>
    </w:p>
    <w:p w14:paraId="225EBD28" w14:textId="77229350" w:rsidR="00137364" w:rsidRDefault="00583624">
      <w:pPr>
        <w:spacing w:before="280" w:after="280" w:line="240" w:lineRule="auto"/>
        <w:jc w:val="both"/>
        <w:rPr>
          <w:rFonts w:ascii="Times New Roman" w:hAnsi="Times New Roman"/>
          <w:sz w:val="24"/>
          <w:szCs w:val="24"/>
          <w:lang w:eastAsia="en-NZ"/>
        </w:rPr>
      </w:pPr>
      <w:r>
        <w:rPr>
          <w:rFonts w:ascii="Times New Roman" w:hAnsi="Times New Roman"/>
          <w:sz w:val="24"/>
          <w:szCs w:val="24"/>
          <w:lang w:eastAsia="en-NZ"/>
        </w:rPr>
        <w:t>T</w:t>
      </w:r>
      <w:r w:rsidR="00137364">
        <w:rPr>
          <w:rFonts w:ascii="Times New Roman" w:hAnsi="Times New Roman"/>
          <w:sz w:val="24"/>
          <w:szCs w:val="24"/>
          <w:lang w:eastAsia="en-NZ"/>
        </w:rPr>
        <w:t xml:space="preserve">he global climate forecast models </w:t>
      </w:r>
      <w:r>
        <w:rPr>
          <w:rFonts w:ascii="Times New Roman" w:hAnsi="Times New Roman"/>
          <w:sz w:val="24"/>
          <w:szCs w:val="24"/>
          <w:lang w:eastAsia="en-NZ"/>
        </w:rPr>
        <w:t>discussed by the</w:t>
      </w:r>
      <w:r w:rsidR="00137364">
        <w:rPr>
          <w:rFonts w:ascii="Times New Roman" w:hAnsi="Times New Roman"/>
          <w:sz w:val="24"/>
          <w:szCs w:val="24"/>
          <w:lang w:eastAsia="en-NZ"/>
        </w:rPr>
        <w:t xml:space="preserve"> international climate </w:t>
      </w:r>
      <w:r w:rsidR="00DC777A">
        <w:rPr>
          <w:rFonts w:ascii="Times New Roman" w:hAnsi="Times New Roman"/>
          <w:sz w:val="24"/>
          <w:szCs w:val="24"/>
          <w:lang w:eastAsia="en-NZ"/>
        </w:rPr>
        <w:t xml:space="preserve">research </w:t>
      </w:r>
      <w:r w:rsidR="00137364">
        <w:rPr>
          <w:rFonts w:ascii="Times New Roman" w:hAnsi="Times New Roman"/>
          <w:sz w:val="24"/>
          <w:szCs w:val="24"/>
          <w:lang w:eastAsia="en-NZ"/>
        </w:rPr>
        <w:t xml:space="preserve">community involved in the Island Climate Update suggests </w:t>
      </w:r>
      <w:r>
        <w:rPr>
          <w:rFonts w:ascii="Times New Roman" w:hAnsi="Times New Roman"/>
          <w:sz w:val="24"/>
          <w:szCs w:val="24"/>
          <w:lang w:eastAsia="en-NZ"/>
        </w:rPr>
        <w:t>n</w:t>
      </w:r>
      <w:r w:rsidR="00137364">
        <w:rPr>
          <w:rFonts w:ascii="Times New Roman" w:hAnsi="Times New Roman"/>
          <w:sz w:val="24"/>
          <w:szCs w:val="24"/>
          <w:lang w:eastAsia="en-NZ"/>
        </w:rPr>
        <w:t>eutral ENSO conditions</w:t>
      </w:r>
      <w:r w:rsidR="00A57E1A">
        <w:rPr>
          <w:rFonts w:ascii="Times New Roman" w:hAnsi="Times New Roman"/>
          <w:sz w:val="24"/>
          <w:szCs w:val="24"/>
          <w:lang w:eastAsia="en-NZ"/>
        </w:rPr>
        <w:t xml:space="preserve"> or a weak El Nino</w:t>
      </w:r>
      <w:r w:rsidR="00137364">
        <w:rPr>
          <w:rFonts w:ascii="Times New Roman" w:hAnsi="Times New Roman"/>
          <w:sz w:val="24"/>
          <w:szCs w:val="24"/>
          <w:lang w:eastAsia="en-NZ"/>
        </w:rPr>
        <w:t xml:space="preserve"> are most likely for </w:t>
      </w:r>
      <w:r w:rsidR="00A57E1A">
        <w:rPr>
          <w:rFonts w:ascii="Times New Roman" w:hAnsi="Times New Roman"/>
          <w:sz w:val="24"/>
          <w:szCs w:val="24"/>
          <w:lang w:eastAsia="en-NZ"/>
        </w:rPr>
        <w:t>2014</w:t>
      </w:r>
      <w:r w:rsidR="00137364">
        <w:rPr>
          <w:rFonts w:ascii="Times New Roman" w:hAnsi="Times New Roman"/>
          <w:sz w:val="24"/>
          <w:szCs w:val="24"/>
          <w:lang w:eastAsia="en-NZ"/>
        </w:rPr>
        <w:t>-</w:t>
      </w:r>
      <w:r w:rsidR="00A57E1A">
        <w:rPr>
          <w:rFonts w:ascii="Times New Roman" w:hAnsi="Times New Roman"/>
          <w:sz w:val="24"/>
          <w:szCs w:val="24"/>
          <w:lang w:eastAsia="en-NZ"/>
        </w:rPr>
        <w:t xml:space="preserve">15 </w:t>
      </w:r>
      <w:r>
        <w:rPr>
          <w:rFonts w:ascii="Times New Roman" w:hAnsi="Times New Roman"/>
          <w:sz w:val="24"/>
          <w:szCs w:val="24"/>
          <w:lang w:eastAsia="en-NZ"/>
        </w:rPr>
        <w:t xml:space="preserve">TC </w:t>
      </w:r>
      <w:r w:rsidR="00137364">
        <w:rPr>
          <w:rFonts w:ascii="Times New Roman" w:hAnsi="Times New Roman"/>
          <w:sz w:val="24"/>
          <w:szCs w:val="24"/>
          <w:lang w:eastAsia="en-NZ"/>
        </w:rPr>
        <w:t xml:space="preserve">season. Close to </w:t>
      </w:r>
      <w:r>
        <w:rPr>
          <w:rFonts w:ascii="Times New Roman" w:hAnsi="Times New Roman"/>
          <w:sz w:val="24"/>
          <w:szCs w:val="24"/>
          <w:lang w:eastAsia="en-NZ"/>
        </w:rPr>
        <w:t>neutral</w:t>
      </w:r>
      <w:r w:rsidR="00137364">
        <w:rPr>
          <w:rFonts w:ascii="Times New Roman" w:hAnsi="Times New Roman"/>
          <w:sz w:val="24"/>
          <w:szCs w:val="24"/>
          <w:lang w:eastAsia="en-NZ"/>
        </w:rPr>
        <w:t xml:space="preserve"> conditions exist at present for both equatorial sea surface temperatures and </w:t>
      </w:r>
      <w:r w:rsidR="00C67A18">
        <w:rPr>
          <w:rFonts w:ascii="Times New Roman" w:hAnsi="Times New Roman"/>
          <w:sz w:val="24"/>
          <w:szCs w:val="24"/>
          <w:lang w:eastAsia="en-NZ"/>
        </w:rPr>
        <w:t xml:space="preserve">the </w:t>
      </w:r>
      <w:r w:rsidR="00137364">
        <w:rPr>
          <w:rFonts w:ascii="Times New Roman" w:hAnsi="Times New Roman"/>
          <w:sz w:val="24"/>
          <w:szCs w:val="24"/>
          <w:lang w:eastAsia="en-NZ"/>
        </w:rPr>
        <w:t xml:space="preserve">atmospheric circulation in the </w:t>
      </w:r>
      <w:r w:rsidR="00A14D08">
        <w:rPr>
          <w:rFonts w:ascii="Times New Roman" w:hAnsi="Times New Roman"/>
          <w:sz w:val="24"/>
          <w:szCs w:val="24"/>
          <w:lang w:eastAsia="en-NZ"/>
        </w:rPr>
        <w:t>Southwest</w:t>
      </w:r>
      <w:r w:rsidR="00137364">
        <w:rPr>
          <w:rFonts w:ascii="Times New Roman" w:hAnsi="Times New Roman"/>
          <w:sz w:val="24"/>
          <w:szCs w:val="24"/>
          <w:lang w:eastAsia="en-NZ"/>
        </w:rPr>
        <w:t xml:space="preserve"> Pacific</w:t>
      </w:r>
      <w:r w:rsidR="00A57E1A">
        <w:rPr>
          <w:rFonts w:ascii="Times New Roman" w:hAnsi="Times New Roman"/>
          <w:sz w:val="24"/>
          <w:szCs w:val="24"/>
          <w:lang w:eastAsia="en-NZ"/>
        </w:rPr>
        <w:t>, although indications of El Ni</w:t>
      </w:r>
      <w:r w:rsidR="00A8469C" w:rsidRPr="008177DE">
        <w:rPr>
          <w:rFonts w:ascii="Times New Roman" w:hAnsi="Times New Roman"/>
          <w:color w:val="000000"/>
          <w:sz w:val="24"/>
          <w:szCs w:val="24"/>
        </w:rPr>
        <w:t>ñ</w:t>
      </w:r>
      <w:r w:rsidR="00A57E1A">
        <w:rPr>
          <w:rFonts w:ascii="Times New Roman" w:hAnsi="Times New Roman"/>
          <w:sz w:val="24"/>
          <w:szCs w:val="24"/>
          <w:lang w:eastAsia="en-NZ"/>
        </w:rPr>
        <w:t>o have been building lately</w:t>
      </w:r>
      <w:r w:rsidR="00137364">
        <w:rPr>
          <w:rFonts w:ascii="Times New Roman" w:hAnsi="Times New Roman"/>
          <w:sz w:val="24"/>
          <w:szCs w:val="24"/>
          <w:lang w:eastAsia="en-NZ"/>
        </w:rPr>
        <w:t xml:space="preserve">. This has meant that the analog selection for the TC forecast </w:t>
      </w:r>
      <w:r w:rsidR="00030A2F">
        <w:rPr>
          <w:rFonts w:ascii="Times New Roman" w:hAnsi="Times New Roman"/>
          <w:sz w:val="24"/>
          <w:szCs w:val="24"/>
          <w:lang w:eastAsia="en-NZ"/>
        </w:rPr>
        <w:t>was</w:t>
      </w:r>
      <w:r>
        <w:rPr>
          <w:rFonts w:ascii="Times New Roman" w:hAnsi="Times New Roman"/>
          <w:sz w:val="24"/>
          <w:szCs w:val="24"/>
          <w:lang w:eastAsia="en-NZ"/>
        </w:rPr>
        <w:t xml:space="preserve"> narrowed to</w:t>
      </w:r>
      <w:r w:rsidR="00137364">
        <w:rPr>
          <w:rFonts w:ascii="Times New Roman" w:hAnsi="Times New Roman"/>
          <w:sz w:val="24"/>
          <w:szCs w:val="24"/>
          <w:lang w:eastAsia="en-NZ"/>
        </w:rPr>
        <w:t xml:space="preserve"> include only </w:t>
      </w:r>
      <w:r>
        <w:rPr>
          <w:rFonts w:ascii="Times New Roman" w:hAnsi="Times New Roman"/>
          <w:sz w:val="24"/>
          <w:szCs w:val="24"/>
          <w:lang w:eastAsia="en-NZ"/>
        </w:rPr>
        <w:t xml:space="preserve">past </w:t>
      </w:r>
      <w:r w:rsidR="00137364">
        <w:rPr>
          <w:rFonts w:ascii="Times New Roman" w:hAnsi="Times New Roman"/>
          <w:sz w:val="24"/>
          <w:szCs w:val="24"/>
          <w:lang w:eastAsia="en-NZ"/>
        </w:rPr>
        <w:t>ENSO neutral cyclone seasons</w:t>
      </w:r>
      <w:r w:rsidR="00A57E1A">
        <w:rPr>
          <w:rFonts w:ascii="Times New Roman" w:hAnsi="Times New Roman"/>
          <w:sz w:val="24"/>
          <w:szCs w:val="24"/>
          <w:lang w:eastAsia="en-NZ"/>
        </w:rPr>
        <w:t xml:space="preserve"> and seasons </w:t>
      </w:r>
      <w:r w:rsidR="00275CD8">
        <w:rPr>
          <w:rFonts w:ascii="Times New Roman" w:hAnsi="Times New Roman"/>
          <w:sz w:val="24"/>
          <w:szCs w:val="24"/>
          <w:lang w:eastAsia="en-NZ"/>
        </w:rPr>
        <w:t>typified by weak</w:t>
      </w:r>
      <w:r w:rsidR="00A57E1A">
        <w:rPr>
          <w:rFonts w:ascii="Times New Roman" w:hAnsi="Times New Roman"/>
          <w:sz w:val="24"/>
          <w:szCs w:val="24"/>
          <w:lang w:eastAsia="en-NZ"/>
        </w:rPr>
        <w:t xml:space="preserve"> El Ni</w:t>
      </w:r>
      <w:r w:rsidR="00A8469C" w:rsidRPr="008177DE">
        <w:rPr>
          <w:rFonts w:ascii="Times New Roman" w:hAnsi="Times New Roman"/>
          <w:color w:val="000000"/>
          <w:sz w:val="24"/>
          <w:szCs w:val="24"/>
        </w:rPr>
        <w:t>ñ</w:t>
      </w:r>
      <w:r w:rsidR="00A57E1A">
        <w:rPr>
          <w:rFonts w:ascii="Times New Roman" w:hAnsi="Times New Roman"/>
          <w:sz w:val="24"/>
          <w:szCs w:val="24"/>
          <w:lang w:eastAsia="en-NZ"/>
        </w:rPr>
        <w:t>o</w:t>
      </w:r>
      <w:r w:rsidR="00275CD8">
        <w:rPr>
          <w:rFonts w:ascii="Times New Roman" w:hAnsi="Times New Roman"/>
          <w:sz w:val="24"/>
          <w:szCs w:val="24"/>
          <w:lang w:eastAsia="en-NZ"/>
        </w:rPr>
        <w:t xml:space="preserve"> condition</w:t>
      </w:r>
      <w:r w:rsidR="00A57E1A">
        <w:rPr>
          <w:rFonts w:ascii="Times New Roman" w:hAnsi="Times New Roman"/>
          <w:sz w:val="24"/>
          <w:szCs w:val="24"/>
          <w:lang w:eastAsia="en-NZ"/>
        </w:rPr>
        <w:t>s</w:t>
      </w:r>
      <w:r w:rsidR="00137364">
        <w:rPr>
          <w:rFonts w:ascii="Times New Roman" w:hAnsi="Times New Roman"/>
          <w:sz w:val="24"/>
          <w:szCs w:val="24"/>
          <w:lang w:eastAsia="en-NZ"/>
        </w:rPr>
        <w:t>.</w:t>
      </w:r>
    </w:p>
    <w:p w14:paraId="278B6C8B" w14:textId="5CFC96B0" w:rsidR="00137364" w:rsidRDefault="00137364">
      <w:pPr>
        <w:spacing w:before="280" w:after="280" w:line="240" w:lineRule="auto"/>
        <w:jc w:val="both"/>
        <w:rPr>
          <w:rFonts w:ascii="Times New Roman" w:hAnsi="Times New Roman"/>
          <w:sz w:val="24"/>
          <w:szCs w:val="24"/>
          <w:lang w:eastAsia="en-NZ"/>
        </w:rPr>
      </w:pPr>
      <w:r>
        <w:rPr>
          <w:rFonts w:ascii="Times New Roman" w:hAnsi="Times New Roman"/>
          <w:sz w:val="24"/>
          <w:szCs w:val="24"/>
          <w:lang w:eastAsia="en-NZ"/>
        </w:rPr>
        <w:t xml:space="preserve">We used a joint ENSO index that combines the </w:t>
      </w:r>
      <w:r w:rsidR="001B2918">
        <w:rPr>
          <w:rFonts w:ascii="Times New Roman" w:hAnsi="Times New Roman"/>
          <w:sz w:val="24"/>
          <w:szCs w:val="24"/>
          <w:lang w:eastAsia="en-NZ"/>
        </w:rPr>
        <w:t>Southern Oscillation Index</w:t>
      </w:r>
      <w:r>
        <w:rPr>
          <w:rFonts w:ascii="Times New Roman" w:hAnsi="Times New Roman"/>
          <w:sz w:val="24"/>
          <w:szCs w:val="24"/>
          <w:lang w:eastAsia="en-NZ"/>
        </w:rPr>
        <w:t xml:space="preserve"> (SOI) with the most widely-used oceanic index </w:t>
      </w:r>
      <w:r w:rsidR="001B2918">
        <w:rPr>
          <w:rFonts w:ascii="Times New Roman" w:hAnsi="Times New Roman"/>
          <w:sz w:val="24"/>
          <w:szCs w:val="24"/>
          <w:lang w:eastAsia="en-NZ"/>
        </w:rPr>
        <w:t>of sea surface temperature anomalies in the equatorial centra</w:t>
      </w:r>
      <w:r w:rsidR="00A43488">
        <w:rPr>
          <w:rFonts w:ascii="Times New Roman" w:hAnsi="Times New Roman"/>
          <w:sz w:val="24"/>
          <w:szCs w:val="24"/>
          <w:lang w:eastAsia="en-NZ"/>
        </w:rPr>
        <w:t>l</w:t>
      </w:r>
      <w:r w:rsidR="001B2918">
        <w:rPr>
          <w:rFonts w:ascii="Times New Roman" w:hAnsi="Times New Roman"/>
          <w:sz w:val="24"/>
          <w:szCs w:val="24"/>
          <w:lang w:eastAsia="en-NZ"/>
        </w:rPr>
        <w:t xml:space="preserve">-western Pacific </w:t>
      </w:r>
      <w:r>
        <w:rPr>
          <w:rFonts w:ascii="Times New Roman" w:hAnsi="Times New Roman"/>
          <w:sz w:val="24"/>
          <w:szCs w:val="24"/>
          <w:lang w:eastAsia="en-NZ"/>
        </w:rPr>
        <w:t>(NINO3.4</w:t>
      </w:r>
      <w:r w:rsidR="001B2918">
        <w:rPr>
          <w:rFonts w:ascii="Times New Roman" w:hAnsi="Times New Roman"/>
          <w:sz w:val="24"/>
          <w:szCs w:val="24"/>
          <w:lang w:eastAsia="en-NZ"/>
        </w:rPr>
        <w:t xml:space="preserve">). This </w:t>
      </w:r>
      <w:r w:rsidR="00B006AF">
        <w:rPr>
          <w:rFonts w:ascii="Times New Roman" w:hAnsi="Times New Roman"/>
          <w:sz w:val="24"/>
          <w:szCs w:val="24"/>
          <w:lang w:eastAsia="en-NZ"/>
        </w:rPr>
        <w:t xml:space="preserve">joint ENSO </w:t>
      </w:r>
      <w:r w:rsidR="001B2918">
        <w:rPr>
          <w:rFonts w:ascii="Times New Roman" w:hAnsi="Times New Roman"/>
          <w:sz w:val="24"/>
          <w:szCs w:val="24"/>
          <w:lang w:eastAsia="en-NZ"/>
        </w:rPr>
        <w:t>index is</w:t>
      </w:r>
      <w:r>
        <w:rPr>
          <w:rFonts w:ascii="Times New Roman" w:hAnsi="Times New Roman"/>
          <w:sz w:val="24"/>
          <w:szCs w:val="24"/>
          <w:lang w:eastAsia="en-NZ"/>
        </w:rPr>
        <w:t xml:space="preserve"> described in Gergis and Fowler (2005) </w:t>
      </w:r>
      <w:r w:rsidR="00CD23BC">
        <w:rPr>
          <w:rFonts w:ascii="Times New Roman" w:hAnsi="Times New Roman"/>
          <w:sz w:val="24"/>
          <w:szCs w:val="24"/>
          <w:lang w:eastAsia="en-NZ"/>
        </w:rPr>
        <w:t>as</w:t>
      </w:r>
      <w:r w:rsidR="001B2918">
        <w:rPr>
          <w:rFonts w:ascii="Times New Roman" w:hAnsi="Times New Roman"/>
          <w:sz w:val="24"/>
          <w:szCs w:val="24"/>
          <w:lang w:eastAsia="en-NZ"/>
        </w:rPr>
        <w:t xml:space="preserve"> the</w:t>
      </w:r>
      <w:r>
        <w:rPr>
          <w:rFonts w:ascii="Times New Roman" w:hAnsi="Times New Roman"/>
          <w:sz w:val="24"/>
          <w:szCs w:val="24"/>
          <w:lang w:eastAsia="en-NZ"/>
        </w:rPr>
        <w:t xml:space="preserve"> “Coupled ENSO Index” (CEI)</w:t>
      </w:r>
      <w:r w:rsidR="001B2918">
        <w:rPr>
          <w:rFonts w:ascii="Times New Roman" w:hAnsi="Times New Roman"/>
          <w:sz w:val="24"/>
          <w:szCs w:val="24"/>
          <w:lang w:eastAsia="en-NZ"/>
        </w:rPr>
        <w:t>. Using the CEI, we</w:t>
      </w:r>
      <w:r>
        <w:rPr>
          <w:rFonts w:ascii="Times New Roman" w:hAnsi="Times New Roman"/>
          <w:sz w:val="24"/>
          <w:szCs w:val="24"/>
          <w:lang w:eastAsia="en-NZ"/>
        </w:rPr>
        <w:t xml:space="preserve"> select</w:t>
      </w:r>
      <w:r w:rsidR="001B2918">
        <w:rPr>
          <w:rFonts w:ascii="Times New Roman" w:hAnsi="Times New Roman"/>
          <w:sz w:val="24"/>
          <w:szCs w:val="24"/>
          <w:lang w:eastAsia="en-NZ"/>
        </w:rPr>
        <w:t>ed</w:t>
      </w:r>
      <w:r>
        <w:rPr>
          <w:rFonts w:ascii="Times New Roman" w:hAnsi="Times New Roman"/>
          <w:sz w:val="24"/>
          <w:szCs w:val="24"/>
          <w:lang w:eastAsia="en-NZ"/>
        </w:rPr>
        <w:t xml:space="preserve"> analog TC seasons for the </w:t>
      </w:r>
      <w:r w:rsidR="00A57E1A">
        <w:rPr>
          <w:rFonts w:ascii="Times New Roman" w:hAnsi="Times New Roman"/>
          <w:sz w:val="24"/>
          <w:szCs w:val="24"/>
          <w:lang w:eastAsia="en-NZ"/>
        </w:rPr>
        <w:t>2014</w:t>
      </w:r>
      <w:r>
        <w:rPr>
          <w:rFonts w:ascii="Times New Roman" w:hAnsi="Times New Roman"/>
          <w:sz w:val="24"/>
          <w:szCs w:val="24"/>
          <w:lang w:eastAsia="en-NZ"/>
        </w:rPr>
        <w:t>-</w:t>
      </w:r>
      <w:r w:rsidR="00A57E1A">
        <w:rPr>
          <w:rFonts w:ascii="Times New Roman" w:hAnsi="Times New Roman"/>
          <w:sz w:val="24"/>
          <w:szCs w:val="24"/>
          <w:lang w:eastAsia="en-NZ"/>
        </w:rPr>
        <w:t xml:space="preserve">15 </w:t>
      </w:r>
      <w:r>
        <w:rPr>
          <w:rFonts w:ascii="Times New Roman" w:hAnsi="Times New Roman"/>
          <w:sz w:val="24"/>
          <w:szCs w:val="24"/>
          <w:lang w:eastAsia="en-NZ"/>
        </w:rPr>
        <w:t xml:space="preserve">forecast. </w:t>
      </w:r>
      <w:r w:rsidR="001B2918">
        <w:rPr>
          <w:rFonts w:ascii="Times New Roman" w:hAnsi="Times New Roman"/>
          <w:sz w:val="24"/>
          <w:szCs w:val="24"/>
          <w:lang w:eastAsia="en-NZ"/>
        </w:rPr>
        <w:t>We</w:t>
      </w:r>
      <w:r>
        <w:rPr>
          <w:rFonts w:ascii="Times New Roman" w:hAnsi="Times New Roman"/>
          <w:sz w:val="24"/>
          <w:szCs w:val="24"/>
          <w:lang w:eastAsia="en-NZ"/>
        </w:rPr>
        <w:t xml:space="preserve"> highlighted seasons when the equatorial SSTs </w:t>
      </w:r>
      <w:r w:rsidR="007B61F1">
        <w:rPr>
          <w:rFonts w:ascii="Times New Roman" w:hAnsi="Times New Roman"/>
          <w:sz w:val="24"/>
          <w:szCs w:val="24"/>
          <w:lang w:eastAsia="en-NZ"/>
        </w:rPr>
        <w:t xml:space="preserve">and the SOI </w:t>
      </w:r>
      <w:r>
        <w:rPr>
          <w:rFonts w:ascii="Times New Roman" w:hAnsi="Times New Roman"/>
          <w:sz w:val="24"/>
          <w:szCs w:val="24"/>
          <w:lang w:eastAsia="en-NZ"/>
        </w:rPr>
        <w:t>were in the neutral range</w:t>
      </w:r>
      <w:r w:rsidR="00497BD1">
        <w:rPr>
          <w:rFonts w:ascii="Times New Roman" w:hAnsi="Times New Roman"/>
          <w:sz w:val="24"/>
          <w:szCs w:val="24"/>
          <w:lang w:eastAsia="en-NZ"/>
        </w:rPr>
        <w:t xml:space="preserve"> (i.e. neither El Ni</w:t>
      </w:r>
      <w:r w:rsidR="00A8469C" w:rsidRPr="008177DE">
        <w:rPr>
          <w:rFonts w:ascii="Times New Roman" w:hAnsi="Times New Roman"/>
          <w:color w:val="000000"/>
          <w:sz w:val="24"/>
          <w:szCs w:val="24"/>
        </w:rPr>
        <w:t>ñ</w:t>
      </w:r>
      <w:r w:rsidR="00497BD1">
        <w:rPr>
          <w:rFonts w:ascii="Times New Roman" w:hAnsi="Times New Roman"/>
          <w:sz w:val="24"/>
          <w:szCs w:val="24"/>
          <w:lang w:eastAsia="en-NZ"/>
        </w:rPr>
        <w:t>o nor La Ni</w:t>
      </w:r>
      <w:r w:rsidR="00A8469C" w:rsidRPr="008177DE">
        <w:rPr>
          <w:rFonts w:ascii="Times New Roman" w:hAnsi="Times New Roman"/>
          <w:color w:val="000000"/>
          <w:sz w:val="24"/>
          <w:szCs w:val="24"/>
        </w:rPr>
        <w:t>ñ</w:t>
      </w:r>
      <w:r w:rsidR="00497BD1">
        <w:rPr>
          <w:rFonts w:ascii="Times New Roman" w:hAnsi="Times New Roman"/>
          <w:sz w:val="24"/>
          <w:szCs w:val="24"/>
          <w:lang w:eastAsia="en-NZ"/>
        </w:rPr>
        <w:t xml:space="preserve">a as defined by </w:t>
      </w:r>
      <w:r w:rsidR="00A14D08">
        <w:rPr>
          <w:rFonts w:ascii="Times New Roman" w:hAnsi="Times New Roman"/>
          <w:sz w:val="24"/>
          <w:szCs w:val="24"/>
          <w:lang w:eastAsia="en-NZ"/>
        </w:rPr>
        <w:t>the CEI</w:t>
      </w:r>
      <w:r w:rsidR="00BB61BD">
        <w:rPr>
          <w:rFonts w:ascii="Times New Roman" w:hAnsi="Times New Roman"/>
          <w:sz w:val="24"/>
          <w:szCs w:val="24"/>
          <w:lang w:eastAsia="en-NZ"/>
        </w:rPr>
        <w:t xml:space="preserve"> with a </w:t>
      </w:r>
      <w:r w:rsidR="000B2185">
        <w:rPr>
          <w:rFonts w:ascii="Times New Roman" w:hAnsi="Times New Roman"/>
          <w:sz w:val="24"/>
          <w:szCs w:val="24"/>
          <w:lang w:eastAsia="en-NZ"/>
        </w:rPr>
        <w:t xml:space="preserve">5-month mean </w:t>
      </w:r>
      <w:r w:rsidR="00BB61BD">
        <w:rPr>
          <w:rFonts w:ascii="Times New Roman" w:hAnsi="Times New Roman"/>
          <w:sz w:val="24"/>
          <w:szCs w:val="24"/>
          <w:lang w:eastAsia="en-NZ"/>
        </w:rPr>
        <w:t>SST</w:t>
      </w:r>
      <w:r w:rsidR="000B2185">
        <w:rPr>
          <w:rFonts w:ascii="Times New Roman" w:hAnsi="Times New Roman"/>
          <w:sz w:val="24"/>
          <w:szCs w:val="24"/>
          <w:lang w:eastAsia="en-NZ"/>
        </w:rPr>
        <w:t>a</w:t>
      </w:r>
      <w:r w:rsidR="00BB61BD">
        <w:rPr>
          <w:rFonts w:ascii="Times New Roman" w:hAnsi="Times New Roman"/>
          <w:sz w:val="24"/>
          <w:szCs w:val="24"/>
          <w:lang w:eastAsia="en-NZ"/>
        </w:rPr>
        <w:t xml:space="preserve"> threshold less than +/- 0.5</w:t>
      </w:r>
      <w:r w:rsidR="00332B16">
        <w:rPr>
          <w:rFonts w:ascii="Times New Roman" w:hAnsi="Times New Roman"/>
          <w:sz w:val="24"/>
          <w:szCs w:val="24"/>
          <w:lang w:eastAsia="en-NZ"/>
        </w:rPr>
        <w:t>°</w:t>
      </w:r>
      <w:r w:rsidR="00BB61BD">
        <w:rPr>
          <w:rFonts w:ascii="Times New Roman" w:hAnsi="Times New Roman"/>
          <w:sz w:val="24"/>
          <w:szCs w:val="24"/>
          <w:lang w:eastAsia="en-NZ"/>
        </w:rPr>
        <w:t xml:space="preserve">C and an </w:t>
      </w:r>
      <w:r w:rsidR="000B2185">
        <w:rPr>
          <w:rFonts w:ascii="Times New Roman" w:hAnsi="Times New Roman"/>
          <w:sz w:val="24"/>
          <w:szCs w:val="24"/>
          <w:lang w:eastAsia="en-NZ"/>
        </w:rPr>
        <w:t xml:space="preserve">3-month </w:t>
      </w:r>
      <w:r w:rsidR="00BB61BD">
        <w:rPr>
          <w:rFonts w:ascii="Times New Roman" w:hAnsi="Times New Roman"/>
          <w:sz w:val="24"/>
          <w:szCs w:val="24"/>
          <w:lang w:eastAsia="en-NZ"/>
        </w:rPr>
        <w:t>SOI threshold less than +/- 1.0</w:t>
      </w:r>
      <w:r w:rsidR="00497BD1">
        <w:rPr>
          <w:rFonts w:ascii="Times New Roman" w:hAnsi="Times New Roman"/>
          <w:sz w:val="24"/>
          <w:szCs w:val="24"/>
          <w:lang w:eastAsia="en-NZ"/>
        </w:rPr>
        <w:t xml:space="preserve">) during the May-October </w:t>
      </w:r>
      <w:r w:rsidR="00CD23BC">
        <w:rPr>
          <w:rFonts w:ascii="Times New Roman" w:hAnsi="Times New Roman"/>
          <w:sz w:val="24"/>
          <w:szCs w:val="24"/>
          <w:lang w:eastAsia="en-NZ"/>
        </w:rPr>
        <w:t xml:space="preserve">pre-TC season </w:t>
      </w:r>
      <w:r w:rsidR="00497BD1">
        <w:rPr>
          <w:rFonts w:ascii="Times New Roman" w:hAnsi="Times New Roman"/>
          <w:sz w:val="24"/>
          <w:szCs w:val="24"/>
          <w:lang w:eastAsia="en-NZ"/>
        </w:rPr>
        <w:t xml:space="preserve">period. In addition, the analogues were </w:t>
      </w:r>
      <w:r w:rsidR="009D2FC4">
        <w:rPr>
          <w:rFonts w:ascii="Times New Roman" w:hAnsi="Times New Roman"/>
          <w:sz w:val="24"/>
          <w:szCs w:val="24"/>
          <w:lang w:eastAsia="en-NZ"/>
        </w:rPr>
        <w:t xml:space="preserve">further </w:t>
      </w:r>
      <w:r w:rsidR="00497BD1">
        <w:rPr>
          <w:rFonts w:ascii="Times New Roman" w:hAnsi="Times New Roman"/>
          <w:sz w:val="24"/>
          <w:szCs w:val="24"/>
          <w:lang w:eastAsia="en-NZ"/>
        </w:rPr>
        <w:t>restricted to seasons</w:t>
      </w:r>
      <w:r>
        <w:rPr>
          <w:rFonts w:ascii="Times New Roman" w:hAnsi="Times New Roman"/>
          <w:sz w:val="24"/>
          <w:szCs w:val="24"/>
          <w:lang w:eastAsia="en-NZ"/>
        </w:rPr>
        <w:t xml:space="preserve"> when</w:t>
      </w:r>
      <w:r w:rsidR="009D2FC4">
        <w:rPr>
          <w:rFonts w:ascii="Times New Roman" w:hAnsi="Times New Roman"/>
          <w:sz w:val="24"/>
          <w:szCs w:val="24"/>
          <w:lang w:eastAsia="en-NZ"/>
        </w:rPr>
        <w:t xml:space="preserve"> SSTs leading into the season were on the slightly positive side of neutral, and when</w:t>
      </w:r>
      <w:r>
        <w:rPr>
          <w:rFonts w:ascii="Times New Roman" w:hAnsi="Times New Roman"/>
          <w:sz w:val="24"/>
          <w:szCs w:val="24"/>
          <w:lang w:eastAsia="en-NZ"/>
        </w:rPr>
        <w:t xml:space="preserve"> </w:t>
      </w:r>
      <w:r w:rsidR="00A57E1A">
        <w:rPr>
          <w:rFonts w:ascii="Times New Roman" w:hAnsi="Times New Roman"/>
          <w:sz w:val="24"/>
          <w:szCs w:val="24"/>
          <w:lang w:eastAsia="en-NZ"/>
        </w:rPr>
        <w:t xml:space="preserve">either </w:t>
      </w:r>
      <w:r>
        <w:rPr>
          <w:rFonts w:ascii="Times New Roman" w:hAnsi="Times New Roman"/>
          <w:sz w:val="24"/>
          <w:szCs w:val="24"/>
          <w:lang w:eastAsia="en-NZ"/>
        </w:rPr>
        <w:t xml:space="preserve">ENSO ‘NEUTRAL’ </w:t>
      </w:r>
      <w:r w:rsidR="00A57E1A">
        <w:rPr>
          <w:rFonts w:ascii="Times New Roman" w:hAnsi="Times New Roman"/>
          <w:sz w:val="24"/>
          <w:szCs w:val="24"/>
          <w:lang w:eastAsia="en-NZ"/>
        </w:rPr>
        <w:t>or weak El Ni</w:t>
      </w:r>
      <w:r w:rsidR="00A8469C" w:rsidRPr="008177DE">
        <w:rPr>
          <w:rFonts w:ascii="Times New Roman" w:hAnsi="Times New Roman"/>
          <w:color w:val="000000"/>
          <w:sz w:val="24"/>
          <w:szCs w:val="24"/>
        </w:rPr>
        <w:t>ñ</w:t>
      </w:r>
      <w:r w:rsidR="00A57E1A">
        <w:rPr>
          <w:rFonts w:ascii="Times New Roman" w:hAnsi="Times New Roman"/>
          <w:sz w:val="24"/>
          <w:szCs w:val="24"/>
          <w:lang w:eastAsia="en-NZ"/>
        </w:rPr>
        <w:t xml:space="preserve">o </w:t>
      </w:r>
      <w:r>
        <w:rPr>
          <w:rFonts w:ascii="Times New Roman" w:hAnsi="Times New Roman"/>
          <w:sz w:val="24"/>
          <w:szCs w:val="24"/>
          <w:lang w:eastAsia="en-NZ"/>
        </w:rPr>
        <w:t>conditions</w:t>
      </w:r>
      <w:r w:rsidR="009D2FC4">
        <w:rPr>
          <w:rFonts w:ascii="Times New Roman" w:hAnsi="Times New Roman"/>
          <w:sz w:val="24"/>
          <w:szCs w:val="24"/>
          <w:lang w:eastAsia="en-NZ"/>
        </w:rPr>
        <w:t xml:space="preserve"> in general</w:t>
      </w:r>
      <w:r>
        <w:rPr>
          <w:rFonts w:ascii="Times New Roman" w:hAnsi="Times New Roman"/>
          <w:sz w:val="24"/>
          <w:szCs w:val="24"/>
          <w:lang w:eastAsia="en-NZ"/>
        </w:rPr>
        <w:t xml:space="preserve"> </w:t>
      </w:r>
      <w:r w:rsidR="00497BD1">
        <w:rPr>
          <w:rFonts w:ascii="Times New Roman" w:hAnsi="Times New Roman"/>
          <w:sz w:val="24"/>
          <w:szCs w:val="24"/>
          <w:lang w:eastAsia="en-NZ"/>
        </w:rPr>
        <w:t xml:space="preserve">applied to </w:t>
      </w:r>
      <w:r>
        <w:rPr>
          <w:rFonts w:ascii="Times New Roman" w:hAnsi="Times New Roman"/>
          <w:sz w:val="24"/>
          <w:szCs w:val="24"/>
          <w:lang w:eastAsia="en-NZ"/>
        </w:rPr>
        <w:t>the majority of the austral warm season</w:t>
      </w:r>
      <w:r w:rsidR="00562244">
        <w:rPr>
          <w:rFonts w:ascii="Times New Roman" w:hAnsi="Times New Roman"/>
          <w:sz w:val="24"/>
          <w:szCs w:val="24"/>
          <w:lang w:eastAsia="en-NZ"/>
        </w:rPr>
        <w:t xml:space="preserve"> (November-April)</w:t>
      </w:r>
      <w:r>
        <w:rPr>
          <w:rFonts w:ascii="Times New Roman" w:hAnsi="Times New Roman"/>
          <w:sz w:val="24"/>
          <w:szCs w:val="24"/>
          <w:lang w:eastAsia="en-NZ"/>
        </w:rPr>
        <w:t xml:space="preserve">. </w:t>
      </w:r>
    </w:p>
    <w:p w14:paraId="2ACFCF23" w14:textId="36EAB88E" w:rsidR="00137364" w:rsidRDefault="009D2FC4">
      <w:pPr>
        <w:spacing w:before="280" w:after="280" w:line="240" w:lineRule="auto"/>
        <w:jc w:val="both"/>
        <w:rPr>
          <w:rFonts w:ascii="Times New Roman" w:hAnsi="Times New Roman"/>
          <w:sz w:val="24"/>
          <w:szCs w:val="24"/>
          <w:lang w:eastAsia="en-NZ"/>
        </w:rPr>
      </w:pPr>
      <w:r>
        <w:rPr>
          <w:rFonts w:ascii="Times New Roman" w:hAnsi="Times New Roman"/>
          <w:sz w:val="24"/>
          <w:szCs w:val="24"/>
          <w:lang w:eastAsia="en-NZ"/>
        </w:rPr>
        <w:t xml:space="preserve">Six </w:t>
      </w:r>
      <w:r w:rsidR="00137364">
        <w:rPr>
          <w:rFonts w:ascii="Times New Roman" w:hAnsi="Times New Roman"/>
          <w:sz w:val="24"/>
          <w:szCs w:val="24"/>
          <w:lang w:eastAsia="en-NZ"/>
        </w:rPr>
        <w:t xml:space="preserve">analog </w:t>
      </w:r>
      <w:r w:rsidR="00332B16">
        <w:rPr>
          <w:rFonts w:ascii="Times New Roman" w:hAnsi="Times New Roman"/>
          <w:sz w:val="24"/>
          <w:szCs w:val="24"/>
          <w:lang w:eastAsia="en-NZ"/>
        </w:rPr>
        <w:t xml:space="preserve">TC </w:t>
      </w:r>
      <w:r w:rsidR="00137364" w:rsidRPr="00997538">
        <w:rPr>
          <w:rFonts w:ascii="Times New Roman" w:hAnsi="Times New Roman"/>
          <w:sz w:val="24"/>
          <w:szCs w:val="24"/>
          <w:lang w:eastAsia="en-NZ"/>
        </w:rPr>
        <w:t xml:space="preserve">seasons (1978/79; 1979/80; </w:t>
      </w:r>
      <w:r w:rsidR="00137364" w:rsidRPr="00157CE5">
        <w:rPr>
          <w:rFonts w:ascii="Times New Roman" w:hAnsi="Times New Roman"/>
          <w:sz w:val="24"/>
          <w:szCs w:val="24"/>
          <w:lang w:eastAsia="en-NZ"/>
        </w:rPr>
        <w:t>1980/81</w:t>
      </w:r>
      <w:r w:rsidR="00137364" w:rsidRPr="00997538">
        <w:rPr>
          <w:rFonts w:ascii="Times New Roman" w:hAnsi="Times New Roman"/>
          <w:sz w:val="24"/>
          <w:szCs w:val="24"/>
          <w:lang w:eastAsia="en-NZ"/>
        </w:rPr>
        <w:t>; 1990/91; 2001/02</w:t>
      </w:r>
      <w:r w:rsidR="00A57E1A">
        <w:rPr>
          <w:rFonts w:ascii="Times New Roman" w:hAnsi="Times New Roman"/>
          <w:sz w:val="24"/>
          <w:szCs w:val="24"/>
          <w:lang w:eastAsia="en-NZ"/>
        </w:rPr>
        <w:t>; 2012/13</w:t>
      </w:r>
      <w:r w:rsidR="00137364" w:rsidRPr="00997538">
        <w:rPr>
          <w:rFonts w:ascii="Times New Roman" w:hAnsi="Times New Roman"/>
          <w:sz w:val="24"/>
          <w:szCs w:val="24"/>
          <w:lang w:eastAsia="en-NZ"/>
        </w:rPr>
        <w:t xml:space="preserve">) </w:t>
      </w:r>
      <w:r w:rsidR="00CD23BC">
        <w:rPr>
          <w:rFonts w:ascii="Times New Roman" w:hAnsi="Times New Roman"/>
          <w:sz w:val="24"/>
          <w:szCs w:val="24"/>
          <w:lang w:eastAsia="en-NZ"/>
        </w:rPr>
        <w:t>typified by</w:t>
      </w:r>
      <w:r w:rsidR="00A57E1A">
        <w:rPr>
          <w:rFonts w:ascii="Times New Roman" w:hAnsi="Times New Roman"/>
          <w:sz w:val="24"/>
          <w:szCs w:val="24"/>
          <w:lang w:eastAsia="en-NZ"/>
        </w:rPr>
        <w:t xml:space="preserve"> ENSO ne</w:t>
      </w:r>
      <w:r w:rsidR="00CD23BC">
        <w:rPr>
          <w:rFonts w:ascii="Times New Roman" w:hAnsi="Times New Roman"/>
          <w:sz w:val="24"/>
          <w:szCs w:val="24"/>
          <w:lang w:eastAsia="en-NZ"/>
        </w:rPr>
        <w:t>utral conditions and two analog seasons</w:t>
      </w:r>
      <w:r w:rsidR="00A57E1A">
        <w:rPr>
          <w:rFonts w:ascii="Times New Roman" w:hAnsi="Times New Roman"/>
          <w:sz w:val="24"/>
          <w:szCs w:val="24"/>
          <w:lang w:eastAsia="en-NZ"/>
        </w:rPr>
        <w:t xml:space="preserve"> (1986/87 and 2009/10) </w:t>
      </w:r>
      <w:r w:rsidR="00CD23BC">
        <w:rPr>
          <w:rFonts w:ascii="Times New Roman" w:hAnsi="Times New Roman"/>
          <w:sz w:val="24"/>
          <w:szCs w:val="24"/>
          <w:lang w:eastAsia="en-NZ"/>
        </w:rPr>
        <w:t>that were</w:t>
      </w:r>
      <w:r w:rsidR="00A57E1A">
        <w:rPr>
          <w:rFonts w:ascii="Times New Roman" w:hAnsi="Times New Roman"/>
          <w:sz w:val="24"/>
          <w:szCs w:val="24"/>
          <w:lang w:eastAsia="en-NZ"/>
        </w:rPr>
        <w:t xml:space="preserve"> weak El Ni</w:t>
      </w:r>
      <w:r w:rsidR="00A8469C" w:rsidRPr="008177DE">
        <w:rPr>
          <w:rFonts w:ascii="Times New Roman" w:hAnsi="Times New Roman"/>
          <w:color w:val="000000"/>
          <w:sz w:val="24"/>
          <w:szCs w:val="24"/>
        </w:rPr>
        <w:t>ñ</w:t>
      </w:r>
      <w:r w:rsidR="00A57E1A">
        <w:rPr>
          <w:rFonts w:ascii="Times New Roman" w:hAnsi="Times New Roman"/>
          <w:sz w:val="24"/>
          <w:szCs w:val="24"/>
          <w:lang w:eastAsia="en-NZ"/>
        </w:rPr>
        <w:t>o</w:t>
      </w:r>
      <w:r w:rsidR="00CD23BC">
        <w:rPr>
          <w:rFonts w:ascii="Times New Roman" w:hAnsi="Times New Roman"/>
          <w:sz w:val="24"/>
          <w:szCs w:val="24"/>
          <w:lang w:eastAsia="en-NZ"/>
        </w:rPr>
        <w:t>s</w:t>
      </w:r>
      <w:r w:rsidR="00A57E1A">
        <w:rPr>
          <w:rFonts w:ascii="Times New Roman" w:hAnsi="Times New Roman"/>
          <w:sz w:val="24"/>
          <w:szCs w:val="24"/>
          <w:lang w:eastAsia="en-NZ"/>
        </w:rPr>
        <w:t xml:space="preserve"> </w:t>
      </w:r>
      <w:r w:rsidR="00137364" w:rsidRPr="00997538">
        <w:rPr>
          <w:rFonts w:ascii="Times New Roman" w:hAnsi="Times New Roman"/>
          <w:sz w:val="24"/>
          <w:szCs w:val="24"/>
          <w:lang w:eastAsia="en-NZ"/>
        </w:rPr>
        <w:t>were</w:t>
      </w:r>
      <w:r w:rsidR="00137364">
        <w:rPr>
          <w:rFonts w:ascii="Times New Roman" w:hAnsi="Times New Roman"/>
          <w:sz w:val="24"/>
          <w:szCs w:val="24"/>
          <w:lang w:eastAsia="en-NZ"/>
        </w:rPr>
        <w:t xml:space="preserve"> identified using the approach above. Note that the small number of analog seasons relates to the high-quality</w:t>
      </w:r>
      <w:r w:rsidR="003C0CB6">
        <w:rPr>
          <w:rFonts w:ascii="Times New Roman" w:hAnsi="Times New Roman"/>
          <w:sz w:val="24"/>
          <w:szCs w:val="24"/>
          <w:lang w:eastAsia="en-NZ"/>
        </w:rPr>
        <w:t xml:space="preserve"> period of the</w:t>
      </w:r>
      <w:r w:rsidR="00137364">
        <w:rPr>
          <w:rFonts w:ascii="Times New Roman" w:hAnsi="Times New Roman"/>
          <w:sz w:val="24"/>
          <w:szCs w:val="24"/>
          <w:lang w:eastAsia="en-NZ"/>
        </w:rPr>
        <w:t xml:space="preserve"> TC data set</w:t>
      </w:r>
      <w:r w:rsidR="003C0CB6">
        <w:rPr>
          <w:rFonts w:ascii="Times New Roman" w:hAnsi="Times New Roman"/>
          <w:sz w:val="24"/>
          <w:szCs w:val="24"/>
          <w:lang w:eastAsia="en-NZ"/>
        </w:rPr>
        <w:t xml:space="preserve"> in the satellite era beginning in 1969/70</w:t>
      </w:r>
      <w:r w:rsidR="00137364">
        <w:rPr>
          <w:rFonts w:ascii="Times New Roman" w:hAnsi="Times New Roman"/>
          <w:sz w:val="24"/>
          <w:szCs w:val="24"/>
          <w:lang w:eastAsia="en-NZ"/>
        </w:rPr>
        <w:t xml:space="preserve"> (only </w:t>
      </w:r>
      <w:r w:rsidR="00CD23BC">
        <w:rPr>
          <w:rFonts w:ascii="Times New Roman" w:hAnsi="Times New Roman"/>
          <w:sz w:val="24"/>
          <w:szCs w:val="24"/>
          <w:lang w:eastAsia="en-NZ"/>
        </w:rPr>
        <w:t xml:space="preserve">44 </w:t>
      </w:r>
      <w:r w:rsidR="00137364">
        <w:rPr>
          <w:rFonts w:ascii="Times New Roman" w:hAnsi="Times New Roman"/>
          <w:sz w:val="24"/>
          <w:szCs w:val="24"/>
          <w:lang w:eastAsia="en-NZ"/>
        </w:rPr>
        <w:t xml:space="preserve"> seasons), </w:t>
      </w:r>
      <w:r w:rsidR="00562244">
        <w:rPr>
          <w:rFonts w:ascii="Times New Roman" w:hAnsi="Times New Roman"/>
          <w:sz w:val="24"/>
          <w:szCs w:val="24"/>
          <w:lang w:eastAsia="en-NZ"/>
        </w:rPr>
        <w:t xml:space="preserve">the </w:t>
      </w:r>
      <w:r w:rsidR="00137364">
        <w:rPr>
          <w:rFonts w:ascii="Times New Roman" w:hAnsi="Times New Roman"/>
          <w:sz w:val="24"/>
          <w:szCs w:val="24"/>
          <w:lang w:eastAsia="en-NZ"/>
        </w:rPr>
        <w:t>availability of TC track data</w:t>
      </w:r>
      <w:r w:rsidR="00A57E1A">
        <w:rPr>
          <w:rFonts w:ascii="Times New Roman" w:hAnsi="Times New Roman"/>
          <w:sz w:val="24"/>
          <w:szCs w:val="24"/>
          <w:lang w:eastAsia="en-NZ"/>
        </w:rPr>
        <w:t xml:space="preserve"> (current only to the end of the 2012/13 season)</w:t>
      </w:r>
      <w:r w:rsidR="00137364">
        <w:rPr>
          <w:rFonts w:ascii="Times New Roman" w:hAnsi="Times New Roman"/>
          <w:sz w:val="24"/>
          <w:szCs w:val="24"/>
          <w:lang w:eastAsia="en-NZ"/>
        </w:rPr>
        <w:t>, and the limited number of similar analogs to this season.</w:t>
      </w:r>
      <w:r w:rsidR="00A57E1A">
        <w:rPr>
          <w:rFonts w:ascii="Times New Roman" w:hAnsi="Times New Roman"/>
          <w:sz w:val="24"/>
          <w:szCs w:val="24"/>
          <w:lang w:eastAsia="en-NZ"/>
        </w:rPr>
        <w:t xml:space="preserve">  The historic analogs suggest the most likely outcome for this season is ENSO neutral. As such, the guidance </w:t>
      </w:r>
      <w:r w:rsidR="00CD23BC">
        <w:rPr>
          <w:rFonts w:ascii="Times New Roman" w:hAnsi="Times New Roman"/>
          <w:sz w:val="24"/>
          <w:szCs w:val="24"/>
          <w:lang w:eastAsia="en-NZ"/>
        </w:rPr>
        <w:t xml:space="preserve"> for November 2014 to April 2015 </w:t>
      </w:r>
      <w:r w:rsidR="00A57E1A">
        <w:rPr>
          <w:rFonts w:ascii="Times New Roman" w:hAnsi="Times New Roman"/>
          <w:sz w:val="24"/>
          <w:szCs w:val="24"/>
          <w:lang w:eastAsia="en-NZ"/>
        </w:rPr>
        <w:t>is built on the eight analog seasons identified above.</w:t>
      </w:r>
    </w:p>
    <w:p w14:paraId="014A45DD" w14:textId="50F53993" w:rsidR="00137364" w:rsidRDefault="00137364">
      <w:pPr>
        <w:spacing w:before="280" w:after="280" w:line="240" w:lineRule="auto"/>
        <w:jc w:val="both"/>
        <w:rPr>
          <w:rFonts w:ascii="Times New Roman" w:hAnsi="Times New Roman"/>
          <w:sz w:val="24"/>
          <w:szCs w:val="24"/>
          <w:lang w:eastAsia="en-NZ"/>
        </w:rPr>
      </w:pPr>
      <w:r>
        <w:rPr>
          <w:rFonts w:ascii="Times New Roman" w:hAnsi="Times New Roman"/>
          <w:sz w:val="24"/>
          <w:szCs w:val="24"/>
          <w:lang w:eastAsia="en-NZ"/>
        </w:rPr>
        <w:t xml:space="preserve">The Island Climate Update TC forecast spans </w:t>
      </w:r>
      <w:r w:rsidR="00393A37">
        <w:rPr>
          <w:rFonts w:ascii="Times New Roman" w:hAnsi="Times New Roman"/>
          <w:sz w:val="24"/>
          <w:szCs w:val="24"/>
          <w:lang w:eastAsia="en-NZ"/>
        </w:rPr>
        <w:t xml:space="preserve">four areas of </w:t>
      </w:r>
      <w:r>
        <w:rPr>
          <w:rFonts w:ascii="Times New Roman" w:hAnsi="Times New Roman"/>
          <w:sz w:val="24"/>
          <w:szCs w:val="24"/>
          <w:lang w:eastAsia="en-NZ"/>
        </w:rPr>
        <w:t xml:space="preserve">responsibility </w:t>
      </w:r>
      <w:r w:rsidR="00393A37">
        <w:rPr>
          <w:rFonts w:ascii="Times New Roman" w:hAnsi="Times New Roman"/>
          <w:sz w:val="24"/>
          <w:szCs w:val="24"/>
          <w:lang w:eastAsia="en-NZ"/>
        </w:rPr>
        <w:t>controlled</w:t>
      </w:r>
      <w:r>
        <w:rPr>
          <w:rFonts w:ascii="Times New Roman" w:hAnsi="Times New Roman"/>
          <w:sz w:val="24"/>
          <w:szCs w:val="24"/>
          <w:lang w:eastAsia="en-NZ"/>
        </w:rPr>
        <w:t xml:space="preserve"> by international monitoring and forecast agencies (RMSC Nadi, TCWC Brisbane</w:t>
      </w:r>
      <w:r w:rsidR="00393A37">
        <w:rPr>
          <w:rFonts w:ascii="Times New Roman" w:hAnsi="Times New Roman"/>
          <w:sz w:val="24"/>
          <w:szCs w:val="24"/>
          <w:lang w:eastAsia="en-NZ"/>
        </w:rPr>
        <w:t xml:space="preserve">, TCWC Port </w:t>
      </w:r>
      <w:r w:rsidR="00393A37">
        <w:rPr>
          <w:rFonts w:ascii="Times New Roman" w:hAnsi="Times New Roman"/>
          <w:sz w:val="24"/>
          <w:szCs w:val="24"/>
          <w:lang w:eastAsia="en-NZ"/>
        </w:rPr>
        <w:lastRenderedPageBreak/>
        <w:t>Moresby</w:t>
      </w:r>
      <w:r>
        <w:rPr>
          <w:rFonts w:ascii="Times New Roman" w:hAnsi="Times New Roman"/>
          <w:sz w:val="24"/>
          <w:szCs w:val="24"/>
          <w:lang w:eastAsia="en-NZ"/>
        </w:rPr>
        <w:t xml:space="preserve"> and TCWC Wellington). We used a high quality set of past TC tracks </w:t>
      </w:r>
      <w:r w:rsidR="00216D9E">
        <w:rPr>
          <w:rFonts w:ascii="Times New Roman" w:hAnsi="Times New Roman"/>
          <w:sz w:val="24"/>
          <w:szCs w:val="24"/>
          <w:lang w:eastAsia="en-NZ"/>
        </w:rPr>
        <w:t xml:space="preserve"> from the South Pacific Enhanced Archive of Tropical Cyclones</w:t>
      </w:r>
      <w:r w:rsidR="00A57E1A">
        <w:rPr>
          <w:rFonts w:ascii="Times New Roman" w:hAnsi="Times New Roman"/>
          <w:sz w:val="24"/>
          <w:szCs w:val="24"/>
          <w:lang w:eastAsia="en-NZ"/>
        </w:rPr>
        <w:t xml:space="preserve"> </w:t>
      </w:r>
      <w:r w:rsidR="00216D9E">
        <w:rPr>
          <w:rFonts w:ascii="Times New Roman" w:hAnsi="Times New Roman"/>
          <w:sz w:val="24"/>
          <w:szCs w:val="24"/>
          <w:lang w:eastAsia="en-NZ"/>
        </w:rPr>
        <w:t>(</w:t>
      </w:r>
      <w:r w:rsidR="00A57E1A">
        <w:rPr>
          <w:rFonts w:ascii="Times New Roman" w:hAnsi="Times New Roman"/>
          <w:sz w:val="24"/>
          <w:szCs w:val="24"/>
          <w:lang w:eastAsia="en-NZ"/>
        </w:rPr>
        <w:t>SPEArTC</w:t>
      </w:r>
      <w:r w:rsidR="00216D9E">
        <w:rPr>
          <w:rFonts w:ascii="Times New Roman" w:hAnsi="Times New Roman"/>
          <w:sz w:val="24"/>
          <w:szCs w:val="24"/>
          <w:lang w:eastAsia="en-NZ"/>
        </w:rPr>
        <w:t>)</w:t>
      </w:r>
      <w:r w:rsidR="00A57E1A">
        <w:rPr>
          <w:rFonts w:ascii="Times New Roman" w:hAnsi="Times New Roman"/>
          <w:sz w:val="24"/>
          <w:szCs w:val="24"/>
          <w:lang w:eastAsia="en-NZ"/>
        </w:rPr>
        <w:t xml:space="preserve"> (Diamond et al., 201</w:t>
      </w:r>
      <w:r w:rsidR="00970B3B">
        <w:rPr>
          <w:rFonts w:ascii="Times New Roman" w:hAnsi="Times New Roman"/>
          <w:sz w:val="24"/>
          <w:szCs w:val="24"/>
          <w:lang w:eastAsia="en-NZ"/>
        </w:rPr>
        <w:t>2</w:t>
      </w:r>
      <w:r w:rsidR="00A57E1A">
        <w:rPr>
          <w:rFonts w:ascii="Times New Roman" w:hAnsi="Times New Roman"/>
          <w:sz w:val="24"/>
          <w:szCs w:val="24"/>
          <w:lang w:eastAsia="en-NZ"/>
        </w:rPr>
        <w:t>)</w:t>
      </w:r>
      <w:r w:rsidR="00F97536">
        <w:rPr>
          <w:rFonts w:ascii="Times New Roman" w:hAnsi="Times New Roman"/>
          <w:sz w:val="24"/>
          <w:szCs w:val="24"/>
          <w:lang w:eastAsia="en-NZ"/>
        </w:rPr>
        <w:t xml:space="preserve"> </w:t>
      </w:r>
      <w:r>
        <w:rPr>
          <w:rFonts w:ascii="Times New Roman" w:hAnsi="Times New Roman"/>
          <w:sz w:val="24"/>
          <w:szCs w:val="24"/>
          <w:lang w:eastAsia="en-NZ"/>
        </w:rPr>
        <w:t xml:space="preserve">which covers 135°E to 120°W longitude to draw on past TC tracks for this seasonal forecast. </w:t>
      </w:r>
      <w:r w:rsidR="00F97536">
        <w:rPr>
          <w:rFonts w:ascii="Times New Roman" w:hAnsi="Times New Roman"/>
          <w:sz w:val="24"/>
          <w:szCs w:val="24"/>
          <w:lang w:eastAsia="en-NZ"/>
        </w:rPr>
        <w:t xml:space="preserve">This region encompases </w:t>
      </w:r>
      <w:r>
        <w:rPr>
          <w:rFonts w:ascii="Times New Roman" w:hAnsi="Times New Roman"/>
          <w:sz w:val="24"/>
          <w:szCs w:val="24"/>
          <w:lang w:eastAsia="en-NZ"/>
        </w:rPr>
        <w:t xml:space="preserve">a basin that is defined by climatology rather than geopolitical or meteorological boundaries (Diamond et al., </w:t>
      </w:r>
      <w:r w:rsidR="00A57E1A">
        <w:rPr>
          <w:rFonts w:ascii="Times New Roman" w:hAnsi="Times New Roman"/>
          <w:sz w:val="24"/>
          <w:szCs w:val="24"/>
          <w:lang w:eastAsia="en-NZ"/>
        </w:rPr>
        <w:t>2012</w:t>
      </w:r>
      <w:r>
        <w:rPr>
          <w:rFonts w:ascii="Times New Roman" w:hAnsi="Times New Roman"/>
          <w:sz w:val="24"/>
          <w:szCs w:val="24"/>
          <w:lang w:eastAsia="en-NZ"/>
        </w:rPr>
        <w:t>).  The analog tracks and anomalies for this region suggests TC activity is likely to</w:t>
      </w:r>
      <w:r w:rsidR="001B1529">
        <w:rPr>
          <w:rFonts w:ascii="Times New Roman" w:hAnsi="Times New Roman"/>
          <w:sz w:val="24"/>
          <w:szCs w:val="24"/>
          <w:lang w:eastAsia="en-NZ"/>
        </w:rPr>
        <w:t xml:space="preserve"> be</w:t>
      </w:r>
      <w:r>
        <w:rPr>
          <w:rFonts w:ascii="Times New Roman" w:hAnsi="Times New Roman"/>
          <w:sz w:val="24"/>
          <w:szCs w:val="24"/>
          <w:lang w:eastAsia="en-NZ"/>
        </w:rPr>
        <w:t xml:space="preserve"> </w:t>
      </w:r>
      <w:r w:rsidR="00F503BF">
        <w:rPr>
          <w:rFonts w:ascii="Times New Roman" w:hAnsi="Times New Roman"/>
          <w:sz w:val="24"/>
          <w:szCs w:val="24"/>
          <w:lang w:eastAsia="en-NZ"/>
        </w:rPr>
        <w:t xml:space="preserve">above </w:t>
      </w:r>
      <w:r>
        <w:rPr>
          <w:rFonts w:ascii="Times New Roman" w:hAnsi="Times New Roman"/>
          <w:sz w:val="24"/>
          <w:szCs w:val="24"/>
          <w:lang w:eastAsia="en-NZ"/>
        </w:rPr>
        <w:t xml:space="preserve">normal </w:t>
      </w:r>
      <w:r w:rsidR="00F503BF">
        <w:rPr>
          <w:rFonts w:ascii="Times New Roman" w:hAnsi="Times New Roman"/>
          <w:sz w:val="24"/>
          <w:szCs w:val="24"/>
          <w:lang w:eastAsia="en-NZ"/>
        </w:rPr>
        <w:t xml:space="preserve">close to and </w:t>
      </w:r>
      <w:r w:rsidR="0079236F">
        <w:rPr>
          <w:rFonts w:ascii="Times New Roman" w:hAnsi="Times New Roman"/>
          <w:sz w:val="24"/>
          <w:szCs w:val="24"/>
          <w:lang w:eastAsia="en-NZ"/>
        </w:rPr>
        <w:t xml:space="preserve">just </w:t>
      </w:r>
      <w:r>
        <w:rPr>
          <w:rFonts w:ascii="Times New Roman" w:hAnsi="Times New Roman"/>
          <w:sz w:val="24"/>
          <w:szCs w:val="24"/>
          <w:lang w:eastAsia="en-NZ"/>
        </w:rPr>
        <w:t xml:space="preserve">east of the International </w:t>
      </w:r>
      <w:r w:rsidR="00A14D08">
        <w:rPr>
          <w:rFonts w:ascii="Times New Roman" w:hAnsi="Times New Roman"/>
          <w:sz w:val="24"/>
          <w:szCs w:val="24"/>
          <w:lang w:eastAsia="en-NZ"/>
        </w:rPr>
        <w:t>Date Line</w:t>
      </w:r>
      <w:r>
        <w:rPr>
          <w:rFonts w:ascii="Times New Roman" w:hAnsi="Times New Roman"/>
          <w:sz w:val="24"/>
          <w:szCs w:val="24"/>
          <w:lang w:eastAsia="en-NZ"/>
        </w:rPr>
        <w:t xml:space="preserve">, including </w:t>
      </w:r>
      <w:r w:rsidR="00F503BF">
        <w:rPr>
          <w:rFonts w:ascii="Times New Roman" w:hAnsi="Times New Roman"/>
          <w:sz w:val="24"/>
          <w:szCs w:val="24"/>
          <w:lang w:eastAsia="en-NZ"/>
        </w:rPr>
        <w:t xml:space="preserve">Niue, Samoa, the Southern Cook Islands, </w:t>
      </w:r>
      <w:r w:rsidR="0024769B">
        <w:rPr>
          <w:rFonts w:ascii="Times New Roman" w:hAnsi="Times New Roman"/>
          <w:sz w:val="24"/>
          <w:szCs w:val="24"/>
          <w:lang w:eastAsia="en-NZ"/>
        </w:rPr>
        <w:t xml:space="preserve">Tuvalu </w:t>
      </w:r>
      <w:r w:rsidR="00F503BF">
        <w:rPr>
          <w:rFonts w:ascii="Times New Roman" w:hAnsi="Times New Roman"/>
          <w:sz w:val="24"/>
          <w:szCs w:val="24"/>
          <w:lang w:eastAsia="en-NZ"/>
        </w:rPr>
        <w:t>and Tokelau</w:t>
      </w:r>
      <w:r w:rsidR="005675CD">
        <w:rPr>
          <w:rFonts w:ascii="Times New Roman" w:hAnsi="Times New Roman"/>
          <w:sz w:val="24"/>
          <w:szCs w:val="24"/>
          <w:lang w:eastAsia="en-NZ"/>
        </w:rPr>
        <w:t xml:space="preserve"> (Table 1; Figure 1 &amp; 2)</w:t>
      </w:r>
      <w:r>
        <w:rPr>
          <w:rFonts w:ascii="Times New Roman" w:hAnsi="Times New Roman"/>
          <w:sz w:val="24"/>
          <w:szCs w:val="24"/>
          <w:lang w:eastAsia="en-NZ"/>
        </w:rPr>
        <w:t>. The main TC genesis region is expected to lie within a band between 12 – 14°S (</w:t>
      </w:r>
      <w:r w:rsidR="00B72595">
        <w:rPr>
          <w:rFonts w:ascii="Times New Roman" w:hAnsi="Times New Roman"/>
          <w:sz w:val="24"/>
          <w:szCs w:val="24"/>
          <w:lang w:eastAsia="en-NZ"/>
        </w:rPr>
        <w:t>north of Vanuatu</w:t>
      </w:r>
      <w:r>
        <w:rPr>
          <w:rFonts w:ascii="Times New Roman" w:hAnsi="Times New Roman"/>
          <w:sz w:val="24"/>
          <w:szCs w:val="24"/>
          <w:lang w:eastAsia="en-NZ"/>
        </w:rPr>
        <w:t xml:space="preserve">). While there is a low likelihood of a Category 5 system occurring, recent analogs suggest this type of event is still possible, and therefore this situation cannot be ruled out. A total of 10 named storms on average are expected; the range of variation between analog seasons suggests </w:t>
      </w:r>
      <w:r w:rsidR="00562244">
        <w:rPr>
          <w:rFonts w:ascii="Times New Roman" w:hAnsi="Times New Roman"/>
          <w:sz w:val="24"/>
          <w:szCs w:val="24"/>
          <w:lang w:eastAsia="en-NZ"/>
        </w:rPr>
        <w:t>8</w:t>
      </w:r>
      <w:r>
        <w:rPr>
          <w:rFonts w:ascii="Times New Roman" w:hAnsi="Times New Roman"/>
          <w:sz w:val="24"/>
          <w:szCs w:val="24"/>
          <w:lang w:eastAsia="en-NZ"/>
        </w:rPr>
        <w:t xml:space="preserve"> to 12 for the total TC count (all named storms) within the forcast area </w:t>
      </w:r>
      <w:r w:rsidR="00562244">
        <w:rPr>
          <w:rFonts w:ascii="Times New Roman" w:hAnsi="Times New Roman"/>
          <w:sz w:val="24"/>
          <w:szCs w:val="24"/>
          <w:lang w:eastAsia="en-NZ"/>
        </w:rPr>
        <w:t>could occur</w:t>
      </w:r>
      <w:r>
        <w:rPr>
          <w:rFonts w:ascii="Times New Roman" w:hAnsi="Times New Roman"/>
          <w:sz w:val="24"/>
          <w:szCs w:val="24"/>
          <w:lang w:eastAsia="en-NZ"/>
        </w:rPr>
        <w:t xml:space="preserve">. </w:t>
      </w:r>
    </w:p>
    <w:p w14:paraId="1966E217" w14:textId="6AAEAA65" w:rsidR="00137364" w:rsidRDefault="00A43488">
      <w:pPr>
        <w:spacing w:before="280" w:after="280" w:line="240" w:lineRule="auto"/>
        <w:jc w:val="both"/>
        <w:rPr>
          <w:rFonts w:ascii="Times New Roman" w:hAnsi="Times New Roman"/>
          <w:sz w:val="24"/>
          <w:szCs w:val="24"/>
          <w:lang w:eastAsia="en-NZ"/>
        </w:rPr>
      </w:pPr>
      <w:r>
        <w:rPr>
          <w:rFonts w:ascii="Times New Roman" w:hAnsi="Times New Roman"/>
          <w:sz w:val="24"/>
          <w:szCs w:val="24"/>
          <w:lang w:eastAsia="en-NZ"/>
        </w:rPr>
        <w:t xml:space="preserve">Based on previous research (Diamond et al., </w:t>
      </w:r>
      <w:r w:rsidR="000B2185">
        <w:rPr>
          <w:rFonts w:ascii="Times New Roman" w:hAnsi="Times New Roman"/>
          <w:sz w:val="24"/>
          <w:szCs w:val="24"/>
          <w:lang w:eastAsia="en-NZ"/>
        </w:rPr>
        <w:t>2013</w:t>
      </w:r>
      <w:r>
        <w:rPr>
          <w:rFonts w:ascii="Times New Roman" w:hAnsi="Times New Roman"/>
          <w:sz w:val="24"/>
          <w:szCs w:val="24"/>
          <w:lang w:eastAsia="en-NZ"/>
        </w:rPr>
        <w:t xml:space="preserve">), </w:t>
      </w:r>
      <w:r w:rsidR="00B72595">
        <w:rPr>
          <w:rFonts w:ascii="Times New Roman" w:hAnsi="Times New Roman"/>
          <w:sz w:val="24"/>
          <w:szCs w:val="24"/>
          <w:lang w:eastAsia="en-NZ"/>
        </w:rPr>
        <w:t xml:space="preserve">there are a wide range of TC </w:t>
      </w:r>
      <w:r w:rsidR="00137364">
        <w:rPr>
          <w:rFonts w:ascii="Times New Roman" w:hAnsi="Times New Roman"/>
          <w:sz w:val="24"/>
          <w:szCs w:val="24"/>
          <w:lang w:eastAsia="en-NZ"/>
        </w:rPr>
        <w:t>track orientations during extra-tropical transition (ETT) during ENSO neutral conditions</w:t>
      </w:r>
      <w:r w:rsidR="00562244">
        <w:rPr>
          <w:rFonts w:ascii="Times New Roman" w:hAnsi="Times New Roman"/>
          <w:sz w:val="24"/>
          <w:szCs w:val="24"/>
          <w:lang w:eastAsia="en-NZ"/>
        </w:rPr>
        <w:t>.</w:t>
      </w:r>
      <w:r w:rsidR="00137364">
        <w:rPr>
          <w:rFonts w:ascii="Times New Roman" w:hAnsi="Times New Roman"/>
          <w:sz w:val="24"/>
          <w:szCs w:val="24"/>
          <w:lang w:eastAsia="en-NZ"/>
        </w:rPr>
        <w:t xml:space="preserve"> </w:t>
      </w:r>
      <w:r w:rsidR="00B72595">
        <w:rPr>
          <w:rFonts w:ascii="Times New Roman" w:hAnsi="Times New Roman"/>
          <w:sz w:val="24"/>
          <w:szCs w:val="24"/>
          <w:lang w:eastAsia="en-NZ"/>
        </w:rPr>
        <w:t>R</w:t>
      </w:r>
      <w:r w:rsidR="00562244">
        <w:rPr>
          <w:rFonts w:ascii="Times New Roman" w:hAnsi="Times New Roman"/>
          <w:sz w:val="24"/>
          <w:szCs w:val="24"/>
          <w:lang w:eastAsia="en-NZ"/>
        </w:rPr>
        <w:t xml:space="preserve">ecent research has </w:t>
      </w:r>
      <w:r w:rsidR="00B72595">
        <w:rPr>
          <w:rFonts w:ascii="Times New Roman" w:hAnsi="Times New Roman"/>
          <w:sz w:val="24"/>
          <w:szCs w:val="24"/>
          <w:lang w:eastAsia="en-NZ"/>
        </w:rPr>
        <w:t xml:space="preserve">also </w:t>
      </w:r>
      <w:r w:rsidR="00562244">
        <w:rPr>
          <w:rFonts w:ascii="Times New Roman" w:hAnsi="Times New Roman"/>
          <w:sz w:val="24"/>
          <w:szCs w:val="24"/>
          <w:lang w:eastAsia="en-NZ"/>
        </w:rPr>
        <w:t xml:space="preserve">indicated </w:t>
      </w:r>
      <w:r w:rsidR="00137364">
        <w:rPr>
          <w:rFonts w:ascii="Times New Roman" w:hAnsi="Times New Roman"/>
          <w:sz w:val="24"/>
          <w:szCs w:val="24"/>
          <w:lang w:eastAsia="en-NZ"/>
        </w:rPr>
        <w:t xml:space="preserve">TC track sinuosity increases during neutral ENSO events (Philip Malsale, Vanuatu Meteorological Service, personal communication). </w:t>
      </w:r>
      <w:r w:rsidR="00562244">
        <w:rPr>
          <w:rFonts w:ascii="Times New Roman" w:hAnsi="Times New Roman"/>
          <w:sz w:val="24"/>
          <w:szCs w:val="24"/>
          <w:lang w:eastAsia="en-NZ"/>
        </w:rPr>
        <w:t xml:space="preserve">This means that </w:t>
      </w:r>
      <w:r w:rsidR="00C67A18">
        <w:rPr>
          <w:rFonts w:ascii="Times New Roman" w:hAnsi="Times New Roman"/>
          <w:sz w:val="24"/>
          <w:szCs w:val="24"/>
          <w:lang w:eastAsia="en-NZ"/>
        </w:rPr>
        <w:t xml:space="preserve">weaker </w:t>
      </w:r>
      <w:r w:rsidR="008861DC">
        <w:rPr>
          <w:rFonts w:ascii="Times New Roman" w:hAnsi="Times New Roman"/>
          <w:sz w:val="24"/>
          <w:szCs w:val="24"/>
          <w:lang w:eastAsia="en-NZ"/>
        </w:rPr>
        <w:t>TC</w:t>
      </w:r>
      <w:r w:rsidR="00562244">
        <w:rPr>
          <w:rFonts w:ascii="Times New Roman" w:hAnsi="Times New Roman"/>
          <w:sz w:val="24"/>
          <w:szCs w:val="24"/>
          <w:lang w:eastAsia="en-NZ"/>
        </w:rPr>
        <w:t xml:space="preserve">s, such as a Category 1 system, might ‘wander’ </w:t>
      </w:r>
      <w:r w:rsidR="00186CA5">
        <w:rPr>
          <w:rFonts w:ascii="Times New Roman" w:hAnsi="Times New Roman"/>
          <w:sz w:val="24"/>
          <w:szCs w:val="24"/>
          <w:lang w:eastAsia="en-NZ"/>
        </w:rPr>
        <w:t xml:space="preserve">or stall, </w:t>
      </w:r>
      <w:r w:rsidR="00562244">
        <w:rPr>
          <w:rFonts w:ascii="Times New Roman" w:hAnsi="Times New Roman"/>
          <w:sz w:val="24"/>
          <w:szCs w:val="24"/>
          <w:lang w:eastAsia="en-NZ"/>
        </w:rPr>
        <w:t>caus</w:t>
      </w:r>
      <w:r w:rsidR="00186CA5">
        <w:rPr>
          <w:rFonts w:ascii="Times New Roman" w:hAnsi="Times New Roman"/>
          <w:sz w:val="24"/>
          <w:szCs w:val="24"/>
          <w:lang w:eastAsia="en-NZ"/>
        </w:rPr>
        <w:t>ing</w:t>
      </w:r>
      <w:r w:rsidR="00562244">
        <w:rPr>
          <w:rFonts w:ascii="Times New Roman" w:hAnsi="Times New Roman"/>
          <w:sz w:val="24"/>
          <w:szCs w:val="24"/>
          <w:lang w:eastAsia="en-NZ"/>
        </w:rPr>
        <w:t xml:space="preserve"> </w:t>
      </w:r>
      <w:r w:rsidR="00E51EDC">
        <w:rPr>
          <w:rFonts w:ascii="Times New Roman" w:hAnsi="Times New Roman"/>
          <w:sz w:val="24"/>
          <w:szCs w:val="24"/>
          <w:lang w:eastAsia="en-NZ"/>
        </w:rPr>
        <w:t>prolonged</w:t>
      </w:r>
      <w:r w:rsidR="00562244">
        <w:rPr>
          <w:rFonts w:ascii="Times New Roman" w:hAnsi="Times New Roman"/>
          <w:sz w:val="24"/>
          <w:szCs w:val="24"/>
          <w:lang w:eastAsia="en-NZ"/>
        </w:rPr>
        <w:t xml:space="preserve"> or widespread effects. </w:t>
      </w:r>
      <w:r w:rsidR="00137364">
        <w:rPr>
          <w:rFonts w:ascii="Times New Roman" w:hAnsi="Times New Roman"/>
          <w:sz w:val="24"/>
          <w:szCs w:val="24"/>
          <w:lang w:eastAsia="en-NZ"/>
        </w:rPr>
        <w:t xml:space="preserve">ENSO neutral </w:t>
      </w:r>
      <w:r w:rsidR="00B72595">
        <w:rPr>
          <w:rFonts w:ascii="Times New Roman" w:hAnsi="Times New Roman"/>
          <w:sz w:val="24"/>
          <w:szCs w:val="24"/>
          <w:lang w:eastAsia="en-NZ"/>
        </w:rPr>
        <w:t>and weak El Ni</w:t>
      </w:r>
      <w:r w:rsidR="00A8469C" w:rsidRPr="008177DE">
        <w:rPr>
          <w:rFonts w:ascii="Times New Roman" w:hAnsi="Times New Roman"/>
          <w:color w:val="000000"/>
          <w:sz w:val="24"/>
          <w:szCs w:val="24"/>
        </w:rPr>
        <w:t>ñ</w:t>
      </w:r>
      <w:r w:rsidR="00B72595">
        <w:rPr>
          <w:rFonts w:ascii="Times New Roman" w:hAnsi="Times New Roman"/>
          <w:sz w:val="24"/>
          <w:szCs w:val="24"/>
          <w:lang w:eastAsia="en-NZ"/>
        </w:rPr>
        <w:t xml:space="preserve">o </w:t>
      </w:r>
      <w:r w:rsidR="00137364">
        <w:rPr>
          <w:rFonts w:ascii="Times New Roman" w:hAnsi="Times New Roman"/>
          <w:sz w:val="24"/>
          <w:szCs w:val="24"/>
          <w:lang w:eastAsia="en-NZ"/>
        </w:rPr>
        <w:t>TC tracks between the point of genesis and ETT usually cover a broad region south of Fiji eastward to due south of Niue (mean longitude of ~</w:t>
      </w:r>
      <w:r w:rsidR="001B1529">
        <w:rPr>
          <w:rFonts w:ascii="Times New Roman" w:hAnsi="Times New Roman"/>
          <w:sz w:val="24"/>
          <w:szCs w:val="24"/>
          <w:lang w:eastAsia="en-NZ"/>
        </w:rPr>
        <w:t>175</w:t>
      </w:r>
      <w:r w:rsidR="00137364">
        <w:rPr>
          <w:rFonts w:ascii="Times New Roman" w:hAnsi="Times New Roman"/>
          <w:sz w:val="24"/>
          <w:szCs w:val="24"/>
          <w:lang w:eastAsia="en-NZ"/>
        </w:rPr>
        <w:t xml:space="preserve">°W and a heading of ~165° at 25°S). About 50% of all historical TC tracks for the selected analog seasons made ETT within ±10° of the International </w:t>
      </w:r>
      <w:r w:rsidR="00A14D08">
        <w:rPr>
          <w:rFonts w:ascii="Times New Roman" w:hAnsi="Times New Roman"/>
          <w:sz w:val="24"/>
          <w:szCs w:val="24"/>
          <w:lang w:eastAsia="en-NZ"/>
        </w:rPr>
        <w:t>Date Line</w:t>
      </w:r>
      <w:r w:rsidR="00137364">
        <w:rPr>
          <w:rFonts w:ascii="Times New Roman" w:hAnsi="Times New Roman"/>
          <w:sz w:val="24"/>
          <w:szCs w:val="24"/>
          <w:lang w:eastAsia="en-NZ"/>
        </w:rPr>
        <w:t xml:space="preserve">. </w:t>
      </w:r>
    </w:p>
    <w:p w14:paraId="1AFC45AE" w14:textId="708B478F" w:rsidR="00137364" w:rsidRDefault="00137364">
      <w:pPr>
        <w:spacing w:before="280" w:after="280" w:line="240" w:lineRule="auto"/>
        <w:jc w:val="both"/>
        <w:rPr>
          <w:rFonts w:ascii="Times New Roman" w:hAnsi="Times New Roman"/>
          <w:sz w:val="24"/>
          <w:szCs w:val="24"/>
          <w:lang w:eastAsia="en-NZ"/>
        </w:rPr>
      </w:pPr>
      <w:r>
        <w:rPr>
          <w:rFonts w:ascii="Times New Roman" w:hAnsi="Times New Roman"/>
          <w:sz w:val="24"/>
          <w:szCs w:val="24"/>
          <w:lang w:eastAsia="en-NZ"/>
        </w:rPr>
        <w:t xml:space="preserve">A split of the analog </w:t>
      </w:r>
      <w:r w:rsidR="008861DC">
        <w:rPr>
          <w:rFonts w:ascii="Times New Roman" w:hAnsi="Times New Roman"/>
          <w:sz w:val="24"/>
          <w:szCs w:val="24"/>
          <w:lang w:eastAsia="en-NZ"/>
        </w:rPr>
        <w:t>TC</w:t>
      </w:r>
      <w:r>
        <w:rPr>
          <w:rFonts w:ascii="Times New Roman" w:hAnsi="Times New Roman"/>
          <w:sz w:val="24"/>
          <w:szCs w:val="24"/>
          <w:lang w:eastAsia="en-NZ"/>
        </w:rPr>
        <w:t xml:space="preserve"> seasons into early (November – January) and late (February – April) periods suggests TC activity will </w:t>
      </w:r>
      <w:r w:rsidR="00562244">
        <w:rPr>
          <w:rFonts w:ascii="Times New Roman" w:hAnsi="Times New Roman"/>
          <w:sz w:val="24"/>
          <w:szCs w:val="24"/>
          <w:lang w:eastAsia="en-NZ"/>
        </w:rPr>
        <w:t>increase</w:t>
      </w:r>
      <w:r>
        <w:rPr>
          <w:rFonts w:ascii="Times New Roman" w:hAnsi="Times New Roman"/>
          <w:sz w:val="24"/>
          <w:szCs w:val="24"/>
          <w:lang w:eastAsia="en-NZ"/>
        </w:rPr>
        <w:t xml:space="preserve"> during the latter half of the </w:t>
      </w:r>
      <w:r w:rsidR="00562244">
        <w:rPr>
          <w:rFonts w:ascii="Times New Roman" w:hAnsi="Times New Roman"/>
          <w:sz w:val="24"/>
          <w:szCs w:val="24"/>
          <w:lang w:eastAsia="en-NZ"/>
        </w:rPr>
        <w:t>TC season</w:t>
      </w:r>
      <w:r w:rsidR="005675CD">
        <w:rPr>
          <w:rFonts w:ascii="Times New Roman" w:hAnsi="Times New Roman"/>
          <w:sz w:val="24"/>
          <w:szCs w:val="24"/>
          <w:lang w:eastAsia="en-NZ"/>
        </w:rPr>
        <w:t xml:space="preserve"> (Figure 3)</w:t>
      </w:r>
      <w:r w:rsidR="00562244">
        <w:rPr>
          <w:rFonts w:ascii="Times New Roman" w:hAnsi="Times New Roman"/>
          <w:sz w:val="24"/>
          <w:szCs w:val="24"/>
          <w:lang w:eastAsia="en-NZ"/>
        </w:rPr>
        <w:t xml:space="preserve">. A </w:t>
      </w:r>
      <w:r>
        <w:rPr>
          <w:rFonts w:ascii="Times New Roman" w:hAnsi="Times New Roman"/>
          <w:sz w:val="24"/>
          <w:szCs w:val="24"/>
          <w:lang w:eastAsia="en-NZ"/>
        </w:rPr>
        <w:t xml:space="preserve">change in the foci of </w:t>
      </w:r>
      <w:r w:rsidR="00562244">
        <w:rPr>
          <w:rFonts w:ascii="Times New Roman" w:hAnsi="Times New Roman"/>
          <w:sz w:val="24"/>
          <w:szCs w:val="24"/>
          <w:lang w:eastAsia="en-NZ"/>
        </w:rPr>
        <w:t xml:space="preserve">TC </w:t>
      </w:r>
      <w:r>
        <w:rPr>
          <w:rFonts w:ascii="Times New Roman" w:hAnsi="Times New Roman"/>
          <w:sz w:val="24"/>
          <w:szCs w:val="24"/>
          <w:lang w:eastAsia="en-NZ"/>
        </w:rPr>
        <w:t xml:space="preserve">activity </w:t>
      </w:r>
      <w:r w:rsidR="00562244">
        <w:rPr>
          <w:rFonts w:ascii="Times New Roman" w:hAnsi="Times New Roman"/>
          <w:sz w:val="24"/>
          <w:szCs w:val="24"/>
          <w:lang w:eastAsia="en-NZ"/>
        </w:rPr>
        <w:t xml:space="preserve">is also </w:t>
      </w:r>
      <w:r w:rsidR="00724D6A">
        <w:rPr>
          <w:rFonts w:ascii="Times New Roman" w:hAnsi="Times New Roman"/>
          <w:sz w:val="24"/>
          <w:szCs w:val="24"/>
          <w:lang w:eastAsia="en-NZ"/>
        </w:rPr>
        <w:t xml:space="preserve">apparent </w:t>
      </w:r>
      <w:r>
        <w:rPr>
          <w:rFonts w:ascii="Times New Roman" w:hAnsi="Times New Roman"/>
          <w:sz w:val="24"/>
          <w:szCs w:val="24"/>
          <w:lang w:eastAsia="en-NZ"/>
        </w:rPr>
        <w:t xml:space="preserve">as the season progresses (particularly for islands identified near and to the </w:t>
      </w:r>
      <w:r w:rsidR="00562244">
        <w:rPr>
          <w:rFonts w:ascii="Times New Roman" w:hAnsi="Times New Roman"/>
          <w:sz w:val="24"/>
          <w:szCs w:val="24"/>
          <w:lang w:eastAsia="en-NZ"/>
        </w:rPr>
        <w:t>east</w:t>
      </w:r>
      <w:r>
        <w:rPr>
          <w:rFonts w:ascii="Times New Roman" w:hAnsi="Times New Roman"/>
          <w:sz w:val="24"/>
          <w:szCs w:val="24"/>
          <w:lang w:eastAsia="en-NZ"/>
        </w:rPr>
        <w:t xml:space="preserve"> of the </w:t>
      </w:r>
      <w:r w:rsidR="00A14D08">
        <w:rPr>
          <w:rFonts w:ascii="Times New Roman" w:hAnsi="Times New Roman"/>
          <w:sz w:val="24"/>
          <w:szCs w:val="24"/>
          <w:lang w:eastAsia="en-NZ"/>
        </w:rPr>
        <w:t>Date Line</w:t>
      </w:r>
      <w:r>
        <w:rPr>
          <w:rFonts w:ascii="Times New Roman" w:hAnsi="Times New Roman"/>
          <w:sz w:val="24"/>
          <w:szCs w:val="24"/>
          <w:lang w:eastAsia="en-NZ"/>
        </w:rPr>
        <w:t xml:space="preserve">). </w:t>
      </w:r>
      <w:r w:rsidR="00562244">
        <w:rPr>
          <w:rFonts w:ascii="Times New Roman" w:hAnsi="Times New Roman"/>
          <w:sz w:val="24"/>
          <w:szCs w:val="24"/>
          <w:lang w:eastAsia="en-NZ"/>
        </w:rPr>
        <w:t xml:space="preserve">Activity northeast of Fiji is expected to pick up as the season progresses. Fiji, </w:t>
      </w:r>
      <w:r w:rsidR="009A060C">
        <w:rPr>
          <w:rFonts w:ascii="Times New Roman" w:hAnsi="Times New Roman"/>
          <w:sz w:val="24"/>
          <w:szCs w:val="24"/>
          <w:lang w:eastAsia="en-NZ"/>
        </w:rPr>
        <w:t xml:space="preserve">Vanuatu, New Caledonia, </w:t>
      </w:r>
      <w:r>
        <w:rPr>
          <w:rFonts w:ascii="Times New Roman" w:hAnsi="Times New Roman"/>
          <w:sz w:val="24"/>
          <w:szCs w:val="24"/>
          <w:lang w:eastAsia="en-NZ"/>
        </w:rPr>
        <w:t>Tonga</w:t>
      </w:r>
      <w:r w:rsidR="00562244">
        <w:rPr>
          <w:rFonts w:ascii="Times New Roman" w:hAnsi="Times New Roman"/>
          <w:sz w:val="24"/>
          <w:szCs w:val="24"/>
          <w:lang w:eastAsia="en-NZ"/>
        </w:rPr>
        <w:t>,</w:t>
      </w:r>
      <w:r>
        <w:rPr>
          <w:rFonts w:ascii="Times New Roman" w:hAnsi="Times New Roman"/>
          <w:sz w:val="24"/>
          <w:szCs w:val="24"/>
          <w:lang w:eastAsia="en-NZ"/>
        </w:rPr>
        <w:t xml:space="preserve"> Niue </w:t>
      </w:r>
      <w:r w:rsidR="00562244">
        <w:rPr>
          <w:rFonts w:ascii="Times New Roman" w:hAnsi="Times New Roman"/>
          <w:sz w:val="24"/>
          <w:szCs w:val="24"/>
          <w:lang w:eastAsia="en-NZ"/>
        </w:rPr>
        <w:t xml:space="preserve">and New Zealand </w:t>
      </w:r>
      <w:r>
        <w:rPr>
          <w:rFonts w:ascii="Times New Roman" w:hAnsi="Times New Roman"/>
          <w:sz w:val="24"/>
          <w:szCs w:val="24"/>
          <w:lang w:eastAsia="en-NZ"/>
        </w:rPr>
        <w:t xml:space="preserve">are also expected to experience increased risk as the </w:t>
      </w:r>
      <w:r w:rsidR="00562244">
        <w:rPr>
          <w:rFonts w:ascii="Times New Roman" w:hAnsi="Times New Roman"/>
          <w:sz w:val="24"/>
          <w:szCs w:val="24"/>
          <w:lang w:eastAsia="en-NZ"/>
        </w:rPr>
        <w:t xml:space="preserve">TC </w:t>
      </w:r>
      <w:r>
        <w:rPr>
          <w:rFonts w:ascii="Times New Roman" w:hAnsi="Times New Roman"/>
          <w:sz w:val="24"/>
          <w:szCs w:val="24"/>
          <w:lang w:eastAsia="en-NZ"/>
        </w:rPr>
        <w:t>season progresses.</w:t>
      </w:r>
      <w:r w:rsidR="0016456E">
        <w:rPr>
          <w:rFonts w:ascii="Times New Roman" w:hAnsi="Times New Roman"/>
          <w:sz w:val="24"/>
          <w:szCs w:val="24"/>
          <w:lang w:eastAsia="en-NZ"/>
        </w:rPr>
        <w:t xml:space="preserve"> </w:t>
      </w:r>
    </w:p>
    <w:p w14:paraId="5B09E177" w14:textId="3C5542D9" w:rsidR="00137364" w:rsidRDefault="00137364">
      <w:pPr>
        <w:spacing w:before="280" w:after="280" w:line="240" w:lineRule="auto"/>
        <w:jc w:val="both"/>
        <w:rPr>
          <w:rFonts w:ascii="Times New Roman" w:hAnsi="Times New Roman"/>
          <w:sz w:val="24"/>
          <w:szCs w:val="24"/>
          <w:lang w:eastAsia="en-NZ"/>
        </w:rPr>
      </w:pPr>
      <w:r>
        <w:rPr>
          <w:rFonts w:ascii="Times New Roman" w:hAnsi="Times New Roman"/>
          <w:sz w:val="24"/>
          <w:szCs w:val="24"/>
          <w:lang w:eastAsia="en-NZ"/>
        </w:rPr>
        <w:t xml:space="preserve">TC intensity is related to how long developing </w:t>
      </w:r>
      <w:r w:rsidR="0093311D">
        <w:rPr>
          <w:rFonts w:ascii="Times New Roman" w:hAnsi="Times New Roman"/>
          <w:sz w:val="24"/>
          <w:szCs w:val="24"/>
          <w:lang w:eastAsia="en-NZ"/>
        </w:rPr>
        <w:t xml:space="preserve">cyclonic </w:t>
      </w:r>
      <w:r>
        <w:rPr>
          <w:rFonts w:ascii="Times New Roman" w:hAnsi="Times New Roman"/>
          <w:sz w:val="24"/>
          <w:szCs w:val="24"/>
          <w:lang w:eastAsia="en-NZ"/>
        </w:rPr>
        <w:t>systems reside in the deep tropics and feed on w</w:t>
      </w:r>
      <w:r w:rsidR="00562244">
        <w:rPr>
          <w:rFonts w:ascii="Times New Roman" w:hAnsi="Times New Roman"/>
          <w:sz w:val="24"/>
          <w:szCs w:val="24"/>
          <w:lang w:eastAsia="en-NZ"/>
        </w:rPr>
        <w:t>arm waters for their growth. In addition,</w:t>
      </w:r>
      <w:r>
        <w:rPr>
          <w:rFonts w:ascii="Times New Roman" w:hAnsi="Times New Roman"/>
          <w:sz w:val="24"/>
          <w:szCs w:val="24"/>
          <w:lang w:eastAsia="en-NZ"/>
        </w:rPr>
        <w:t xml:space="preserve"> the subtropical jet and S</w:t>
      </w:r>
      <w:r w:rsidR="00562244">
        <w:rPr>
          <w:rFonts w:ascii="Times New Roman" w:hAnsi="Times New Roman"/>
          <w:sz w:val="24"/>
          <w:szCs w:val="24"/>
          <w:lang w:eastAsia="en-NZ"/>
        </w:rPr>
        <w:t xml:space="preserve">outh </w:t>
      </w:r>
      <w:r>
        <w:rPr>
          <w:rFonts w:ascii="Times New Roman" w:hAnsi="Times New Roman"/>
          <w:sz w:val="24"/>
          <w:szCs w:val="24"/>
          <w:lang w:eastAsia="en-NZ"/>
        </w:rPr>
        <w:t>P</w:t>
      </w:r>
      <w:r w:rsidR="00562244">
        <w:rPr>
          <w:rFonts w:ascii="Times New Roman" w:hAnsi="Times New Roman"/>
          <w:sz w:val="24"/>
          <w:szCs w:val="24"/>
          <w:lang w:eastAsia="en-NZ"/>
        </w:rPr>
        <w:t xml:space="preserve">acific </w:t>
      </w:r>
      <w:r>
        <w:rPr>
          <w:rFonts w:ascii="Times New Roman" w:hAnsi="Times New Roman"/>
          <w:sz w:val="24"/>
          <w:szCs w:val="24"/>
          <w:lang w:eastAsia="en-NZ"/>
        </w:rPr>
        <w:t>C</w:t>
      </w:r>
      <w:r w:rsidR="00562244">
        <w:rPr>
          <w:rFonts w:ascii="Times New Roman" w:hAnsi="Times New Roman"/>
          <w:sz w:val="24"/>
          <w:szCs w:val="24"/>
          <w:lang w:eastAsia="en-NZ"/>
        </w:rPr>
        <w:t xml:space="preserve">onvergence </w:t>
      </w:r>
      <w:r>
        <w:rPr>
          <w:rFonts w:ascii="Times New Roman" w:hAnsi="Times New Roman"/>
          <w:sz w:val="24"/>
          <w:szCs w:val="24"/>
          <w:lang w:eastAsia="en-NZ"/>
        </w:rPr>
        <w:t>Z</w:t>
      </w:r>
      <w:r w:rsidR="00562244">
        <w:rPr>
          <w:rFonts w:ascii="Times New Roman" w:hAnsi="Times New Roman"/>
          <w:sz w:val="24"/>
          <w:szCs w:val="24"/>
          <w:lang w:eastAsia="en-NZ"/>
        </w:rPr>
        <w:t>one (SPCZ)</w:t>
      </w:r>
      <w:r>
        <w:rPr>
          <w:rFonts w:ascii="Times New Roman" w:hAnsi="Times New Roman"/>
          <w:sz w:val="24"/>
          <w:szCs w:val="24"/>
          <w:lang w:eastAsia="en-NZ"/>
        </w:rPr>
        <w:t xml:space="preserve"> mutually interact and contribute to shear during ex</w:t>
      </w:r>
      <w:r w:rsidR="003C0CB6">
        <w:rPr>
          <w:rFonts w:ascii="Times New Roman" w:hAnsi="Times New Roman"/>
          <w:sz w:val="24"/>
          <w:szCs w:val="24"/>
          <w:lang w:eastAsia="en-NZ"/>
        </w:rPr>
        <w:t>tra</w:t>
      </w:r>
      <w:r>
        <w:rPr>
          <w:rFonts w:ascii="Times New Roman" w:hAnsi="Times New Roman"/>
          <w:sz w:val="24"/>
          <w:szCs w:val="24"/>
          <w:lang w:eastAsia="en-NZ"/>
        </w:rPr>
        <w:t xml:space="preserve">-tropical transition. It should also be noted that the interplay of </w:t>
      </w:r>
      <w:r w:rsidR="00186CA5">
        <w:rPr>
          <w:rFonts w:ascii="Times New Roman" w:hAnsi="Times New Roman"/>
          <w:sz w:val="24"/>
          <w:szCs w:val="24"/>
          <w:lang w:eastAsia="en-NZ"/>
        </w:rPr>
        <w:t>a</w:t>
      </w:r>
      <w:r>
        <w:rPr>
          <w:rFonts w:ascii="Times New Roman" w:hAnsi="Times New Roman"/>
          <w:sz w:val="24"/>
          <w:szCs w:val="24"/>
          <w:lang w:eastAsia="en-NZ"/>
        </w:rPr>
        <w:t xml:space="preserve"> hemispheric-scale atmospheric circulation with the timing of </w:t>
      </w:r>
      <w:r w:rsidR="003C0CB6">
        <w:rPr>
          <w:rFonts w:ascii="Times New Roman" w:hAnsi="Times New Roman"/>
          <w:sz w:val="24"/>
          <w:szCs w:val="24"/>
          <w:lang w:eastAsia="en-NZ"/>
        </w:rPr>
        <w:t>the</w:t>
      </w:r>
      <w:r>
        <w:rPr>
          <w:rFonts w:ascii="Times New Roman" w:hAnsi="Times New Roman"/>
          <w:sz w:val="24"/>
          <w:szCs w:val="24"/>
          <w:lang w:eastAsia="en-NZ"/>
        </w:rPr>
        <w:t xml:space="preserve"> </w:t>
      </w:r>
      <w:r w:rsidR="003C0CB6">
        <w:rPr>
          <w:rFonts w:ascii="Times New Roman" w:hAnsi="Times New Roman"/>
          <w:sz w:val="24"/>
          <w:szCs w:val="24"/>
          <w:lang w:eastAsia="en-NZ"/>
        </w:rPr>
        <w:t xml:space="preserve">short-term </w:t>
      </w:r>
      <w:r>
        <w:rPr>
          <w:rFonts w:ascii="Times New Roman" w:hAnsi="Times New Roman"/>
          <w:sz w:val="24"/>
          <w:szCs w:val="24"/>
          <w:lang w:eastAsia="en-NZ"/>
        </w:rPr>
        <w:t xml:space="preserve">Madden-Julian Oscillation </w:t>
      </w:r>
      <w:r w:rsidR="00562244">
        <w:rPr>
          <w:rFonts w:ascii="Times New Roman" w:hAnsi="Times New Roman"/>
          <w:sz w:val="24"/>
          <w:szCs w:val="24"/>
          <w:lang w:eastAsia="en-NZ"/>
        </w:rPr>
        <w:t xml:space="preserve">(MJO) </w:t>
      </w:r>
      <w:r>
        <w:rPr>
          <w:rFonts w:ascii="Times New Roman" w:hAnsi="Times New Roman"/>
          <w:sz w:val="24"/>
          <w:szCs w:val="24"/>
          <w:lang w:eastAsia="en-NZ"/>
        </w:rPr>
        <w:t xml:space="preserve">passage </w:t>
      </w:r>
      <w:r w:rsidR="003C0CB6">
        <w:rPr>
          <w:rFonts w:ascii="Times New Roman" w:hAnsi="Times New Roman"/>
          <w:sz w:val="24"/>
          <w:szCs w:val="24"/>
          <w:lang w:eastAsia="en-NZ"/>
        </w:rPr>
        <w:t xml:space="preserve">(typically on a 30-50 day cycle) </w:t>
      </w:r>
      <w:r>
        <w:rPr>
          <w:rFonts w:ascii="Times New Roman" w:hAnsi="Times New Roman"/>
          <w:sz w:val="24"/>
          <w:szCs w:val="24"/>
          <w:lang w:eastAsia="en-NZ"/>
        </w:rPr>
        <w:t xml:space="preserve">can also </w:t>
      </w:r>
      <w:r w:rsidR="00186CA5">
        <w:rPr>
          <w:rFonts w:ascii="Times New Roman" w:hAnsi="Times New Roman"/>
          <w:sz w:val="24"/>
          <w:szCs w:val="24"/>
          <w:lang w:eastAsia="en-NZ"/>
        </w:rPr>
        <w:t xml:space="preserve">have </w:t>
      </w:r>
      <w:r>
        <w:rPr>
          <w:rFonts w:ascii="Times New Roman" w:hAnsi="Times New Roman"/>
          <w:sz w:val="24"/>
          <w:szCs w:val="24"/>
          <w:lang w:eastAsia="en-NZ"/>
        </w:rPr>
        <w:t>significant</w:t>
      </w:r>
      <w:r w:rsidR="00186CA5">
        <w:rPr>
          <w:rFonts w:ascii="Times New Roman" w:hAnsi="Times New Roman"/>
          <w:sz w:val="24"/>
          <w:szCs w:val="24"/>
          <w:lang w:eastAsia="en-NZ"/>
        </w:rPr>
        <w:t xml:space="preserve"> bearing on</w:t>
      </w:r>
      <w:r>
        <w:rPr>
          <w:rFonts w:ascii="Times New Roman" w:hAnsi="Times New Roman"/>
          <w:sz w:val="24"/>
          <w:szCs w:val="24"/>
          <w:lang w:eastAsia="en-NZ"/>
        </w:rPr>
        <w:t xml:space="preserve"> TC activity in the region</w:t>
      </w:r>
      <w:r w:rsidR="003C0CB6">
        <w:rPr>
          <w:rFonts w:ascii="Times New Roman" w:hAnsi="Times New Roman"/>
          <w:sz w:val="24"/>
          <w:szCs w:val="24"/>
          <w:lang w:eastAsia="en-NZ"/>
        </w:rPr>
        <w:t>; greater and more intense TC activity</w:t>
      </w:r>
      <w:r w:rsidR="00EA0FAB">
        <w:rPr>
          <w:rFonts w:ascii="Times New Roman" w:hAnsi="Times New Roman"/>
          <w:sz w:val="24"/>
          <w:szCs w:val="24"/>
          <w:lang w:eastAsia="en-NZ"/>
        </w:rPr>
        <w:t xml:space="preserve"> can be</w:t>
      </w:r>
      <w:r w:rsidR="003C0CB6">
        <w:rPr>
          <w:rFonts w:ascii="Times New Roman" w:hAnsi="Times New Roman"/>
          <w:sz w:val="24"/>
          <w:szCs w:val="24"/>
          <w:lang w:eastAsia="en-NZ"/>
        </w:rPr>
        <w:t xml:space="preserve"> expected during the MJO 6-7 paired phase </w:t>
      </w:r>
      <w:r w:rsidR="003C0CB6" w:rsidRPr="003C0CB6">
        <w:rPr>
          <w:rFonts w:ascii="Times New Roman" w:hAnsi="Times New Roman"/>
          <w:sz w:val="24"/>
          <w:szCs w:val="24"/>
          <w:lang w:eastAsia="en-NZ"/>
        </w:rPr>
        <w:t>(Diamond and Renwick, 2014)</w:t>
      </w:r>
      <w:r>
        <w:rPr>
          <w:rFonts w:ascii="Times New Roman" w:hAnsi="Times New Roman"/>
          <w:sz w:val="24"/>
          <w:szCs w:val="24"/>
          <w:lang w:eastAsia="en-NZ"/>
        </w:rPr>
        <w:t>.</w:t>
      </w:r>
      <w:r w:rsidR="003C0CB6">
        <w:rPr>
          <w:rFonts w:ascii="Times New Roman" w:hAnsi="Times New Roman"/>
          <w:sz w:val="24"/>
          <w:szCs w:val="24"/>
          <w:lang w:eastAsia="en-NZ"/>
        </w:rPr>
        <w:t xml:space="preserve">  Real-time monitoring of the MJO is available from the Australian Bureau of Meteorology at </w:t>
      </w:r>
      <w:r w:rsidR="003C0CB6" w:rsidRPr="003C0CB6">
        <w:rPr>
          <w:rFonts w:ascii="Times New Roman" w:hAnsi="Times New Roman"/>
          <w:sz w:val="24"/>
          <w:szCs w:val="24"/>
          <w:lang w:eastAsia="en-NZ"/>
        </w:rPr>
        <w:t>http://www.bom.gov.au/climate/mjo/</w:t>
      </w:r>
      <w:r w:rsidR="003C0CB6">
        <w:rPr>
          <w:rFonts w:ascii="Times New Roman" w:hAnsi="Times New Roman"/>
          <w:sz w:val="24"/>
          <w:szCs w:val="24"/>
          <w:lang w:eastAsia="en-NZ"/>
        </w:rPr>
        <w:t>.</w:t>
      </w:r>
    </w:p>
    <w:p w14:paraId="782A3A04" w14:textId="68C50844" w:rsidR="00A43488" w:rsidRDefault="00A43488" w:rsidP="00A43488">
      <w:pPr>
        <w:pStyle w:val="NormalWeb"/>
        <w:jc w:val="both"/>
        <w:rPr>
          <w:b/>
          <w:color w:val="000000"/>
        </w:rPr>
      </w:pPr>
      <w:r>
        <w:rPr>
          <w:color w:val="000000"/>
        </w:rPr>
        <w:t xml:space="preserve">Previous work (Lorrey et al., 2013) indicates New Zealand </w:t>
      </w:r>
      <w:r w:rsidR="006C6ABE">
        <w:rPr>
          <w:color w:val="000000"/>
        </w:rPr>
        <w:t xml:space="preserve">interacts with </w:t>
      </w:r>
      <w:r>
        <w:rPr>
          <w:color w:val="000000"/>
        </w:rPr>
        <w:t>at least one ex</w:t>
      </w:r>
      <w:r w:rsidR="008861DC">
        <w:rPr>
          <w:color w:val="000000"/>
        </w:rPr>
        <w:t>-</w:t>
      </w:r>
      <w:r>
        <w:rPr>
          <w:color w:val="000000"/>
        </w:rPr>
        <w:t>tropical cyclone passing within 550km of the country every year. For the coming TC season, the risk for New Zealand is slightly elevated. If an ex-tropical cyclone</w:t>
      </w:r>
      <w:r w:rsidR="008861DC">
        <w:rPr>
          <w:color w:val="000000"/>
        </w:rPr>
        <w:t>TC</w:t>
      </w:r>
      <w:r>
        <w:rPr>
          <w:color w:val="000000"/>
        </w:rPr>
        <w:t xml:space="preserve"> comes close to the country, it has a higher probability of passing east </w:t>
      </w:r>
      <w:r w:rsidR="00724D6A">
        <w:rPr>
          <w:color w:val="000000"/>
        </w:rPr>
        <w:t xml:space="preserve">rather than west </w:t>
      </w:r>
      <w:r>
        <w:rPr>
          <w:color w:val="000000"/>
        </w:rPr>
        <w:t>of Auckland city.</w:t>
      </w:r>
    </w:p>
    <w:p w14:paraId="251B6BBC" w14:textId="2C4C117E" w:rsidR="00137364" w:rsidRDefault="00342F91">
      <w:pPr>
        <w:spacing w:before="280" w:after="280" w:line="240" w:lineRule="auto"/>
        <w:jc w:val="both"/>
        <w:rPr>
          <w:rFonts w:ascii="Times New Roman" w:hAnsi="Times New Roman"/>
          <w:b/>
          <w:bCs/>
          <w:sz w:val="24"/>
          <w:szCs w:val="24"/>
          <w:lang w:eastAsia="en-NZ"/>
        </w:rPr>
      </w:pPr>
      <w:r>
        <w:rPr>
          <w:rFonts w:ascii="Times New Roman" w:hAnsi="Times New Roman"/>
          <w:b/>
          <w:bCs/>
          <w:sz w:val="24"/>
          <w:szCs w:val="24"/>
          <w:lang w:eastAsia="en-NZ"/>
        </w:rPr>
        <w:br w:type="column"/>
      </w:r>
      <w:r w:rsidR="00137364">
        <w:rPr>
          <w:rFonts w:ascii="Times New Roman" w:hAnsi="Times New Roman"/>
          <w:b/>
          <w:bCs/>
          <w:sz w:val="24"/>
          <w:szCs w:val="24"/>
          <w:lang w:eastAsia="en-NZ"/>
        </w:rPr>
        <w:lastRenderedPageBreak/>
        <w:t>References</w:t>
      </w:r>
    </w:p>
    <w:p w14:paraId="284FD0FB" w14:textId="578133DD" w:rsidR="00216D9E" w:rsidRPr="00216D9E" w:rsidRDefault="00216D9E" w:rsidP="00216D9E">
      <w:pPr>
        <w:spacing w:before="280" w:after="280" w:line="240" w:lineRule="auto"/>
        <w:jc w:val="both"/>
        <w:rPr>
          <w:rFonts w:ascii="Times New Roman" w:hAnsi="Times New Roman"/>
          <w:bCs/>
          <w:sz w:val="24"/>
          <w:szCs w:val="24"/>
          <w:lang w:val="en-US" w:eastAsia="en-NZ"/>
        </w:rPr>
      </w:pPr>
      <w:proofErr w:type="spellStart"/>
      <w:r w:rsidRPr="00216D9E">
        <w:rPr>
          <w:rFonts w:ascii="Times New Roman" w:hAnsi="Times New Roman"/>
          <w:bCs/>
          <w:sz w:val="24"/>
          <w:szCs w:val="24"/>
          <w:lang w:val="en-US" w:eastAsia="en-NZ"/>
        </w:rPr>
        <w:t>Gergis</w:t>
      </w:r>
      <w:proofErr w:type="spellEnd"/>
      <w:r w:rsidRPr="00216D9E">
        <w:rPr>
          <w:rFonts w:ascii="Times New Roman" w:hAnsi="Times New Roman"/>
          <w:bCs/>
          <w:sz w:val="24"/>
          <w:szCs w:val="24"/>
          <w:lang w:val="en-US" w:eastAsia="en-NZ"/>
        </w:rPr>
        <w:t xml:space="preserve">, J., and A. M. Fowler, 2005: Classification of synchronous </w:t>
      </w:r>
      <w:r w:rsidR="00EF3D55">
        <w:rPr>
          <w:rFonts w:ascii="Times New Roman" w:hAnsi="Times New Roman"/>
          <w:bCs/>
          <w:sz w:val="24"/>
          <w:szCs w:val="24"/>
          <w:lang w:val="en-US" w:eastAsia="en-NZ"/>
        </w:rPr>
        <w:t>oceanic and atmospheric El Ni</w:t>
      </w:r>
      <w:r w:rsidR="00EF3D55" w:rsidRPr="00EF3D55">
        <w:rPr>
          <w:rFonts w:ascii="Times New Roman" w:hAnsi="Times New Roman"/>
          <w:bCs/>
          <w:sz w:val="24"/>
          <w:szCs w:val="24"/>
          <w:lang w:val="en-US" w:eastAsia="en-NZ"/>
        </w:rPr>
        <w:t>ñ</w:t>
      </w:r>
      <w:r w:rsidRPr="00216D9E">
        <w:rPr>
          <w:rFonts w:ascii="Times New Roman" w:hAnsi="Times New Roman"/>
          <w:bCs/>
          <w:sz w:val="24"/>
          <w:szCs w:val="24"/>
          <w:lang w:val="en-US" w:eastAsia="en-NZ"/>
        </w:rPr>
        <w:t xml:space="preserve">o–Southern Oscillation (ENSO) events for </w:t>
      </w:r>
      <w:proofErr w:type="spellStart"/>
      <w:r w:rsidRPr="00216D9E">
        <w:rPr>
          <w:rFonts w:ascii="Times New Roman" w:hAnsi="Times New Roman"/>
          <w:bCs/>
          <w:sz w:val="24"/>
          <w:szCs w:val="24"/>
          <w:lang w:val="en-US" w:eastAsia="en-NZ"/>
        </w:rPr>
        <w:t>palaeoclimate</w:t>
      </w:r>
      <w:proofErr w:type="spellEnd"/>
      <w:r w:rsidRPr="00216D9E">
        <w:rPr>
          <w:rFonts w:ascii="Times New Roman" w:hAnsi="Times New Roman"/>
          <w:bCs/>
          <w:sz w:val="24"/>
          <w:szCs w:val="24"/>
          <w:lang w:val="en-US" w:eastAsia="en-NZ"/>
        </w:rPr>
        <w:t xml:space="preserve"> reconstruction. </w:t>
      </w:r>
      <w:r w:rsidRPr="00216D9E">
        <w:rPr>
          <w:rFonts w:ascii="Times New Roman" w:hAnsi="Times New Roman"/>
          <w:bCs/>
          <w:i/>
          <w:sz w:val="24"/>
          <w:szCs w:val="24"/>
          <w:lang w:val="en-US" w:eastAsia="en-NZ"/>
        </w:rPr>
        <w:t>International Journal of Climatology</w:t>
      </w:r>
      <w:r w:rsidRPr="00216D9E">
        <w:rPr>
          <w:rFonts w:ascii="Times New Roman" w:hAnsi="Times New Roman"/>
          <w:bCs/>
          <w:sz w:val="24"/>
          <w:szCs w:val="24"/>
          <w:lang w:val="en-US" w:eastAsia="en-NZ"/>
        </w:rPr>
        <w:t>, 25, 1541–1565.</w:t>
      </w:r>
    </w:p>
    <w:p w14:paraId="57F68B6E" w14:textId="2CBF966E" w:rsidR="00216D9E" w:rsidRPr="00216D9E" w:rsidRDefault="00216D9E" w:rsidP="00216D9E">
      <w:pPr>
        <w:suppressAutoHyphens w:val="0"/>
        <w:spacing w:after="0" w:line="240" w:lineRule="auto"/>
        <w:rPr>
          <w:rFonts w:ascii="Times New Roman" w:eastAsia="Calibri" w:hAnsi="Times New Roman"/>
          <w:sz w:val="24"/>
          <w:szCs w:val="24"/>
          <w:lang w:val="en-US" w:eastAsia="en-US"/>
        </w:rPr>
      </w:pPr>
      <w:r w:rsidRPr="00216D9E">
        <w:rPr>
          <w:rFonts w:ascii="Times New Roman" w:eastAsia="Calibri" w:hAnsi="Times New Roman"/>
          <w:sz w:val="24"/>
          <w:szCs w:val="24"/>
          <w:lang w:val="en-US" w:eastAsia="en-US"/>
        </w:rPr>
        <w:t xml:space="preserve">Diamond, H.J., and J.A. Renwick, 2014: The Climatological Relationship between Tropical Cyclones and the Madden-Julian Oscillation in the Southwest Pacific. </w:t>
      </w:r>
      <w:r w:rsidRPr="00216D9E">
        <w:rPr>
          <w:rFonts w:ascii="Times New Roman" w:eastAsia="Calibri" w:hAnsi="Times New Roman"/>
          <w:i/>
          <w:sz w:val="24"/>
          <w:szCs w:val="24"/>
          <w:lang w:val="en-US" w:eastAsia="en-US"/>
        </w:rPr>
        <w:t>International Journal of Climatology,</w:t>
      </w:r>
      <w:r w:rsidRPr="00216D9E">
        <w:rPr>
          <w:rFonts w:ascii="Times New Roman" w:eastAsia="Calibri" w:hAnsi="Times New Roman"/>
          <w:sz w:val="24"/>
          <w:szCs w:val="24"/>
          <w:lang w:val="en-US" w:eastAsia="en-US"/>
        </w:rPr>
        <w:t xml:space="preserve"> </w:t>
      </w:r>
      <w:proofErr w:type="spellStart"/>
      <w:r w:rsidRPr="00216D9E">
        <w:rPr>
          <w:rFonts w:ascii="Times New Roman" w:eastAsia="Calibri" w:hAnsi="Times New Roman"/>
          <w:sz w:val="24"/>
          <w:szCs w:val="24"/>
          <w:lang w:val="en-US" w:eastAsia="en-US"/>
        </w:rPr>
        <w:t>doi</w:t>
      </w:r>
      <w:proofErr w:type="spellEnd"/>
      <w:r w:rsidRPr="00216D9E">
        <w:rPr>
          <w:rFonts w:ascii="Times New Roman" w:eastAsia="Calibri" w:hAnsi="Times New Roman"/>
          <w:sz w:val="24"/>
          <w:szCs w:val="24"/>
          <w:lang w:val="en-US" w:eastAsia="en-US"/>
        </w:rPr>
        <w:t>: 10.1002/joc.4012.</w:t>
      </w:r>
    </w:p>
    <w:p w14:paraId="2D21267B" w14:textId="77777777" w:rsidR="00216D9E" w:rsidRDefault="00216D9E" w:rsidP="00216D9E">
      <w:pPr>
        <w:suppressAutoHyphens w:val="0"/>
        <w:spacing w:after="0" w:line="240" w:lineRule="auto"/>
        <w:rPr>
          <w:rFonts w:ascii="Times New Roman" w:eastAsia="Calibri" w:hAnsi="Times New Roman"/>
          <w:sz w:val="24"/>
          <w:szCs w:val="24"/>
          <w:lang w:val="en-US" w:eastAsia="en-US"/>
        </w:rPr>
      </w:pPr>
    </w:p>
    <w:p w14:paraId="2462980A" w14:textId="49CBD768" w:rsidR="00216D9E" w:rsidRPr="00216D9E" w:rsidRDefault="00216D9E" w:rsidP="00216D9E">
      <w:pPr>
        <w:suppressAutoHyphens w:val="0"/>
        <w:spacing w:after="0" w:line="240" w:lineRule="auto"/>
        <w:rPr>
          <w:rFonts w:ascii="Times New Roman" w:eastAsia="Calibri" w:hAnsi="Times New Roman"/>
          <w:sz w:val="24"/>
          <w:szCs w:val="24"/>
          <w:lang w:val="en-US" w:eastAsia="en-US"/>
        </w:rPr>
      </w:pPr>
      <w:proofErr w:type="gramStart"/>
      <w:r w:rsidRPr="00216D9E">
        <w:rPr>
          <w:rFonts w:ascii="Times New Roman" w:eastAsia="Calibri" w:hAnsi="Times New Roman"/>
          <w:sz w:val="24"/>
          <w:szCs w:val="24"/>
          <w:lang w:val="en-US" w:eastAsia="en-US"/>
        </w:rPr>
        <w:t>Diamond, H.J., A.M. Lorrey, K.R. Knapp, and D.H. Levinson.</w:t>
      </w:r>
      <w:proofErr w:type="gramEnd"/>
      <w:r w:rsidRPr="00216D9E">
        <w:rPr>
          <w:rFonts w:ascii="Times New Roman" w:eastAsia="Calibri" w:hAnsi="Times New Roman"/>
          <w:sz w:val="24"/>
          <w:szCs w:val="24"/>
          <w:lang w:val="en-US" w:eastAsia="en-US"/>
        </w:rPr>
        <w:t xml:space="preserve"> 2012. Development of an enhanced tropical cyclone tracks database for the southwest Pacific from 1840-2011. </w:t>
      </w:r>
      <w:r w:rsidRPr="00216D9E">
        <w:rPr>
          <w:rFonts w:ascii="Times New Roman" w:eastAsia="Calibri" w:hAnsi="Times New Roman"/>
          <w:i/>
          <w:sz w:val="24"/>
          <w:szCs w:val="24"/>
          <w:lang w:val="en-US" w:eastAsia="en-US"/>
        </w:rPr>
        <w:t>International Journal of Climatology</w:t>
      </w:r>
      <w:r w:rsidRPr="00216D9E">
        <w:rPr>
          <w:rFonts w:ascii="Times New Roman" w:eastAsia="Calibri" w:hAnsi="Times New Roman"/>
          <w:sz w:val="24"/>
          <w:szCs w:val="24"/>
          <w:lang w:val="en-US" w:eastAsia="en-US"/>
        </w:rPr>
        <w:t xml:space="preserve">, </w:t>
      </w:r>
      <w:r w:rsidRPr="00216D9E">
        <w:rPr>
          <w:rFonts w:ascii="Times New Roman" w:eastAsia="Calibri" w:hAnsi="Times New Roman"/>
          <w:b/>
          <w:sz w:val="24"/>
          <w:szCs w:val="24"/>
          <w:lang w:val="en-US" w:eastAsia="en-US"/>
        </w:rPr>
        <w:t>32</w:t>
      </w:r>
      <w:r w:rsidRPr="00216D9E">
        <w:rPr>
          <w:rFonts w:ascii="Times New Roman" w:eastAsia="Calibri" w:hAnsi="Times New Roman"/>
          <w:sz w:val="24"/>
          <w:szCs w:val="24"/>
          <w:lang w:val="en-US" w:eastAsia="en-US"/>
        </w:rPr>
        <w:t xml:space="preserve">: 2240–2250. </w:t>
      </w:r>
      <w:proofErr w:type="gramStart"/>
      <w:r w:rsidR="00077DF4">
        <w:rPr>
          <w:rFonts w:ascii="Times New Roman" w:eastAsia="Calibri" w:hAnsi="Times New Roman"/>
          <w:sz w:val="24"/>
          <w:szCs w:val="24"/>
          <w:lang w:val="en-US" w:eastAsia="en-US"/>
        </w:rPr>
        <w:t>doi</w:t>
      </w:r>
      <w:r w:rsidRPr="00216D9E">
        <w:rPr>
          <w:rFonts w:ascii="Times New Roman" w:eastAsia="Calibri" w:hAnsi="Times New Roman"/>
          <w:sz w:val="24"/>
          <w:szCs w:val="24"/>
          <w:lang w:val="en-US" w:eastAsia="en-US"/>
        </w:rPr>
        <w:t>:10.1002</w:t>
      </w:r>
      <w:proofErr w:type="gramEnd"/>
      <w:r w:rsidRPr="00216D9E">
        <w:rPr>
          <w:rFonts w:ascii="Times New Roman" w:eastAsia="Calibri" w:hAnsi="Times New Roman"/>
          <w:sz w:val="24"/>
          <w:szCs w:val="24"/>
          <w:lang w:val="en-US" w:eastAsia="en-US"/>
        </w:rPr>
        <w:t>/joc.2412.</w:t>
      </w:r>
    </w:p>
    <w:p w14:paraId="184FBE69" w14:textId="77777777" w:rsidR="00216D9E" w:rsidRDefault="00216D9E" w:rsidP="00216D9E">
      <w:pPr>
        <w:suppressAutoHyphens w:val="0"/>
        <w:spacing w:after="0" w:line="240" w:lineRule="auto"/>
        <w:rPr>
          <w:rFonts w:ascii="Times New Roman" w:eastAsia="Calibri" w:hAnsi="Times New Roman"/>
          <w:sz w:val="24"/>
          <w:szCs w:val="24"/>
          <w:lang w:val="en-GB" w:eastAsia="en-US"/>
        </w:rPr>
      </w:pPr>
    </w:p>
    <w:p w14:paraId="4303F060" w14:textId="77777777" w:rsidR="00216D9E" w:rsidRPr="00216D9E" w:rsidRDefault="00216D9E" w:rsidP="00216D9E">
      <w:pPr>
        <w:suppressAutoHyphens w:val="0"/>
        <w:spacing w:after="0" w:line="240" w:lineRule="auto"/>
        <w:rPr>
          <w:rFonts w:ascii="Times New Roman" w:eastAsia="Calibri" w:hAnsi="Times New Roman"/>
          <w:sz w:val="24"/>
          <w:szCs w:val="24"/>
          <w:lang w:val="en-US" w:eastAsia="en-US"/>
        </w:rPr>
      </w:pPr>
      <w:proofErr w:type="gramStart"/>
      <w:r w:rsidRPr="00216D9E">
        <w:rPr>
          <w:rFonts w:ascii="Times New Roman" w:eastAsia="Calibri" w:hAnsi="Times New Roman"/>
          <w:sz w:val="24"/>
          <w:szCs w:val="24"/>
          <w:lang w:val="en-US" w:eastAsia="en-US"/>
        </w:rPr>
        <w:t>Diamond, H.J., A.M. Lorrey, and J.A. Renwick.</w:t>
      </w:r>
      <w:proofErr w:type="gramEnd"/>
      <w:r w:rsidRPr="00216D9E">
        <w:rPr>
          <w:rFonts w:ascii="Times New Roman" w:eastAsia="Calibri" w:hAnsi="Times New Roman"/>
          <w:sz w:val="24"/>
          <w:szCs w:val="24"/>
          <w:lang w:val="en-US" w:eastAsia="en-US"/>
        </w:rPr>
        <w:t xml:space="preserve"> 2013. A Southwest Pacific Tropical Cyclone</w:t>
      </w:r>
    </w:p>
    <w:p w14:paraId="0929746F" w14:textId="77777777" w:rsidR="00216D9E" w:rsidRPr="00216D9E" w:rsidRDefault="00216D9E" w:rsidP="00216D9E">
      <w:pPr>
        <w:suppressAutoHyphens w:val="0"/>
        <w:spacing w:after="0" w:line="240" w:lineRule="auto"/>
        <w:rPr>
          <w:rFonts w:ascii="Times New Roman" w:eastAsia="Calibri" w:hAnsi="Times New Roman"/>
          <w:sz w:val="24"/>
          <w:szCs w:val="24"/>
          <w:lang w:val="en-US" w:eastAsia="en-US"/>
        </w:rPr>
      </w:pPr>
      <w:proofErr w:type="gramStart"/>
      <w:r w:rsidRPr="00216D9E">
        <w:rPr>
          <w:rFonts w:ascii="Times New Roman" w:eastAsia="Calibri" w:hAnsi="Times New Roman"/>
          <w:sz w:val="24"/>
          <w:szCs w:val="24"/>
          <w:lang w:val="en-US" w:eastAsia="en-US"/>
        </w:rPr>
        <w:t>Climatology and Linkages to the El Niño–Southern Oscillation.</w:t>
      </w:r>
      <w:proofErr w:type="gramEnd"/>
      <w:r w:rsidRPr="00216D9E">
        <w:rPr>
          <w:rFonts w:ascii="Times New Roman" w:eastAsia="Calibri" w:hAnsi="Times New Roman"/>
          <w:sz w:val="24"/>
          <w:szCs w:val="24"/>
          <w:lang w:val="en-US" w:eastAsia="en-US"/>
        </w:rPr>
        <w:t xml:space="preserve"> </w:t>
      </w:r>
      <w:r w:rsidRPr="00216D9E">
        <w:rPr>
          <w:rFonts w:ascii="Times New Roman" w:eastAsia="Calibri" w:hAnsi="Times New Roman"/>
          <w:i/>
          <w:sz w:val="24"/>
          <w:szCs w:val="24"/>
          <w:lang w:val="en-US" w:eastAsia="en-US"/>
        </w:rPr>
        <w:t>Journal of Climate</w:t>
      </w:r>
      <w:r w:rsidRPr="00216D9E">
        <w:rPr>
          <w:rFonts w:ascii="Times New Roman" w:eastAsia="Calibri" w:hAnsi="Times New Roman"/>
          <w:sz w:val="24"/>
          <w:szCs w:val="24"/>
          <w:lang w:val="en-US" w:eastAsia="en-US"/>
        </w:rPr>
        <w:t xml:space="preserve">, </w:t>
      </w:r>
      <w:r w:rsidRPr="00216D9E">
        <w:rPr>
          <w:rFonts w:ascii="Times New Roman" w:eastAsia="Calibri" w:hAnsi="Times New Roman"/>
          <w:b/>
          <w:sz w:val="24"/>
          <w:szCs w:val="24"/>
          <w:lang w:val="en-US" w:eastAsia="en-US"/>
        </w:rPr>
        <w:t>26</w:t>
      </w:r>
      <w:r w:rsidRPr="00216D9E">
        <w:rPr>
          <w:rFonts w:ascii="Times New Roman" w:eastAsia="Calibri" w:hAnsi="Times New Roman"/>
          <w:sz w:val="24"/>
          <w:szCs w:val="24"/>
          <w:lang w:val="en-US" w:eastAsia="en-US"/>
        </w:rPr>
        <w:t>(1), 3-25. doi:10.1175/JCLI-D-12-00077.1.</w:t>
      </w:r>
    </w:p>
    <w:p w14:paraId="2EAA5A7F" w14:textId="77777777" w:rsidR="00216D9E" w:rsidRDefault="00216D9E" w:rsidP="00216D9E">
      <w:pPr>
        <w:suppressAutoHyphens w:val="0"/>
        <w:spacing w:after="0" w:line="240" w:lineRule="auto"/>
        <w:rPr>
          <w:rFonts w:ascii="Times New Roman" w:eastAsia="Calibri" w:hAnsi="Times New Roman"/>
          <w:sz w:val="24"/>
          <w:szCs w:val="24"/>
          <w:lang w:val="en-GB" w:eastAsia="en-US"/>
        </w:rPr>
      </w:pPr>
    </w:p>
    <w:p w14:paraId="32AB1D8F" w14:textId="4D8F7FAF" w:rsidR="00216D9E" w:rsidRPr="00216D9E" w:rsidRDefault="00216D9E" w:rsidP="00216D9E">
      <w:pPr>
        <w:suppressAutoHyphens w:val="0"/>
        <w:spacing w:after="0" w:line="240" w:lineRule="auto"/>
        <w:rPr>
          <w:rFonts w:ascii="Times New Roman" w:eastAsia="Calibri" w:hAnsi="Times New Roman"/>
          <w:sz w:val="24"/>
          <w:szCs w:val="24"/>
          <w:lang w:val="en-GB" w:eastAsia="en-US"/>
        </w:rPr>
      </w:pPr>
      <w:r w:rsidRPr="00216D9E">
        <w:rPr>
          <w:rFonts w:ascii="Times New Roman" w:eastAsia="Calibri" w:hAnsi="Times New Roman"/>
          <w:sz w:val="24"/>
          <w:szCs w:val="24"/>
          <w:lang w:val="en-GB" w:eastAsia="en-US"/>
        </w:rPr>
        <w:t xml:space="preserve">Lorrey, A.M., G. Griffiths, N. Fauchereau, H.J. Diamond, P.R. Chappell, and J. Renwick, 2013. </w:t>
      </w:r>
      <w:r>
        <w:rPr>
          <w:rFonts w:ascii="Times New Roman" w:eastAsia="Calibri" w:hAnsi="Times New Roman"/>
          <w:sz w:val="24"/>
          <w:szCs w:val="24"/>
          <w:lang w:val="en-GB" w:eastAsia="en-US"/>
        </w:rPr>
        <w:t xml:space="preserve"> </w:t>
      </w:r>
      <w:proofErr w:type="gramStart"/>
      <w:r w:rsidRPr="00216D9E">
        <w:rPr>
          <w:rFonts w:ascii="Times New Roman" w:eastAsia="Calibri" w:hAnsi="Times New Roman"/>
          <w:sz w:val="24"/>
          <w:szCs w:val="24"/>
          <w:lang w:val="en-GB" w:eastAsia="en-US"/>
        </w:rPr>
        <w:t>An ex-tropical</w:t>
      </w:r>
      <w:proofErr w:type="gramEnd"/>
      <w:r w:rsidRPr="00216D9E">
        <w:rPr>
          <w:rFonts w:ascii="Times New Roman" w:eastAsia="Calibri" w:hAnsi="Times New Roman"/>
          <w:sz w:val="24"/>
          <w:szCs w:val="24"/>
          <w:lang w:val="en-GB" w:eastAsia="en-US"/>
        </w:rPr>
        <w:t xml:space="preserve"> cyclone climatology for Auckland, New Zealand. </w:t>
      </w:r>
      <w:r w:rsidRPr="00216D9E">
        <w:rPr>
          <w:rFonts w:ascii="Times New Roman" w:eastAsia="Calibri" w:hAnsi="Times New Roman"/>
          <w:i/>
          <w:sz w:val="24"/>
          <w:szCs w:val="24"/>
          <w:lang w:val="en-GB" w:eastAsia="en-US"/>
        </w:rPr>
        <w:t>International Journal of Climatology</w:t>
      </w:r>
      <w:r w:rsidRPr="00216D9E">
        <w:rPr>
          <w:rFonts w:ascii="Times New Roman" w:eastAsia="Calibri" w:hAnsi="Times New Roman"/>
          <w:sz w:val="24"/>
          <w:szCs w:val="24"/>
          <w:lang w:val="en-GB" w:eastAsia="en-US"/>
        </w:rPr>
        <w:t xml:space="preserve">, </w:t>
      </w:r>
      <w:proofErr w:type="spellStart"/>
      <w:r w:rsidRPr="00216D9E">
        <w:rPr>
          <w:rFonts w:ascii="Times New Roman" w:eastAsia="Calibri" w:hAnsi="Times New Roman"/>
          <w:sz w:val="24"/>
          <w:szCs w:val="24"/>
          <w:lang w:val="en-GB" w:eastAsia="en-US"/>
        </w:rPr>
        <w:t>doi</w:t>
      </w:r>
      <w:proofErr w:type="spellEnd"/>
      <w:r w:rsidRPr="00216D9E">
        <w:rPr>
          <w:rFonts w:ascii="Times New Roman" w:eastAsia="Calibri" w:hAnsi="Times New Roman"/>
          <w:sz w:val="24"/>
          <w:szCs w:val="24"/>
          <w:lang w:val="en-GB" w:eastAsia="en-US"/>
        </w:rPr>
        <w:t>: 10.1002/joc.3753.</w:t>
      </w:r>
    </w:p>
    <w:p w14:paraId="130B2EB0" w14:textId="77777777" w:rsidR="00216D9E" w:rsidRDefault="00216D9E">
      <w:pPr>
        <w:spacing w:before="280" w:after="280" w:line="240" w:lineRule="auto"/>
        <w:jc w:val="both"/>
        <w:rPr>
          <w:rFonts w:ascii="Times New Roman" w:hAnsi="Times New Roman"/>
          <w:sz w:val="24"/>
          <w:szCs w:val="24"/>
          <w:lang w:eastAsia="en-NZ"/>
        </w:rPr>
      </w:pPr>
    </w:p>
    <w:p w14:paraId="53452655" w14:textId="77777777" w:rsidR="007462D8" w:rsidRPr="007462D8" w:rsidRDefault="007462D8" w:rsidP="007462D8">
      <w:pPr>
        <w:autoSpaceDE w:val="0"/>
        <w:autoSpaceDN w:val="0"/>
        <w:adjustRightInd w:val="0"/>
        <w:rPr>
          <w:rFonts w:ascii="Times New Roman" w:eastAsia="Calibri" w:hAnsi="Times New Roman"/>
          <w:sz w:val="24"/>
          <w:szCs w:val="24"/>
          <w:lang w:val="en-US" w:eastAsia="en-US"/>
        </w:rPr>
      </w:pPr>
    </w:p>
    <w:p w14:paraId="1EDC7847" w14:textId="77777777" w:rsidR="00137364" w:rsidRDefault="00137364">
      <w:pPr>
        <w:spacing w:before="280" w:after="280" w:line="240" w:lineRule="auto"/>
        <w:jc w:val="both"/>
        <w:rPr>
          <w:rFonts w:ascii="Times New Roman" w:hAnsi="Times New Roman"/>
          <w:sz w:val="24"/>
          <w:szCs w:val="24"/>
          <w:lang w:eastAsia="en-NZ"/>
        </w:rPr>
      </w:pPr>
    </w:p>
    <w:p w14:paraId="0AFEF6C4" w14:textId="6D9A7B2F" w:rsidR="00137364" w:rsidRPr="006B5967" w:rsidRDefault="00A43488">
      <w:pPr>
        <w:jc w:val="both"/>
        <w:rPr>
          <w:b/>
        </w:rPr>
      </w:pPr>
      <w:r>
        <w:rPr>
          <w:b/>
          <w:sz w:val="24"/>
          <w:szCs w:val="24"/>
        </w:rPr>
        <w:br w:type="column"/>
      </w:r>
      <w:r w:rsidR="00137364" w:rsidRPr="006B5967">
        <w:rPr>
          <w:b/>
          <w:sz w:val="24"/>
          <w:szCs w:val="24"/>
        </w:rPr>
        <w:lastRenderedPageBreak/>
        <w:t xml:space="preserve">Figure 1: </w:t>
      </w:r>
      <w:r w:rsidR="00137364" w:rsidRPr="006B5967">
        <w:rPr>
          <w:b/>
        </w:rPr>
        <w:t xml:space="preserve">Number of </w:t>
      </w:r>
      <w:r w:rsidR="008861DC">
        <w:rPr>
          <w:b/>
        </w:rPr>
        <w:t>TC</w:t>
      </w:r>
      <w:r w:rsidR="00137364" w:rsidRPr="006B5967">
        <w:rPr>
          <w:b/>
        </w:rPr>
        <w:t>s occurring for the full season (November</w:t>
      </w:r>
      <w:r w:rsidR="006B5967">
        <w:rPr>
          <w:b/>
        </w:rPr>
        <w:t xml:space="preserve"> </w:t>
      </w:r>
      <w:r w:rsidR="00137364" w:rsidRPr="006B5967">
        <w:rPr>
          <w:b/>
        </w:rPr>
        <w:t>–</w:t>
      </w:r>
      <w:r w:rsidR="006B5967">
        <w:rPr>
          <w:b/>
        </w:rPr>
        <w:t xml:space="preserve"> </w:t>
      </w:r>
      <w:r w:rsidR="00137364" w:rsidRPr="006B5967">
        <w:rPr>
          <w:b/>
        </w:rPr>
        <w:t xml:space="preserve">April) in the </w:t>
      </w:r>
      <w:r w:rsidR="00A14D08">
        <w:rPr>
          <w:b/>
        </w:rPr>
        <w:t>Southwest</w:t>
      </w:r>
      <w:r w:rsidR="00137364" w:rsidRPr="006B5967">
        <w:rPr>
          <w:b/>
        </w:rPr>
        <w:t xml:space="preserve"> Pacific (135</w:t>
      </w:r>
      <w:r w:rsidR="00137364" w:rsidRPr="006B5967">
        <w:rPr>
          <w:rFonts w:cs="Calibri"/>
          <w:b/>
        </w:rPr>
        <w:t>°</w:t>
      </w:r>
      <w:r w:rsidR="00137364" w:rsidRPr="006B5967">
        <w:rPr>
          <w:b/>
        </w:rPr>
        <w:t xml:space="preserve">E to 120°W): (top panel) average number over </w:t>
      </w:r>
      <w:r w:rsidR="00834E03" w:rsidRPr="006B5967">
        <w:rPr>
          <w:b/>
        </w:rPr>
        <w:t>4</w:t>
      </w:r>
      <w:r w:rsidR="00834E03">
        <w:rPr>
          <w:b/>
        </w:rPr>
        <w:t>4</w:t>
      </w:r>
      <w:r w:rsidR="00834E03" w:rsidRPr="006B5967">
        <w:rPr>
          <w:b/>
        </w:rPr>
        <w:t xml:space="preserve"> </w:t>
      </w:r>
      <w:r w:rsidR="00137364" w:rsidRPr="006B5967">
        <w:rPr>
          <w:b/>
        </w:rPr>
        <w:t xml:space="preserve">seasons, 1969/70 to </w:t>
      </w:r>
      <w:r w:rsidR="00834E03" w:rsidRPr="006B5967">
        <w:rPr>
          <w:b/>
        </w:rPr>
        <w:t>20</w:t>
      </w:r>
      <w:r w:rsidR="00834E03">
        <w:rPr>
          <w:b/>
        </w:rPr>
        <w:t>12</w:t>
      </w:r>
      <w:r w:rsidR="00137364" w:rsidRPr="006B5967">
        <w:rPr>
          <w:b/>
        </w:rPr>
        <w:t>/</w:t>
      </w:r>
      <w:r w:rsidR="00834E03" w:rsidRPr="006B5967">
        <w:rPr>
          <w:b/>
        </w:rPr>
        <w:t>1</w:t>
      </w:r>
      <w:r w:rsidR="00834E03">
        <w:rPr>
          <w:b/>
        </w:rPr>
        <w:t>3</w:t>
      </w:r>
      <w:r w:rsidR="00137364" w:rsidRPr="006B5967">
        <w:rPr>
          <w:b/>
        </w:rPr>
        <w:t xml:space="preserve">; (centre panel) average number over selected </w:t>
      </w:r>
      <w:r w:rsidR="00834E03">
        <w:rPr>
          <w:b/>
        </w:rPr>
        <w:t>8</w:t>
      </w:r>
      <w:r w:rsidR="00834E03" w:rsidRPr="006B5967">
        <w:rPr>
          <w:b/>
        </w:rPr>
        <w:t xml:space="preserve"> </w:t>
      </w:r>
      <w:r w:rsidR="00137364" w:rsidRPr="006B5967">
        <w:rPr>
          <w:b/>
        </w:rPr>
        <w:t>analog seasons (Table 1); (bottom panel) departure from normal for the analog seasons (difference between count in centre and top panels).</w:t>
      </w:r>
    </w:p>
    <w:p w14:paraId="724D6ECE" w14:textId="77777777" w:rsidR="00B64097" w:rsidRDefault="001B6C23">
      <w:pPr>
        <w:jc w:val="both"/>
      </w:pPr>
      <w:r>
        <w:rPr>
          <w:noProof/>
          <w:lang w:val="en-US" w:eastAsia="en-US"/>
        </w:rPr>
        <w:drawing>
          <wp:inline distT="0" distB="0" distL="0" distR="0" wp14:anchorId="2F5F325E" wp14:editId="64FDE3B4">
            <wp:extent cx="3750931" cy="2006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M_TC_density_climatology_full_seaso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50931" cy="2006600"/>
                    </a:xfrm>
                    <a:prstGeom prst="rect">
                      <a:avLst/>
                    </a:prstGeom>
                    <a:noFill/>
                    <a:ln>
                      <a:noFill/>
                    </a:ln>
                  </pic:spPr>
                </pic:pic>
              </a:graphicData>
            </a:graphic>
          </wp:inline>
        </w:drawing>
      </w:r>
    </w:p>
    <w:p w14:paraId="1FA0B81E" w14:textId="77777777" w:rsidR="006B5967" w:rsidRDefault="001B6C23">
      <w:pPr>
        <w:jc w:val="both"/>
      </w:pPr>
      <w:r>
        <w:rPr>
          <w:noProof/>
          <w:lang w:val="en-US" w:eastAsia="en-US"/>
        </w:rPr>
        <w:drawing>
          <wp:inline distT="0" distB="0" distL="0" distR="0" wp14:anchorId="369484D5" wp14:editId="22967931">
            <wp:extent cx="3667417" cy="212779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M_TC_density_composite_full_season"/>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67417" cy="2127794"/>
                    </a:xfrm>
                    <a:prstGeom prst="rect">
                      <a:avLst/>
                    </a:prstGeom>
                    <a:noFill/>
                    <a:ln>
                      <a:noFill/>
                    </a:ln>
                  </pic:spPr>
                </pic:pic>
              </a:graphicData>
            </a:graphic>
          </wp:inline>
        </w:drawing>
      </w:r>
    </w:p>
    <w:p w14:paraId="73C4244C" w14:textId="77777777" w:rsidR="006B5967" w:rsidRDefault="001B6C23">
      <w:pPr>
        <w:jc w:val="both"/>
      </w:pPr>
      <w:r>
        <w:rPr>
          <w:noProof/>
          <w:lang w:val="en-US" w:eastAsia="en-US"/>
        </w:rPr>
        <w:drawing>
          <wp:inline distT="0" distB="0" distL="0" distR="0" wp14:anchorId="1825935E" wp14:editId="23D7CBD0">
            <wp:extent cx="3822700" cy="210218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M_TC_density_anomalies_full_season"/>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22700" cy="2102180"/>
                    </a:xfrm>
                    <a:prstGeom prst="rect">
                      <a:avLst/>
                    </a:prstGeom>
                    <a:noFill/>
                    <a:ln>
                      <a:noFill/>
                    </a:ln>
                  </pic:spPr>
                </pic:pic>
              </a:graphicData>
            </a:graphic>
          </wp:inline>
        </w:drawing>
      </w:r>
    </w:p>
    <w:p w14:paraId="1F34B06C" w14:textId="67B90579" w:rsidR="00E861F4" w:rsidRDefault="00137364">
      <w:pPr>
        <w:pageBreakBefore/>
        <w:jc w:val="both"/>
        <w:rPr>
          <w:b/>
          <w:sz w:val="24"/>
          <w:szCs w:val="24"/>
        </w:rPr>
      </w:pPr>
      <w:r>
        <w:rPr>
          <w:b/>
          <w:sz w:val="24"/>
          <w:szCs w:val="24"/>
        </w:rPr>
        <w:lastRenderedPageBreak/>
        <w:t xml:space="preserve">Table 1: The average number of </w:t>
      </w:r>
      <w:r w:rsidR="008861DC">
        <w:rPr>
          <w:b/>
          <w:sz w:val="24"/>
          <w:szCs w:val="24"/>
        </w:rPr>
        <w:t>TC</w:t>
      </w:r>
      <w:r>
        <w:rPr>
          <w:b/>
          <w:sz w:val="24"/>
          <w:szCs w:val="24"/>
        </w:rPr>
        <w:t xml:space="preserve">s passing </w:t>
      </w:r>
      <w:r w:rsidR="008D412C">
        <w:rPr>
          <w:b/>
          <w:sz w:val="24"/>
          <w:szCs w:val="24"/>
        </w:rPr>
        <w:t>close to</w:t>
      </w:r>
      <w:r>
        <w:rPr>
          <w:b/>
          <w:sz w:val="24"/>
          <w:szCs w:val="24"/>
        </w:rPr>
        <w:t xml:space="preserve"> the main South Pacific Island groups between November and April. The activity associated with some island groups for the coming season is a subjective assessment, and has been stated to be consistent </w:t>
      </w:r>
      <w:r>
        <w:rPr>
          <w:b/>
          <w:color w:val="000000"/>
          <w:sz w:val="24"/>
          <w:szCs w:val="24"/>
        </w:rPr>
        <w:t>with the wishes of the national meteorological services involved in generating this regional forecast. In addition, subjective qualification of activity (and associated risk) also recognises the small differences between the actual TC counts for the analog composites and climatological values</w:t>
      </w:r>
      <w:r w:rsidR="00C65666">
        <w:rPr>
          <w:b/>
          <w:color w:val="000000"/>
          <w:sz w:val="24"/>
          <w:szCs w:val="24"/>
        </w:rPr>
        <w:t xml:space="preserve">. The table is </w:t>
      </w:r>
      <w:r>
        <w:rPr>
          <w:b/>
          <w:color w:val="000000"/>
          <w:sz w:val="24"/>
          <w:szCs w:val="24"/>
        </w:rPr>
        <w:t xml:space="preserve">therefore </w:t>
      </w:r>
      <w:r w:rsidR="00C65666">
        <w:rPr>
          <w:b/>
          <w:color w:val="000000"/>
          <w:sz w:val="24"/>
          <w:szCs w:val="24"/>
        </w:rPr>
        <w:t>only generally indicative of</w:t>
      </w:r>
      <w:r>
        <w:rPr>
          <w:b/>
          <w:color w:val="000000"/>
          <w:sz w:val="24"/>
          <w:szCs w:val="24"/>
        </w:rPr>
        <w:t xml:space="preserve"> how many storms might be expected for any given island group for the coming season.</w:t>
      </w:r>
    </w:p>
    <w:tbl>
      <w:tblPr>
        <w:tblW w:w="10894" w:type="dxa"/>
        <w:tblInd w:w="93" w:type="dxa"/>
        <w:tblLayout w:type="fixed"/>
        <w:tblLook w:val="04A0" w:firstRow="1" w:lastRow="0" w:firstColumn="1" w:lastColumn="0" w:noHBand="0" w:noVBand="1"/>
      </w:tblPr>
      <w:tblGrid>
        <w:gridCol w:w="2142"/>
        <w:gridCol w:w="1417"/>
        <w:gridCol w:w="1418"/>
        <w:gridCol w:w="1275"/>
        <w:gridCol w:w="1701"/>
        <w:gridCol w:w="2941"/>
      </w:tblGrid>
      <w:tr w:rsidR="00204336" w:rsidRPr="00B84AF7" w14:paraId="3472DF82" w14:textId="77777777" w:rsidTr="00204336">
        <w:trPr>
          <w:trHeight w:val="300"/>
        </w:trPr>
        <w:tc>
          <w:tcPr>
            <w:tcW w:w="2142" w:type="dxa"/>
            <w:tcBorders>
              <w:top w:val="nil"/>
              <w:left w:val="nil"/>
              <w:bottom w:val="nil"/>
              <w:right w:val="nil"/>
            </w:tcBorders>
            <w:shd w:val="clear" w:color="auto" w:fill="auto"/>
            <w:noWrap/>
            <w:vAlign w:val="bottom"/>
            <w:hideMark/>
          </w:tcPr>
          <w:p w14:paraId="4360D5A2" w14:textId="77777777" w:rsidR="00B84AF7" w:rsidRPr="00B84AF7" w:rsidRDefault="00B84AF7" w:rsidP="00B84AF7">
            <w:pPr>
              <w:suppressAutoHyphens w:val="0"/>
              <w:spacing w:after="0" w:line="240" w:lineRule="auto"/>
              <w:rPr>
                <w:b/>
                <w:color w:val="000000"/>
                <w:sz w:val="24"/>
                <w:szCs w:val="24"/>
                <w:u w:val="single"/>
                <w:lang w:val="en-US" w:eastAsia="en-US"/>
              </w:rPr>
            </w:pPr>
            <w:r w:rsidRPr="00B84AF7">
              <w:rPr>
                <w:b/>
                <w:color w:val="000000"/>
                <w:sz w:val="24"/>
                <w:szCs w:val="24"/>
                <w:u w:val="single"/>
                <w:lang w:val="en-US" w:eastAsia="en-US"/>
              </w:rPr>
              <w:t>Country/</w:t>
            </w:r>
          </w:p>
          <w:p w14:paraId="74F07CBE" w14:textId="77777777" w:rsidR="00B84AF7" w:rsidRPr="00B84AF7" w:rsidRDefault="00B84AF7" w:rsidP="00B84AF7">
            <w:pPr>
              <w:suppressAutoHyphens w:val="0"/>
              <w:spacing w:after="0" w:line="240" w:lineRule="auto"/>
              <w:rPr>
                <w:b/>
                <w:color w:val="000000"/>
                <w:sz w:val="24"/>
                <w:szCs w:val="24"/>
                <w:u w:val="single"/>
                <w:lang w:val="en-US" w:eastAsia="en-US"/>
              </w:rPr>
            </w:pPr>
            <w:r w:rsidRPr="00B84AF7">
              <w:rPr>
                <w:b/>
                <w:color w:val="000000"/>
                <w:sz w:val="24"/>
                <w:szCs w:val="24"/>
                <w:u w:val="single"/>
                <w:lang w:val="en-US" w:eastAsia="en-US"/>
              </w:rPr>
              <w:t>Territory</w:t>
            </w:r>
          </w:p>
        </w:tc>
        <w:tc>
          <w:tcPr>
            <w:tcW w:w="1417" w:type="dxa"/>
            <w:tcBorders>
              <w:top w:val="nil"/>
              <w:left w:val="nil"/>
              <w:bottom w:val="nil"/>
              <w:right w:val="nil"/>
            </w:tcBorders>
            <w:shd w:val="clear" w:color="auto" w:fill="auto"/>
            <w:noWrap/>
            <w:vAlign w:val="bottom"/>
            <w:hideMark/>
          </w:tcPr>
          <w:p w14:paraId="48EE7D82" w14:textId="77777777" w:rsidR="00B84AF7" w:rsidRPr="00B84AF7" w:rsidRDefault="00B84AF7" w:rsidP="00204336">
            <w:pPr>
              <w:suppressAutoHyphens w:val="0"/>
              <w:spacing w:after="0" w:line="240" w:lineRule="auto"/>
              <w:jc w:val="center"/>
              <w:rPr>
                <w:b/>
                <w:color w:val="000000"/>
                <w:sz w:val="24"/>
                <w:szCs w:val="24"/>
                <w:u w:val="single"/>
                <w:lang w:val="en-US" w:eastAsia="en-US"/>
              </w:rPr>
            </w:pPr>
            <w:r w:rsidRPr="00B84AF7">
              <w:rPr>
                <w:b/>
                <w:color w:val="000000"/>
                <w:sz w:val="24"/>
                <w:szCs w:val="24"/>
                <w:u w:val="single"/>
                <w:lang w:val="en-US" w:eastAsia="en-US"/>
              </w:rPr>
              <w:t>Climatology</w:t>
            </w:r>
          </w:p>
        </w:tc>
        <w:tc>
          <w:tcPr>
            <w:tcW w:w="1418" w:type="dxa"/>
            <w:tcBorders>
              <w:top w:val="nil"/>
              <w:left w:val="nil"/>
              <w:bottom w:val="nil"/>
              <w:right w:val="nil"/>
            </w:tcBorders>
            <w:shd w:val="clear" w:color="auto" w:fill="auto"/>
            <w:noWrap/>
            <w:vAlign w:val="bottom"/>
            <w:hideMark/>
          </w:tcPr>
          <w:p w14:paraId="0051C111" w14:textId="77777777" w:rsidR="00B84AF7" w:rsidRPr="00B84AF7" w:rsidRDefault="00B84AF7" w:rsidP="00204336">
            <w:pPr>
              <w:suppressAutoHyphens w:val="0"/>
              <w:spacing w:after="0" w:line="240" w:lineRule="auto"/>
              <w:jc w:val="center"/>
              <w:rPr>
                <w:b/>
                <w:color w:val="000000"/>
                <w:sz w:val="24"/>
                <w:szCs w:val="24"/>
                <w:u w:val="single"/>
                <w:lang w:val="en-US" w:eastAsia="en-US"/>
              </w:rPr>
            </w:pPr>
            <w:r w:rsidRPr="00B84AF7">
              <w:rPr>
                <w:b/>
                <w:color w:val="000000"/>
                <w:sz w:val="24"/>
                <w:szCs w:val="24"/>
                <w:u w:val="single"/>
                <w:lang w:val="en-US" w:eastAsia="en-US"/>
              </w:rPr>
              <w:t>Analog seasons</w:t>
            </w:r>
          </w:p>
        </w:tc>
        <w:tc>
          <w:tcPr>
            <w:tcW w:w="1275" w:type="dxa"/>
            <w:tcBorders>
              <w:top w:val="nil"/>
              <w:left w:val="nil"/>
              <w:bottom w:val="nil"/>
              <w:right w:val="nil"/>
            </w:tcBorders>
            <w:shd w:val="clear" w:color="auto" w:fill="auto"/>
            <w:noWrap/>
            <w:vAlign w:val="bottom"/>
            <w:hideMark/>
          </w:tcPr>
          <w:p w14:paraId="5B685EAC" w14:textId="77777777" w:rsidR="00B84AF7" w:rsidRPr="00B84AF7" w:rsidRDefault="00B84AF7" w:rsidP="00204336">
            <w:pPr>
              <w:suppressAutoHyphens w:val="0"/>
              <w:spacing w:after="0" w:line="240" w:lineRule="auto"/>
              <w:jc w:val="center"/>
              <w:rPr>
                <w:b/>
                <w:color w:val="000000"/>
                <w:sz w:val="24"/>
                <w:szCs w:val="24"/>
                <w:u w:val="single"/>
                <w:lang w:val="en-US" w:eastAsia="en-US"/>
              </w:rPr>
            </w:pPr>
            <w:r w:rsidRPr="00B84AF7">
              <w:rPr>
                <w:b/>
                <w:color w:val="000000"/>
                <w:sz w:val="24"/>
                <w:szCs w:val="24"/>
                <w:u w:val="single"/>
                <w:lang w:val="en-US" w:eastAsia="en-US"/>
              </w:rPr>
              <w:t>Anomaly</w:t>
            </w:r>
          </w:p>
        </w:tc>
        <w:tc>
          <w:tcPr>
            <w:tcW w:w="1701" w:type="dxa"/>
            <w:tcBorders>
              <w:top w:val="nil"/>
              <w:left w:val="nil"/>
              <w:bottom w:val="nil"/>
              <w:right w:val="nil"/>
            </w:tcBorders>
            <w:shd w:val="clear" w:color="auto" w:fill="auto"/>
            <w:noWrap/>
            <w:vAlign w:val="bottom"/>
            <w:hideMark/>
          </w:tcPr>
          <w:p w14:paraId="4E04E0D9" w14:textId="77777777" w:rsidR="00B84AF7" w:rsidRPr="00B84AF7" w:rsidRDefault="00B84AF7" w:rsidP="00204336">
            <w:pPr>
              <w:suppressAutoHyphens w:val="0"/>
              <w:spacing w:after="0" w:line="240" w:lineRule="auto"/>
              <w:jc w:val="center"/>
              <w:rPr>
                <w:b/>
                <w:color w:val="000000"/>
                <w:sz w:val="24"/>
                <w:szCs w:val="24"/>
                <w:u w:val="single"/>
                <w:lang w:val="en-US" w:eastAsia="en-US"/>
              </w:rPr>
            </w:pPr>
            <w:r w:rsidRPr="00B84AF7">
              <w:rPr>
                <w:b/>
                <w:color w:val="000000"/>
                <w:sz w:val="24"/>
                <w:szCs w:val="24"/>
                <w:u w:val="single"/>
                <w:lang w:val="en-US" w:eastAsia="en-US"/>
              </w:rPr>
              <w:t>% Difference</w:t>
            </w:r>
          </w:p>
        </w:tc>
        <w:tc>
          <w:tcPr>
            <w:tcW w:w="2941" w:type="dxa"/>
            <w:tcBorders>
              <w:top w:val="nil"/>
              <w:left w:val="nil"/>
              <w:bottom w:val="nil"/>
              <w:right w:val="nil"/>
            </w:tcBorders>
            <w:shd w:val="clear" w:color="auto" w:fill="auto"/>
            <w:noWrap/>
            <w:vAlign w:val="bottom"/>
            <w:hideMark/>
          </w:tcPr>
          <w:p w14:paraId="2C32D06E" w14:textId="77777777" w:rsidR="00B84AF7" w:rsidRPr="00B84AF7" w:rsidRDefault="00B84AF7" w:rsidP="00204336">
            <w:pPr>
              <w:suppressAutoHyphens w:val="0"/>
              <w:spacing w:after="0" w:line="240" w:lineRule="auto"/>
              <w:rPr>
                <w:b/>
                <w:color w:val="000000"/>
                <w:sz w:val="24"/>
                <w:szCs w:val="24"/>
                <w:u w:val="single"/>
                <w:lang w:val="en-US" w:eastAsia="en-US"/>
              </w:rPr>
            </w:pPr>
            <w:r w:rsidRPr="00B84AF7">
              <w:rPr>
                <w:b/>
                <w:color w:val="000000"/>
                <w:sz w:val="24"/>
                <w:szCs w:val="24"/>
                <w:u w:val="single"/>
                <w:lang w:val="en-US" w:eastAsia="en-US"/>
              </w:rPr>
              <w:t>Risk</w:t>
            </w:r>
          </w:p>
        </w:tc>
      </w:tr>
      <w:tr w:rsidR="002A208F" w:rsidRPr="00B84AF7" w14:paraId="36A28CAF" w14:textId="77777777" w:rsidTr="00757DF3">
        <w:trPr>
          <w:trHeight w:val="300"/>
        </w:trPr>
        <w:tc>
          <w:tcPr>
            <w:tcW w:w="2142" w:type="dxa"/>
            <w:tcBorders>
              <w:top w:val="nil"/>
              <w:left w:val="nil"/>
              <w:bottom w:val="nil"/>
              <w:right w:val="nil"/>
            </w:tcBorders>
            <w:shd w:val="clear" w:color="auto" w:fill="auto"/>
            <w:noWrap/>
            <w:vAlign w:val="center"/>
            <w:hideMark/>
          </w:tcPr>
          <w:p w14:paraId="35F54602" w14:textId="54E925A8"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Fiji</w:t>
            </w:r>
          </w:p>
        </w:tc>
        <w:tc>
          <w:tcPr>
            <w:tcW w:w="1417" w:type="dxa"/>
            <w:tcBorders>
              <w:top w:val="nil"/>
              <w:left w:val="nil"/>
              <w:bottom w:val="nil"/>
              <w:right w:val="nil"/>
            </w:tcBorders>
            <w:shd w:val="clear" w:color="auto" w:fill="auto"/>
            <w:noWrap/>
            <w:vAlign w:val="center"/>
            <w:hideMark/>
          </w:tcPr>
          <w:p w14:paraId="1D8B9505" w14:textId="0F5682F7" w:rsidR="002A208F" w:rsidRPr="00B84AF7" w:rsidRDefault="002A208F" w:rsidP="00F15473">
            <w:pPr>
              <w:suppressAutoHyphens w:val="0"/>
              <w:spacing w:after="0" w:line="240" w:lineRule="auto"/>
              <w:jc w:val="center"/>
              <w:rPr>
                <w:color w:val="000000"/>
                <w:sz w:val="24"/>
                <w:szCs w:val="24"/>
                <w:lang w:val="en-US" w:eastAsia="en-US"/>
              </w:rPr>
            </w:pPr>
            <w:r>
              <w:rPr>
                <w:rFonts w:cs="Arial"/>
                <w:color w:val="000000"/>
                <w:sz w:val="24"/>
                <w:szCs w:val="24"/>
              </w:rPr>
              <w:t>2.5</w:t>
            </w:r>
          </w:p>
        </w:tc>
        <w:tc>
          <w:tcPr>
            <w:tcW w:w="1418" w:type="dxa"/>
            <w:tcBorders>
              <w:top w:val="nil"/>
              <w:left w:val="nil"/>
              <w:bottom w:val="nil"/>
              <w:right w:val="nil"/>
            </w:tcBorders>
            <w:shd w:val="clear" w:color="auto" w:fill="auto"/>
            <w:noWrap/>
            <w:vAlign w:val="center"/>
            <w:hideMark/>
          </w:tcPr>
          <w:p w14:paraId="0EE08F93" w14:textId="04EAE48C"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2.6</w:t>
            </w:r>
          </w:p>
        </w:tc>
        <w:tc>
          <w:tcPr>
            <w:tcW w:w="1275" w:type="dxa"/>
            <w:tcBorders>
              <w:top w:val="nil"/>
              <w:left w:val="nil"/>
              <w:bottom w:val="nil"/>
              <w:right w:val="nil"/>
            </w:tcBorders>
            <w:shd w:val="clear" w:color="auto" w:fill="auto"/>
            <w:noWrap/>
            <w:vAlign w:val="center"/>
            <w:hideMark/>
          </w:tcPr>
          <w:p w14:paraId="57F0BB10" w14:textId="424E85C8"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0.1</w:t>
            </w:r>
          </w:p>
        </w:tc>
        <w:tc>
          <w:tcPr>
            <w:tcW w:w="1701" w:type="dxa"/>
            <w:tcBorders>
              <w:top w:val="nil"/>
              <w:left w:val="nil"/>
              <w:bottom w:val="nil"/>
              <w:right w:val="nil"/>
            </w:tcBorders>
            <w:shd w:val="clear" w:color="auto" w:fill="auto"/>
            <w:noWrap/>
            <w:vAlign w:val="center"/>
            <w:hideMark/>
          </w:tcPr>
          <w:p w14:paraId="49454BA6" w14:textId="596F28F7"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4</w:t>
            </w:r>
          </w:p>
        </w:tc>
        <w:tc>
          <w:tcPr>
            <w:tcW w:w="2941" w:type="dxa"/>
            <w:tcBorders>
              <w:top w:val="nil"/>
              <w:left w:val="nil"/>
              <w:bottom w:val="nil"/>
              <w:right w:val="nil"/>
            </w:tcBorders>
            <w:shd w:val="clear" w:color="auto" w:fill="auto"/>
            <w:noWrap/>
            <w:vAlign w:val="center"/>
            <w:hideMark/>
          </w:tcPr>
          <w:p w14:paraId="0273FC4B" w14:textId="1883675F"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Normal</w:t>
            </w:r>
          </w:p>
        </w:tc>
      </w:tr>
      <w:tr w:rsidR="002A208F" w:rsidRPr="00B84AF7" w14:paraId="3DEE9C7B" w14:textId="77777777" w:rsidTr="0024769B">
        <w:trPr>
          <w:trHeight w:val="300"/>
        </w:trPr>
        <w:tc>
          <w:tcPr>
            <w:tcW w:w="2142" w:type="dxa"/>
            <w:tcBorders>
              <w:top w:val="nil"/>
              <w:left w:val="nil"/>
              <w:bottom w:val="nil"/>
              <w:right w:val="nil"/>
            </w:tcBorders>
            <w:shd w:val="clear" w:color="auto" w:fill="auto"/>
            <w:noWrap/>
            <w:vAlign w:val="center"/>
            <w:hideMark/>
          </w:tcPr>
          <w:p w14:paraId="14FBDB56" w14:textId="0421609C"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Wallis &amp; Futuna</w:t>
            </w:r>
          </w:p>
        </w:tc>
        <w:tc>
          <w:tcPr>
            <w:tcW w:w="1417" w:type="dxa"/>
            <w:tcBorders>
              <w:top w:val="nil"/>
              <w:left w:val="nil"/>
              <w:bottom w:val="nil"/>
              <w:right w:val="nil"/>
            </w:tcBorders>
            <w:shd w:val="clear" w:color="auto" w:fill="auto"/>
            <w:noWrap/>
            <w:vAlign w:val="center"/>
            <w:hideMark/>
          </w:tcPr>
          <w:p w14:paraId="1D1A40D8" w14:textId="0F8403E3"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2.2</w:t>
            </w:r>
          </w:p>
        </w:tc>
        <w:tc>
          <w:tcPr>
            <w:tcW w:w="1418" w:type="dxa"/>
            <w:tcBorders>
              <w:top w:val="nil"/>
              <w:left w:val="nil"/>
              <w:bottom w:val="nil"/>
              <w:right w:val="nil"/>
            </w:tcBorders>
            <w:shd w:val="clear" w:color="auto" w:fill="auto"/>
            <w:noWrap/>
            <w:vAlign w:val="center"/>
            <w:hideMark/>
          </w:tcPr>
          <w:p w14:paraId="133666B4" w14:textId="5695CC51" w:rsidR="002A208F" w:rsidRPr="00B84AF7" w:rsidRDefault="002A208F" w:rsidP="00105C0D">
            <w:pPr>
              <w:suppressAutoHyphens w:val="0"/>
              <w:spacing w:after="0" w:line="240" w:lineRule="auto"/>
              <w:jc w:val="center"/>
              <w:rPr>
                <w:color w:val="000000"/>
                <w:sz w:val="24"/>
                <w:szCs w:val="24"/>
                <w:lang w:val="en-US" w:eastAsia="en-US"/>
              </w:rPr>
            </w:pPr>
            <w:r>
              <w:rPr>
                <w:rFonts w:cs="Arial"/>
                <w:color w:val="000000"/>
                <w:sz w:val="24"/>
                <w:szCs w:val="24"/>
              </w:rPr>
              <w:t>2.6</w:t>
            </w:r>
          </w:p>
        </w:tc>
        <w:tc>
          <w:tcPr>
            <w:tcW w:w="1275" w:type="dxa"/>
            <w:tcBorders>
              <w:top w:val="nil"/>
              <w:left w:val="nil"/>
              <w:bottom w:val="nil"/>
              <w:right w:val="nil"/>
            </w:tcBorders>
            <w:shd w:val="clear" w:color="auto" w:fill="auto"/>
            <w:noWrap/>
            <w:vAlign w:val="center"/>
            <w:hideMark/>
          </w:tcPr>
          <w:p w14:paraId="290EBEC4" w14:textId="4BCC29C0" w:rsidR="002A208F" w:rsidRPr="00B84AF7" w:rsidRDefault="002A208F" w:rsidP="00105C0D">
            <w:pPr>
              <w:suppressAutoHyphens w:val="0"/>
              <w:spacing w:after="0" w:line="240" w:lineRule="auto"/>
              <w:jc w:val="center"/>
              <w:rPr>
                <w:color w:val="000000"/>
                <w:sz w:val="24"/>
                <w:szCs w:val="24"/>
                <w:lang w:val="en-US" w:eastAsia="en-US"/>
              </w:rPr>
            </w:pPr>
            <w:r>
              <w:rPr>
                <w:rFonts w:cs="Arial"/>
                <w:color w:val="000000"/>
                <w:sz w:val="24"/>
                <w:szCs w:val="24"/>
              </w:rPr>
              <w:t>0.4</w:t>
            </w:r>
          </w:p>
        </w:tc>
        <w:tc>
          <w:tcPr>
            <w:tcW w:w="1701" w:type="dxa"/>
            <w:tcBorders>
              <w:top w:val="nil"/>
              <w:left w:val="nil"/>
              <w:bottom w:val="nil"/>
              <w:right w:val="nil"/>
            </w:tcBorders>
            <w:shd w:val="clear" w:color="auto" w:fill="auto"/>
            <w:noWrap/>
            <w:vAlign w:val="center"/>
            <w:hideMark/>
          </w:tcPr>
          <w:p w14:paraId="35B92199" w14:textId="726A7AEC"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18</w:t>
            </w:r>
          </w:p>
        </w:tc>
        <w:tc>
          <w:tcPr>
            <w:tcW w:w="2941" w:type="dxa"/>
            <w:tcBorders>
              <w:top w:val="nil"/>
              <w:left w:val="nil"/>
              <w:bottom w:val="nil"/>
              <w:right w:val="nil"/>
            </w:tcBorders>
            <w:shd w:val="clear" w:color="auto" w:fill="auto"/>
            <w:noWrap/>
            <w:vAlign w:val="center"/>
            <w:hideMark/>
          </w:tcPr>
          <w:p w14:paraId="1A4AAD7F" w14:textId="3BF5FDDA" w:rsidR="002A208F" w:rsidRPr="00B84AF7" w:rsidRDefault="002A208F" w:rsidP="00CC2371">
            <w:pPr>
              <w:suppressAutoHyphens w:val="0"/>
              <w:spacing w:after="0" w:line="240" w:lineRule="auto"/>
              <w:rPr>
                <w:color w:val="000000"/>
                <w:sz w:val="24"/>
                <w:szCs w:val="24"/>
                <w:lang w:val="en-US" w:eastAsia="en-US"/>
              </w:rPr>
            </w:pPr>
            <w:r>
              <w:rPr>
                <w:rFonts w:cs="Arial"/>
                <w:color w:val="000000"/>
                <w:sz w:val="24"/>
                <w:szCs w:val="24"/>
              </w:rPr>
              <w:t>Normal</w:t>
            </w:r>
          </w:p>
        </w:tc>
      </w:tr>
      <w:tr w:rsidR="002A208F" w:rsidRPr="00B84AF7" w14:paraId="4B4F9E28" w14:textId="77777777" w:rsidTr="00757DF3">
        <w:trPr>
          <w:trHeight w:val="300"/>
        </w:trPr>
        <w:tc>
          <w:tcPr>
            <w:tcW w:w="2142" w:type="dxa"/>
            <w:tcBorders>
              <w:top w:val="nil"/>
              <w:left w:val="nil"/>
              <w:bottom w:val="nil"/>
              <w:right w:val="nil"/>
            </w:tcBorders>
            <w:shd w:val="clear" w:color="auto" w:fill="auto"/>
            <w:noWrap/>
            <w:vAlign w:val="center"/>
            <w:hideMark/>
          </w:tcPr>
          <w:p w14:paraId="05F5EF22" w14:textId="1D87C69D"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Tonga</w:t>
            </w:r>
          </w:p>
        </w:tc>
        <w:tc>
          <w:tcPr>
            <w:tcW w:w="1417" w:type="dxa"/>
            <w:tcBorders>
              <w:top w:val="nil"/>
              <w:left w:val="nil"/>
              <w:bottom w:val="nil"/>
              <w:right w:val="nil"/>
            </w:tcBorders>
            <w:shd w:val="clear" w:color="auto" w:fill="auto"/>
            <w:noWrap/>
            <w:vAlign w:val="center"/>
            <w:hideMark/>
          </w:tcPr>
          <w:p w14:paraId="46E393AA" w14:textId="7CDB4056"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2.2</w:t>
            </w:r>
          </w:p>
        </w:tc>
        <w:tc>
          <w:tcPr>
            <w:tcW w:w="1418" w:type="dxa"/>
            <w:tcBorders>
              <w:top w:val="nil"/>
              <w:left w:val="nil"/>
              <w:bottom w:val="nil"/>
              <w:right w:val="nil"/>
            </w:tcBorders>
            <w:shd w:val="clear" w:color="auto" w:fill="auto"/>
            <w:noWrap/>
            <w:vAlign w:val="center"/>
            <w:hideMark/>
          </w:tcPr>
          <w:p w14:paraId="23A4AFF6" w14:textId="02401224"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2.5</w:t>
            </w:r>
          </w:p>
        </w:tc>
        <w:tc>
          <w:tcPr>
            <w:tcW w:w="1275" w:type="dxa"/>
            <w:tcBorders>
              <w:top w:val="nil"/>
              <w:left w:val="nil"/>
              <w:bottom w:val="nil"/>
              <w:right w:val="nil"/>
            </w:tcBorders>
            <w:shd w:val="clear" w:color="auto" w:fill="auto"/>
            <w:noWrap/>
            <w:vAlign w:val="center"/>
            <w:hideMark/>
          </w:tcPr>
          <w:p w14:paraId="7FFF239D" w14:textId="6F049BF5" w:rsidR="002A208F" w:rsidRPr="00B84AF7" w:rsidRDefault="002A208F" w:rsidP="00105C0D">
            <w:pPr>
              <w:suppressAutoHyphens w:val="0"/>
              <w:spacing w:after="0" w:line="240" w:lineRule="auto"/>
              <w:jc w:val="center"/>
              <w:rPr>
                <w:color w:val="000000"/>
                <w:sz w:val="24"/>
                <w:szCs w:val="24"/>
                <w:lang w:val="en-US" w:eastAsia="en-US"/>
              </w:rPr>
            </w:pPr>
            <w:r>
              <w:rPr>
                <w:rFonts w:cs="Arial"/>
                <w:color w:val="000000"/>
                <w:sz w:val="24"/>
                <w:szCs w:val="24"/>
              </w:rPr>
              <w:t>0.3</w:t>
            </w:r>
          </w:p>
        </w:tc>
        <w:tc>
          <w:tcPr>
            <w:tcW w:w="1701" w:type="dxa"/>
            <w:tcBorders>
              <w:top w:val="nil"/>
              <w:left w:val="nil"/>
              <w:bottom w:val="nil"/>
              <w:right w:val="nil"/>
            </w:tcBorders>
            <w:shd w:val="clear" w:color="auto" w:fill="auto"/>
            <w:noWrap/>
            <w:vAlign w:val="center"/>
            <w:hideMark/>
          </w:tcPr>
          <w:p w14:paraId="7A064786" w14:textId="1EDFFEA5"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14</w:t>
            </w:r>
          </w:p>
        </w:tc>
        <w:tc>
          <w:tcPr>
            <w:tcW w:w="2941" w:type="dxa"/>
            <w:tcBorders>
              <w:top w:val="nil"/>
              <w:left w:val="nil"/>
              <w:bottom w:val="nil"/>
              <w:right w:val="nil"/>
            </w:tcBorders>
            <w:shd w:val="clear" w:color="auto" w:fill="auto"/>
            <w:noWrap/>
            <w:vAlign w:val="center"/>
            <w:hideMark/>
          </w:tcPr>
          <w:p w14:paraId="5DF2EBDE" w14:textId="2BC70909" w:rsidR="002A208F" w:rsidRPr="00B84AF7" w:rsidRDefault="002A208F" w:rsidP="00CC2371">
            <w:pPr>
              <w:suppressAutoHyphens w:val="0"/>
              <w:spacing w:after="0" w:line="240" w:lineRule="auto"/>
              <w:rPr>
                <w:color w:val="000000"/>
                <w:sz w:val="24"/>
                <w:szCs w:val="24"/>
                <w:lang w:val="en-US" w:eastAsia="en-US"/>
              </w:rPr>
            </w:pPr>
            <w:r>
              <w:rPr>
                <w:rFonts w:cs="Arial"/>
                <w:color w:val="000000"/>
                <w:sz w:val="24"/>
                <w:szCs w:val="24"/>
              </w:rPr>
              <w:t>Normal</w:t>
            </w:r>
          </w:p>
        </w:tc>
      </w:tr>
      <w:tr w:rsidR="002A208F" w:rsidRPr="00B84AF7" w14:paraId="29618E22" w14:textId="77777777" w:rsidTr="00757DF3">
        <w:trPr>
          <w:trHeight w:val="300"/>
        </w:trPr>
        <w:tc>
          <w:tcPr>
            <w:tcW w:w="2142" w:type="dxa"/>
            <w:tcBorders>
              <w:top w:val="nil"/>
              <w:left w:val="nil"/>
              <w:bottom w:val="nil"/>
              <w:right w:val="nil"/>
            </w:tcBorders>
            <w:shd w:val="clear" w:color="auto" w:fill="auto"/>
            <w:noWrap/>
            <w:vAlign w:val="center"/>
            <w:hideMark/>
          </w:tcPr>
          <w:p w14:paraId="48733DB2" w14:textId="24871EB3"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Niue</w:t>
            </w:r>
          </w:p>
        </w:tc>
        <w:tc>
          <w:tcPr>
            <w:tcW w:w="1417" w:type="dxa"/>
            <w:tcBorders>
              <w:top w:val="nil"/>
              <w:left w:val="nil"/>
              <w:bottom w:val="nil"/>
              <w:right w:val="nil"/>
            </w:tcBorders>
            <w:shd w:val="clear" w:color="auto" w:fill="auto"/>
            <w:noWrap/>
            <w:vAlign w:val="center"/>
            <w:hideMark/>
          </w:tcPr>
          <w:p w14:paraId="0812B55A" w14:textId="6EB1847A"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1.8</w:t>
            </w:r>
          </w:p>
        </w:tc>
        <w:tc>
          <w:tcPr>
            <w:tcW w:w="1418" w:type="dxa"/>
            <w:tcBorders>
              <w:top w:val="nil"/>
              <w:left w:val="nil"/>
              <w:bottom w:val="nil"/>
              <w:right w:val="nil"/>
            </w:tcBorders>
            <w:shd w:val="clear" w:color="auto" w:fill="auto"/>
            <w:noWrap/>
            <w:vAlign w:val="center"/>
            <w:hideMark/>
          </w:tcPr>
          <w:p w14:paraId="50C3EF72" w14:textId="2B343927"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2.4</w:t>
            </w:r>
          </w:p>
        </w:tc>
        <w:tc>
          <w:tcPr>
            <w:tcW w:w="1275" w:type="dxa"/>
            <w:tcBorders>
              <w:top w:val="nil"/>
              <w:left w:val="nil"/>
              <w:bottom w:val="nil"/>
              <w:right w:val="nil"/>
            </w:tcBorders>
            <w:shd w:val="clear" w:color="auto" w:fill="auto"/>
            <w:noWrap/>
            <w:vAlign w:val="center"/>
            <w:hideMark/>
          </w:tcPr>
          <w:p w14:paraId="07C5D9A2" w14:textId="0D815853"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0.6</w:t>
            </w:r>
          </w:p>
        </w:tc>
        <w:tc>
          <w:tcPr>
            <w:tcW w:w="1701" w:type="dxa"/>
            <w:tcBorders>
              <w:top w:val="nil"/>
              <w:left w:val="nil"/>
              <w:bottom w:val="nil"/>
              <w:right w:val="nil"/>
            </w:tcBorders>
            <w:shd w:val="clear" w:color="auto" w:fill="auto"/>
            <w:noWrap/>
            <w:vAlign w:val="center"/>
            <w:hideMark/>
          </w:tcPr>
          <w:p w14:paraId="4C3AE0EF" w14:textId="362622BF"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33</w:t>
            </w:r>
          </w:p>
        </w:tc>
        <w:tc>
          <w:tcPr>
            <w:tcW w:w="2941" w:type="dxa"/>
            <w:tcBorders>
              <w:top w:val="nil"/>
              <w:left w:val="nil"/>
              <w:bottom w:val="nil"/>
              <w:right w:val="nil"/>
            </w:tcBorders>
            <w:shd w:val="clear" w:color="auto" w:fill="auto"/>
            <w:noWrap/>
            <w:vAlign w:val="center"/>
            <w:hideMark/>
          </w:tcPr>
          <w:p w14:paraId="09D41CCD" w14:textId="2A6666E6"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Elevated</w:t>
            </w:r>
          </w:p>
        </w:tc>
      </w:tr>
      <w:tr w:rsidR="002A208F" w:rsidRPr="00B84AF7" w14:paraId="58502469" w14:textId="77777777" w:rsidTr="0024769B">
        <w:trPr>
          <w:trHeight w:val="300"/>
        </w:trPr>
        <w:tc>
          <w:tcPr>
            <w:tcW w:w="2142" w:type="dxa"/>
            <w:tcBorders>
              <w:top w:val="nil"/>
              <w:left w:val="nil"/>
              <w:bottom w:val="nil"/>
              <w:right w:val="nil"/>
            </w:tcBorders>
            <w:shd w:val="clear" w:color="auto" w:fill="auto"/>
            <w:noWrap/>
            <w:vAlign w:val="center"/>
            <w:hideMark/>
          </w:tcPr>
          <w:p w14:paraId="1E9687E5" w14:textId="35865102"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Samoa</w:t>
            </w:r>
          </w:p>
        </w:tc>
        <w:tc>
          <w:tcPr>
            <w:tcW w:w="1417" w:type="dxa"/>
            <w:tcBorders>
              <w:top w:val="nil"/>
              <w:left w:val="nil"/>
              <w:bottom w:val="nil"/>
              <w:right w:val="nil"/>
            </w:tcBorders>
            <w:shd w:val="clear" w:color="auto" w:fill="auto"/>
            <w:noWrap/>
            <w:vAlign w:val="center"/>
            <w:hideMark/>
          </w:tcPr>
          <w:p w14:paraId="0FE811FE" w14:textId="7CDE9031"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1.7</w:t>
            </w:r>
          </w:p>
        </w:tc>
        <w:tc>
          <w:tcPr>
            <w:tcW w:w="1418" w:type="dxa"/>
            <w:tcBorders>
              <w:top w:val="nil"/>
              <w:left w:val="nil"/>
              <w:bottom w:val="nil"/>
              <w:right w:val="nil"/>
            </w:tcBorders>
            <w:shd w:val="clear" w:color="auto" w:fill="auto"/>
            <w:noWrap/>
            <w:vAlign w:val="center"/>
            <w:hideMark/>
          </w:tcPr>
          <w:p w14:paraId="550700C8" w14:textId="014E992C"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2.4</w:t>
            </w:r>
          </w:p>
        </w:tc>
        <w:tc>
          <w:tcPr>
            <w:tcW w:w="1275" w:type="dxa"/>
            <w:tcBorders>
              <w:top w:val="nil"/>
              <w:left w:val="nil"/>
              <w:bottom w:val="nil"/>
              <w:right w:val="nil"/>
            </w:tcBorders>
            <w:shd w:val="clear" w:color="auto" w:fill="auto"/>
            <w:noWrap/>
            <w:vAlign w:val="center"/>
            <w:hideMark/>
          </w:tcPr>
          <w:p w14:paraId="08B5EBC0" w14:textId="3F56D9B8" w:rsidR="002A208F" w:rsidRPr="00B84AF7" w:rsidRDefault="002A208F" w:rsidP="00105C0D">
            <w:pPr>
              <w:suppressAutoHyphens w:val="0"/>
              <w:spacing w:after="0" w:line="240" w:lineRule="auto"/>
              <w:jc w:val="center"/>
              <w:rPr>
                <w:color w:val="000000"/>
                <w:sz w:val="24"/>
                <w:szCs w:val="24"/>
                <w:lang w:val="en-US" w:eastAsia="en-US"/>
              </w:rPr>
            </w:pPr>
            <w:r>
              <w:rPr>
                <w:rFonts w:cs="Arial"/>
                <w:color w:val="000000"/>
                <w:sz w:val="24"/>
                <w:szCs w:val="24"/>
              </w:rPr>
              <w:t>0.8</w:t>
            </w:r>
          </w:p>
        </w:tc>
        <w:tc>
          <w:tcPr>
            <w:tcW w:w="1701" w:type="dxa"/>
            <w:tcBorders>
              <w:top w:val="nil"/>
              <w:left w:val="nil"/>
              <w:bottom w:val="nil"/>
              <w:right w:val="nil"/>
            </w:tcBorders>
            <w:shd w:val="clear" w:color="auto" w:fill="auto"/>
            <w:noWrap/>
            <w:vAlign w:val="center"/>
            <w:hideMark/>
          </w:tcPr>
          <w:p w14:paraId="4621D83A" w14:textId="01EB2C2F"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41</w:t>
            </w:r>
          </w:p>
        </w:tc>
        <w:tc>
          <w:tcPr>
            <w:tcW w:w="2941" w:type="dxa"/>
            <w:tcBorders>
              <w:top w:val="nil"/>
              <w:left w:val="nil"/>
              <w:bottom w:val="nil"/>
              <w:right w:val="nil"/>
            </w:tcBorders>
            <w:shd w:val="clear" w:color="auto" w:fill="auto"/>
            <w:noWrap/>
            <w:vAlign w:val="center"/>
            <w:hideMark/>
          </w:tcPr>
          <w:p w14:paraId="1B70FABF" w14:textId="360AB8D4"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Elevated</w:t>
            </w:r>
          </w:p>
        </w:tc>
      </w:tr>
      <w:tr w:rsidR="002A208F" w:rsidRPr="00B84AF7" w14:paraId="65055912" w14:textId="77777777" w:rsidTr="00757DF3">
        <w:trPr>
          <w:trHeight w:val="300"/>
        </w:trPr>
        <w:tc>
          <w:tcPr>
            <w:tcW w:w="2142" w:type="dxa"/>
            <w:tcBorders>
              <w:top w:val="nil"/>
              <w:left w:val="nil"/>
              <w:bottom w:val="nil"/>
              <w:right w:val="nil"/>
            </w:tcBorders>
            <w:shd w:val="clear" w:color="auto" w:fill="auto"/>
            <w:noWrap/>
            <w:vAlign w:val="center"/>
            <w:hideMark/>
          </w:tcPr>
          <w:p w14:paraId="1591C4BC" w14:textId="546167DF"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Tokelau</w:t>
            </w:r>
          </w:p>
        </w:tc>
        <w:tc>
          <w:tcPr>
            <w:tcW w:w="1417" w:type="dxa"/>
            <w:tcBorders>
              <w:top w:val="nil"/>
              <w:left w:val="nil"/>
              <w:bottom w:val="nil"/>
              <w:right w:val="nil"/>
            </w:tcBorders>
            <w:shd w:val="clear" w:color="auto" w:fill="auto"/>
            <w:noWrap/>
            <w:vAlign w:val="center"/>
            <w:hideMark/>
          </w:tcPr>
          <w:p w14:paraId="14352C0D" w14:textId="37DAB219"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1.6</w:t>
            </w:r>
          </w:p>
        </w:tc>
        <w:tc>
          <w:tcPr>
            <w:tcW w:w="1418" w:type="dxa"/>
            <w:tcBorders>
              <w:top w:val="nil"/>
              <w:left w:val="nil"/>
              <w:bottom w:val="nil"/>
              <w:right w:val="nil"/>
            </w:tcBorders>
            <w:shd w:val="clear" w:color="auto" w:fill="auto"/>
            <w:noWrap/>
            <w:vAlign w:val="center"/>
            <w:hideMark/>
          </w:tcPr>
          <w:p w14:paraId="56E7BAB3" w14:textId="5BEF4BFC"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2.3</w:t>
            </w:r>
          </w:p>
        </w:tc>
        <w:tc>
          <w:tcPr>
            <w:tcW w:w="1275" w:type="dxa"/>
            <w:tcBorders>
              <w:top w:val="nil"/>
              <w:left w:val="nil"/>
              <w:bottom w:val="nil"/>
              <w:right w:val="nil"/>
            </w:tcBorders>
            <w:shd w:val="clear" w:color="auto" w:fill="auto"/>
            <w:noWrap/>
            <w:vAlign w:val="center"/>
            <w:hideMark/>
          </w:tcPr>
          <w:p w14:paraId="12F245EA" w14:textId="0642F9C3"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0.7</w:t>
            </w:r>
          </w:p>
        </w:tc>
        <w:tc>
          <w:tcPr>
            <w:tcW w:w="1701" w:type="dxa"/>
            <w:tcBorders>
              <w:top w:val="nil"/>
              <w:left w:val="nil"/>
              <w:bottom w:val="nil"/>
              <w:right w:val="nil"/>
            </w:tcBorders>
            <w:shd w:val="clear" w:color="auto" w:fill="auto"/>
            <w:noWrap/>
            <w:vAlign w:val="center"/>
            <w:hideMark/>
          </w:tcPr>
          <w:p w14:paraId="7370D029" w14:textId="527460F1"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44</w:t>
            </w:r>
          </w:p>
        </w:tc>
        <w:tc>
          <w:tcPr>
            <w:tcW w:w="2941" w:type="dxa"/>
            <w:tcBorders>
              <w:top w:val="nil"/>
              <w:left w:val="nil"/>
              <w:bottom w:val="nil"/>
              <w:right w:val="nil"/>
            </w:tcBorders>
            <w:shd w:val="clear" w:color="auto" w:fill="auto"/>
            <w:noWrap/>
            <w:vAlign w:val="center"/>
            <w:hideMark/>
          </w:tcPr>
          <w:p w14:paraId="49EEB0E7" w14:textId="55B7D2BE"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Elevated</w:t>
            </w:r>
          </w:p>
        </w:tc>
      </w:tr>
      <w:tr w:rsidR="002A208F" w:rsidRPr="00B84AF7" w14:paraId="49662964" w14:textId="77777777" w:rsidTr="00757DF3">
        <w:trPr>
          <w:trHeight w:val="300"/>
        </w:trPr>
        <w:tc>
          <w:tcPr>
            <w:tcW w:w="2142" w:type="dxa"/>
            <w:tcBorders>
              <w:top w:val="nil"/>
              <w:left w:val="nil"/>
              <w:bottom w:val="nil"/>
              <w:right w:val="nil"/>
            </w:tcBorders>
            <w:shd w:val="clear" w:color="auto" w:fill="auto"/>
            <w:noWrap/>
            <w:vAlign w:val="center"/>
            <w:hideMark/>
          </w:tcPr>
          <w:p w14:paraId="1936E880" w14:textId="081CB106"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Vanuatu</w:t>
            </w:r>
          </w:p>
        </w:tc>
        <w:tc>
          <w:tcPr>
            <w:tcW w:w="1417" w:type="dxa"/>
            <w:tcBorders>
              <w:top w:val="nil"/>
              <w:left w:val="nil"/>
              <w:bottom w:val="nil"/>
              <w:right w:val="nil"/>
            </w:tcBorders>
            <w:shd w:val="clear" w:color="auto" w:fill="auto"/>
            <w:noWrap/>
            <w:vAlign w:val="center"/>
            <w:hideMark/>
          </w:tcPr>
          <w:p w14:paraId="6A822B9F" w14:textId="4FBFD92B"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2.9</w:t>
            </w:r>
          </w:p>
        </w:tc>
        <w:tc>
          <w:tcPr>
            <w:tcW w:w="1418" w:type="dxa"/>
            <w:tcBorders>
              <w:top w:val="nil"/>
              <w:left w:val="nil"/>
              <w:bottom w:val="nil"/>
              <w:right w:val="nil"/>
            </w:tcBorders>
            <w:shd w:val="clear" w:color="auto" w:fill="auto"/>
            <w:noWrap/>
            <w:vAlign w:val="center"/>
            <w:hideMark/>
          </w:tcPr>
          <w:p w14:paraId="1ED06AA6" w14:textId="0DFB23FC"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2.15</w:t>
            </w:r>
          </w:p>
        </w:tc>
        <w:tc>
          <w:tcPr>
            <w:tcW w:w="1275" w:type="dxa"/>
            <w:tcBorders>
              <w:top w:val="nil"/>
              <w:left w:val="nil"/>
              <w:bottom w:val="nil"/>
              <w:right w:val="nil"/>
            </w:tcBorders>
            <w:shd w:val="clear" w:color="auto" w:fill="auto"/>
            <w:noWrap/>
            <w:vAlign w:val="center"/>
            <w:hideMark/>
          </w:tcPr>
          <w:p w14:paraId="3C982DC2" w14:textId="76A03A75" w:rsidR="002A208F" w:rsidRPr="00B84AF7" w:rsidRDefault="002A208F" w:rsidP="00105C0D">
            <w:pPr>
              <w:suppressAutoHyphens w:val="0"/>
              <w:spacing w:after="0" w:line="240" w:lineRule="auto"/>
              <w:jc w:val="center"/>
              <w:rPr>
                <w:color w:val="000000"/>
                <w:sz w:val="24"/>
                <w:szCs w:val="24"/>
                <w:lang w:val="en-US" w:eastAsia="en-US"/>
              </w:rPr>
            </w:pPr>
            <w:r>
              <w:rPr>
                <w:rFonts w:cs="Arial"/>
                <w:color w:val="000000"/>
                <w:sz w:val="24"/>
                <w:szCs w:val="24"/>
              </w:rPr>
              <w:t>-0.75</w:t>
            </w:r>
          </w:p>
        </w:tc>
        <w:tc>
          <w:tcPr>
            <w:tcW w:w="1701" w:type="dxa"/>
            <w:tcBorders>
              <w:top w:val="nil"/>
              <w:left w:val="nil"/>
              <w:bottom w:val="nil"/>
              <w:right w:val="nil"/>
            </w:tcBorders>
            <w:shd w:val="clear" w:color="auto" w:fill="auto"/>
            <w:noWrap/>
            <w:vAlign w:val="center"/>
            <w:hideMark/>
          </w:tcPr>
          <w:p w14:paraId="352041F2" w14:textId="7BEF9861"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-26</w:t>
            </w:r>
          </w:p>
        </w:tc>
        <w:tc>
          <w:tcPr>
            <w:tcW w:w="2941" w:type="dxa"/>
            <w:tcBorders>
              <w:top w:val="nil"/>
              <w:left w:val="nil"/>
              <w:bottom w:val="nil"/>
              <w:right w:val="nil"/>
            </w:tcBorders>
            <w:shd w:val="clear" w:color="auto" w:fill="auto"/>
            <w:noWrap/>
            <w:vAlign w:val="center"/>
            <w:hideMark/>
          </w:tcPr>
          <w:p w14:paraId="318EABEB" w14:textId="31B5C770"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Reduced</w:t>
            </w:r>
          </w:p>
        </w:tc>
      </w:tr>
      <w:tr w:rsidR="002A208F" w:rsidRPr="00B84AF7" w14:paraId="07E20E1D" w14:textId="77777777" w:rsidTr="0024769B">
        <w:trPr>
          <w:trHeight w:val="300"/>
        </w:trPr>
        <w:tc>
          <w:tcPr>
            <w:tcW w:w="2142" w:type="dxa"/>
            <w:tcBorders>
              <w:top w:val="nil"/>
              <w:left w:val="nil"/>
              <w:bottom w:val="nil"/>
              <w:right w:val="nil"/>
            </w:tcBorders>
            <w:shd w:val="clear" w:color="auto" w:fill="auto"/>
            <w:noWrap/>
            <w:vAlign w:val="center"/>
            <w:hideMark/>
          </w:tcPr>
          <w:p w14:paraId="6F4EC50E" w14:textId="25B0D374"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Tuvalu</w:t>
            </w:r>
          </w:p>
        </w:tc>
        <w:tc>
          <w:tcPr>
            <w:tcW w:w="1417" w:type="dxa"/>
            <w:tcBorders>
              <w:top w:val="nil"/>
              <w:left w:val="nil"/>
              <w:bottom w:val="nil"/>
              <w:right w:val="nil"/>
            </w:tcBorders>
            <w:shd w:val="clear" w:color="auto" w:fill="auto"/>
            <w:noWrap/>
            <w:vAlign w:val="center"/>
            <w:hideMark/>
          </w:tcPr>
          <w:p w14:paraId="3BEAA139" w14:textId="0BACD2B9"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1.4</w:t>
            </w:r>
          </w:p>
        </w:tc>
        <w:tc>
          <w:tcPr>
            <w:tcW w:w="1418" w:type="dxa"/>
            <w:tcBorders>
              <w:top w:val="nil"/>
              <w:left w:val="nil"/>
              <w:bottom w:val="nil"/>
              <w:right w:val="nil"/>
            </w:tcBorders>
            <w:shd w:val="clear" w:color="auto" w:fill="auto"/>
            <w:noWrap/>
            <w:vAlign w:val="center"/>
            <w:hideMark/>
          </w:tcPr>
          <w:p w14:paraId="3337DA5B" w14:textId="001CC4EC" w:rsidR="002A208F" w:rsidRPr="00B84AF7" w:rsidRDefault="002A208F" w:rsidP="00105C0D">
            <w:pPr>
              <w:suppressAutoHyphens w:val="0"/>
              <w:spacing w:after="0" w:line="240" w:lineRule="auto"/>
              <w:jc w:val="center"/>
              <w:rPr>
                <w:color w:val="000000"/>
                <w:sz w:val="24"/>
                <w:szCs w:val="24"/>
                <w:lang w:val="en-US" w:eastAsia="en-US"/>
              </w:rPr>
            </w:pPr>
            <w:r>
              <w:rPr>
                <w:rFonts w:cs="Arial"/>
                <w:color w:val="000000"/>
                <w:sz w:val="24"/>
                <w:szCs w:val="24"/>
              </w:rPr>
              <w:t>2</w:t>
            </w:r>
          </w:p>
        </w:tc>
        <w:tc>
          <w:tcPr>
            <w:tcW w:w="1275" w:type="dxa"/>
            <w:tcBorders>
              <w:top w:val="nil"/>
              <w:left w:val="nil"/>
              <w:bottom w:val="nil"/>
              <w:right w:val="nil"/>
            </w:tcBorders>
            <w:shd w:val="clear" w:color="auto" w:fill="auto"/>
            <w:noWrap/>
            <w:vAlign w:val="center"/>
            <w:hideMark/>
          </w:tcPr>
          <w:p w14:paraId="00C095F3" w14:textId="6ABB50AC"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0.6</w:t>
            </w:r>
          </w:p>
        </w:tc>
        <w:tc>
          <w:tcPr>
            <w:tcW w:w="1701" w:type="dxa"/>
            <w:tcBorders>
              <w:top w:val="nil"/>
              <w:left w:val="nil"/>
              <w:bottom w:val="nil"/>
              <w:right w:val="nil"/>
            </w:tcBorders>
            <w:shd w:val="clear" w:color="auto" w:fill="auto"/>
            <w:noWrap/>
            <w:vAlign w:val="center"/>
            <w:hideMark/>
          </w:tcPr>
          <w:p w14:paraId="77454A4A" w14:textId="2F12C681"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43</w:t>
            </w:r>
          </w:p>
        </w:tc>
        <w:tc>
          <w:tcPr>
            <w:tcW w:w="2941" w:type="dxa"/>
            <w:tcBorders>
              <w:top w:val="nil"/>
              <w:left w:val="nil"/>
              <w:bottom w:val="nil"/>
              <w:right w:val="nil"/>
            </w:tcBorders>
            <w:shd w:val="clear" w:color="auto" w:fill="auto"/>
            <w:noWrap/>
            <w:vAlign w:val="center"/>
            <w:hideMark/>
          </w:tcPr>
          <w:p w14:paraId="383FEFDF" w14:textId="7E5619ED" w:rsidR="002A208F" w:rsidRPr="00B84AF7" w:rsidRDefault="002A208F" w:rsidP="0093311D">
            <w:pPr>
              <w:suppressAutoHyphens w:val="0"/>
              <w:spacing w:after="0" w:line="240" w:lineRule="auto"/>
              <w:rPr>
                <w:color w:val="000000"/>
                <w:sz w:val="24"/>
                <w:szCs w:val="24"/>
                <w:lang w:val="en-US" w:eastAsia="en-US"/>
              </w:rPr>
            </w:pPr>
            <w:r>
              <w:rPr>
                <w:rFonts w:cs="Arial"/>
                <w:color w:val="000000"/>
                <w:sz w:val="24"/>
                <w:szCs w:val="24"/>
              </w:rPr>
              <w:t>Elevated</w:t>
            </w:r>
          </w:p>
        </w:tc>
      </w:tr>
      <w:tr w:rsidR="002A208F" w:rsidRPr="00B84AF7" w14:paraId="047B4FB3" w14:textId="77777777" w:rsidTr="00757DF3">
        <w:trPr>
          <w:trHeight w:val="300"/>
        </w:trPr>
        <w:tc>
          <w:tcPr>
            <w:tcW w:w="2142" w:type="dxa"/>
            <w:tcBorders>
              <w:top w:val="nil"/>
              <w:left w:val="nil"/>
              <w:bottom w:val="nil"/>
              <w:right w:val="nil"/>
            </w:tcBorders>
            <w:shd w:val="clear" w:color="auto" w:fill="auto"/>
            <w:noWrap/>
            <w:vAlign w:val="center"/>
            <w:hideMark/>
          </w:tcPr>
          <w:p w14:paraId="064428AF" w14:textId="482D9BD9"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S. Cooks</w:t>
            </w:r>
          </w:p>
        </w:tc>
        <w:tc>
          <w:tcPr>
            <w:tcW w:w="1417" w:type="dxa"/>
            <w:tcBorders>
              <w:top w:val="nil"/>
              <w:left w:val="nil"/>
              <w:bottom w:val="nil"/>
              <w:right w:val="nil"/>
            </w:tcBorders>
            <w:shd w:val="clear" w:color="auto" w:fill="auto"/>
            <w:noWrap/>
            <w:vAlign w:val="center"/>
            <w:hideMark/>
          </w:tcPr>
          <w:p w14:paraId="7FD97340" w14:textId="18C0AC53"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1.3</w:t>
            </w:r>
          </w:p>
        </w:tc>
        <w:tc>
          <w:tcPr>
            <w:tcW w:w="1418" w:type="dxa"/>
            <w:tcBorders>
              <w:top w:val="nil"/>
              <w:left w:val="nil"/>
              <w:bottom w:val="nil"/>
              <w:right w:val="nil"/>
            </w:tcBorders>
            <w:shd w:val="clear" w:color="auto" w:fill="auto"/>
            <w:noWrap/>
            <w:vAlign w:val="center"/>
            <w:hideMark/>
          </w:tcPr>
          <w:p w14:paraId="5427487F" w14:textId="329FB37C"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1.9</w:t>
            </w:r>
          </w:p>
        </w:tc>
        <w:tc>
          <w:tcPr>
            <w:tcW w:w="1275" w:type="dxa"/>
            <w:tcBorders>
              <w:top w:val="nil"/>
              <w:left w:val="nil"/>
              <w:bottom w:val="nil"/>
              <w:right w:val="nil"/>
            </w:tcBorders>
            <w:shd w:val="clear" w:color="auto" w:fill="auto"/>
            <w:noWrap/>
            <w:vAlign w:val="center"/>
            <w:hideMark/>
          </w:tcPr>
          <w:p w14:paraId="02151FDC" w14:textId="33B572E4"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0.6</w:t>
            </w:r>
          </w:p>
        </w:tc>
        <w:tc>
          <w:tcPr>
            <w:tcW w:w="1701" w:type="dxa"/>
            <w:tcBorders>
              <w:top w:val="nil"/>
              <w:left w:val="nil"/>
              <w:bottom w:val="nil"/>
              <w:right w:val="nil"/>
            </w:tcBorders>
            <w:shd w:val="clear" w:color="auto" w:fill="auto"/>
            <w:noWrap/>
            <w:vAlign w:val="center"/>
            <w:hideMark/>
          </w:tcPr>
          <w:p w14:paraId="7F73E7BA" w14:textId="53055C4F"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46</w:t>
            </w:r>
          </w:p>
        </w:tc>
        <w:tc>
          <w:tcPr>
            <w:tcW w:w="2941" w:type="dxa"/>
            <w:tcBorders>
              <w:top w:val="nil"/>
              <w:left w:val="nil"/>
              <w:bottom w:val="nil"/>
              <w:right w:val="nil"/>
            </w:tcBorders>
            <w:shd w:val="clear" w:color="auto" w:fill="auto"/>
            <w:noWrap/>
            <w:vAlign w:val="center"/>
            <w:hideMark/>
          </w:tcPr>
          <w:p w14:paraId="1C8DBC3E" w14:textId="0FB3277B"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Elevated</w:t>
            </w:r>
          </w:p>
        </w:tc>
      </w:tr>
      <w:tr w:rsidR="002A208F" w:rsidRPr="00B84AF7" w14:paraId="0C8A9591" w14:textId="77777777" w:rsidTr="00757DF3">
        <w:trPr>
          <w:trHeight w:val="300"/>
        </w:trPr>
        <w:tc>
          <w:tcPr>
            <w:tcW w:w="2142" w:type="dxa"/>
            <w:tcBorders>
              <w:top w:val="nil"/>
              <w:left w:val="nil"/>
              <w:bottom w:val="nil"/>
              <w:right w:val="nil"/>
            </w:tcBorders>
            <w:shd w:val="clear" w:color="auto" w:fill="auto"/>
            <w:noWrap/>
            <w:vAlign w:val="center"/>
            <w:hideMark/>
          </w:tcPr>
          <w:p w14:paraId="09AD29D9" w14:textId="66FE58EC"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New Caledonia</w:t>
            </w:r>
          </w:p>
        </w:tc>
        <w:tc>
          <w:tcPr>
            <w:tcW w:w="1417" w:type="dxa"/>
            <w:tcBorders>
              <w:top w:val="nil"/>
              <w:left w:val="nil"/>
              <w:bottom w:val="nil"/>
              <w:right w:val="nil"/>
            </w:tcBorders>
            <w:shd w:val="clear" w:color="auto" w:fill="auto"/>
            <w:noWrap/>
            <w:vAlign w:val="center"/>
            <w:hideMark/>
          </w:tcPr>
          <w:p w14:paraId="532B1690" w14:textId="46A63B43" w:rsidR="002A208F" w:rsidRPr="00B84AF7" w:rsidRDefault="002A208F" w:rsidP="00931223">
            <w:pPr>
              <w:suppressAutoHyphens w:val="0"/>
              <w:spacing w:after="0" w:line="240" w:lineRule="auto"/>
              <w:jc w:val="center"/>
              <w:rPr>
                <w:color w:val="000000"/>
                <w:sz w:val="24"/>
                <w:szCs w:val="24"/>
                <w:lang w:val="en-US" w:eastAsia="en-US"/>
              </w:rPr>
            </w:pPr>
            <w:r>
              <w:rPr>
                <w:rFonts w:cs="Arial"/>
                <w:color w:val="000000"/>
                <w:sz w:val="24"/>
                <w:szCs w:val="24"/>
              </w:rPr>
              <w:t>2.75</w:t>
            </w:r>
          </w:p>
        </w:tc>
        <w:tc>
          <w:tcPr>
            <w:tcW w:w="1418" w:type="dxa"/>
            <w:tcBorders>
              <w:top w:val="nil"/>
              <w:left w:val="nil"/>
              <w:bottom w:val="nil"/>
              <w:right w:val="nil"/>
            </w:tcBorders>
            <w:shd w:val="clear" w:color="auto" w:fill="auto"/>
            <w:noWrap/>
            <w:vAlign w:val="center"/>
            <w:hideMark/>
          </w:tcPr>
          <w:p w14:paraId="370D7D03" w14:textId="723C57E6"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1.75</w:t>
            </w:r>
          </w:p>
        </w:tc>
        <w:tc>
          <w:tcPr>
            <w:tcW w:w="1275" w:type="dxa"/>
            <w:tcBorders>
              <w:top w:val="nil"/>
              <w:left w:val="nil"/>
              <w:bottom w:val="nil"/>
              <w:right w:val="nil"/>
            </w:tcBorders>
            <w:shd w:val="clear" w:color="auto" w:fill="auto"/>
            <w:noWrap/>
            <w:vAlign w:val="center"/>
            <w:hideMark/>
          </w:tcPr>
          <w:p w14:paraId="1B81A8BE" w14:textId="1004F53D"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-1</w:t>
            </w:r>
          </w:p>
        </w:tc>
        <w:tc>
          <w:tcPr>
            <w:tcW w:w="1701" w:type="dxa"/>
            <w:tcBorders>
              <w:top w:val="nil"/>
              <w:left w:val="nil"/>
              <w:bottom w:val="nil"/>
              <w:right w:val="nil"/>
            </w:tcBorders>
            <w:shd w:val="clear" w:color="auto" w:fill="auto"/>
            <w:noWrap/>
            <w:vAlign w:val="center"/>
            <w:hideMark/>
          </w:tcPr>
          <w:p w14:paraId="583353E5" w14:textId="2940E12E"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-36</w:t>
            </w:r>
          </w:p>
        </w:tc>
        <w:tc>
          <w:tcPr>
            <w:tcW w:w="2941" w:type="dxa"/>
            <w:tcBorders>
              <w:top w:val="nil"/>
              <w:left w:val="nil"/>
              <w:bottom w:val="nil"/>
              <w:right w:val="nil"/>
            </w:tcBorders>
            <w:shd w:val="clear" w:color="auto" w:fill="auto"/>
            <w:noWrap/>
            <w:vAlign w:val="center"/>
            <w:hideMark/>
          </w:tcPr>
          <w:p w14:paraId="44264DFC" w14:textId="390B6825"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Reduced</w:t>
            </w:r>
          </w:p>
        </w:tc>
      </w:tr>
      <w:tr w:rsidR="002A208F" w:rsidRPr="00B84AF7" w14:paraId="788AA285" w14:textId="77777777" w:rsidTr="00757DF3">
        <w:trPr>
          <w:trHeight w:val="300"/>
        </w:trPr>
        <w:tc>
          <w:tcPr>
            <w:tcW w:w="2142" w:type="dxa"/>
            <w:tcBorders>
              <w:top w:val="nil"/>
              <w:left w:val="nil"/>
              <w:bottom w:val="nil"/>
              <w:right w:val="nil"/>
            </w:tcBorders>
            <w:shd w:val="clear" w:color="auto" w:fill="auto"/>
            <w:noWrap/>
            <w:vAlign w:val="center"/>
            <w:hideMark/>
          </w:tcPr>
          <w:p w14:paraId="3B98870F" w14:textId="05A72365"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Solomon Is.</w:t>
            </w:r>
          </w:p>
        </w:tc>
        <w:tc>
          <w:tcPr>
            <w:tcW w:w="1417" w:type="dxa"/>
            <w:tcBorders>
              <w:top w:val="nil"/>
              <w:left w:val="nil"/>
              <w:bottom w:val="nil"/>
              <w:right w:val="nil"/>
            </w:tcBorders>
            <w:shd w:val="clear" w:color="auto" w:fill="auto"/>
            <w:noWrap/>
            <w:vAlign w:val="center"/>
            <w:hideMark/>
          </w:tcPr>
          <w:p w14:paraId="65822ACE" w14:textId="780585E5"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1.2</w:t>
            </w:r>
          </w:p>
        </w:tc>
        <w:tc>
          <w:tcPr>
            <w:tcW w:w="1418" w:type="dxa"/>
            <w:tcBorders>
              <w:top w:val="nil"/>
              <w:left w:val="nil"/>
              <w:bottom w:val="nil"/>
              <w:right w:val="nil"/>
            </w:tcBorders>
            <w:shd w:val="clear" w:color="auto" w:fill="auto"/>
            <w:noWrap/>
            <w:vAlign w:val="center"/>
            <w:hideMark/>
          </w:tcPr>
          <w:p w14:paraId="4DB1114E" w14:textId="06EEA8D7"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1.2</w:t>
            </w:r>
          </w:p>
        </w:tc>
        <w:tc>
          <w:tcPr>
            <w:tcW w:w="1275" w:type="dxa"/>
            <w:tcBorders>
              <w:top w:val="nil"/>
              <w:left w:val="nil"/>
              <w:bottom w:val="nil"/>
              <w:right w:val="nil"/>
            </w:tcBorders>
            <w:shd w:val="clear" w:color="auto" w:fill="auto"/>
            <w:noWrap/>
            <w:vAlign w:val="center"/>
            <w:hideMark/>
          </w:tcPr>
          <w:p w14:paraId="1CF1A977" w14:textId="0CD00352" w:rsidR="002A208F" w:rsidRPr="00B84AF7" w:rsidRDefault="002A208F" w:rsidP="00666B33">
            <w:pPr>
              <w:suppressAutoHyphens w:val="0"/>
              <w:spacing w:after="0" w:line="240" w:lineRule="auto"/>
              <w:jc w:val="center"/>
              <w:rPr>
                <w:color w:val="000000"/>
                <w:sz w:val="24"/>
                <w:szCs w:val="24"/>
                <w:lang w:val="en-US" w:eastAsia="en-US"/>
              </w:rPr>
            </w:pPr>
            <w:r>
              <w:rPr>
                <w:rFonts w:cs="Arial"/>
                <w:color w:val="000000"/>
                <w:sz w:val="24"/>
                <w:szCs w:val="24"/>
              </w:rPr>
              <w:t>0</w:t>
            </w:r>
          </w:p>
        </w:tc>
        <w:tc>
          <w:tcPr>
            <w:tcW w:w="1701" w:type="dxa"/>
            <w:tcBorders>
              <w:top w:val="nil"/>
              <w:left w:val="nil"/>
              <w:bottom w:val="nil"/>
              <w:right w:val="nil"/>
            </w:tcBorders>
            <w:shd w:val="clear" w:color="auto" w:fill="auto"/>
            <w:noWrap/>
            <w:vAlign w:val="center"/>
            <w:hideMark/>
          </w:tcPr>
          <w:p w14:paraId="7DFF02AF" w14:textId="231C11A5"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w:t>
            </w:r>
          </w:p>
        </w:tc>
        <w:tc>
          <w:tcPr>
            <w:tcW w:w="2941" w:type="dxa"/>
            <w:tcBorders>
              <w:top w:val="nil"/>
              <w:left w:val="nil"/>
              <w:bottom w:val="nil"/>
              <w:right w:val="nil"/>
            </w:tcBorders>
            <w:shd w:val="clear" w:color="auto" w:fill="auto"/>
            <w:noWrap/>
            <w:vAlign w:val="center"/>
            <w:hideMark/>
          </w:tcPr>
          <w:p w14:paraId="3B16E637" w14:textId="06DDAAE8"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Normal</w:t>
            </w:r>
          </w:p>
        </w:tc>
      </w:tr>
      <w:tr w:rsidR="002A208F" w:rsidRPr="00B84AF7" w14:paraId="1EC40DFB" w14:textId="77777777" w:rsidTr="00757DF3">
        <w:trPr>
          <w:trHeight w:val="300"/>
        </w:trPr>
        <w:tc>
          <w:tcPr>
            <w:tcW w:w="2142" w:type="dxa"/>
            <w:tcBorders>
              <w:top w:val="nil"/>
              <w:left w:val="nil"/>
              <w:bottom w:val="nil"/>
              <w:right w:val="nil"/>
            </w:tcBorders>
            <w:shd w:val="clear" w:color="auto" w:fill="auto"/>
            <w:noWrap/>
            <w:vAlign w:val="center"/>
            <w:hideMark/>
          </w:tcPr>
          <w:p w14:paraId="7989C0A6" w14:textId="00F23018"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Papua New Guinea</w:t>
            </w:r>
          </w:p>
        </w:tc>
        <w:tc>
          <w:tcPr>
            <w:tcW w:w="1417" w:type="dxa"/>
            <w:tcBorders>
              <w:top w:val="nil"/>
              <w:left w:val="nil"/>
              <w:bottom w:val="nil"/>
              <w:right w:val="nil"/>
            </w:tcBorders>
            <w:shd w:val="clear" w:color="auto" w:fill="auto"/>
            <w:noWrap/>
            <w:vAlign w:val="center"/>
            <w:hideMark/>
          </w:tcPr>
          <w:p w14:paraId="34B095B8" w14:textId="662BC9D4"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0.9</w:t>
            </w:r>
          </w:p>
        </w:tc>
        <w:tc>
          <w:tcPr>
            <w:tcW w:w="1418" w:type="dxa"/>
            <w:tcBorders>
              <w:top w:val="nil"/>
              <w:left w:val="nil"/>
              <w:bottom w:val="nil"/>
              <w:right w:val="nil"/>
            </w:tcBorders>
            <w:shd w:val="clear" w:color="auto" w:fill="auto"/>
            <w:noWrap/>
            <w:vAlign w:val="center"/>
            <w:hideMark/>
          </w:tcPr>
          <w:p w14:paraId="756C7F98" w14:textId="38EAC44D"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0.9</w:t>
            </w:r>
          </w:p>
        </w:tc>
        <w:tc>
          <w:tcPr>
            <w:tcW w:w="1275" w:type="dxa"/>
            <w:tcBorders>
              <w:top w:val="nil"/>
              <w:left w:val="nil"/>
              <w:bottom w:val="nil"/>
              <w:right w:val="nil"/>
            </w:tcBorders>
            <w:shd w:val="clear" w:color="auto" w:fill="auto"/>
            <w:noWrap/>
            <w:vAlign w:val="center"/>
            <w:hideMark/>
          </w:tcPr>
          <w:p w14:paraId="5E67DC8F" w14:textId="21798DB3" w:rsidR="002A208F" w:rsidRPr="00B84AF7" w:rsidRDefault="002A208F" w:rsidP="00666B33">
            <w:pPr>
              <w:suppressAutoHyphens w:val="0"/>
              <w:spacing w:after="0" w:line="240" w:lineRule="auto"/>
              <w:jc w:val="center"/>
              <w:rPr>
                <w:color w:val="000000"/>
                <w:sz w:val="24"/>
                <w:szCs w:val="24"/>
                <w:lang w:val="en-US" w:eastAsia="en-US"/>
              </w:rPr>
            </w:pPr>
            <w:r>
              <w:rPr>
                <w:rFonts w:cs="Arial"/>
                <w:color w:val="000000"/>
                <w:sz w:val="24"/>
                <w:szCs w:val="24"/>
              </w:rPr>
              <w:t>0</w:t>
            </w:r>
          </w:p>
        </w:tc>
        <w:tc>
          <w:tcPr>
            <w:tcW w:w="1701" w:type="dxa"/>
            <w:tcBorders>
              <w:top w:val="nil"/>
              <w:left w:val="nil"/>
              <w:bottom w:val="nil"/>
              <w:right w:val="nil"/>
            </w:tcBorders>
            <w:shd w:val="clear" w:color="auto" w:fill="auto"/>
            <w:noWrap/>
            <w:vAlign w:val="center"/>
            <w:hideMark/>
          </w:tcPr>
          <w:p w14:paraId="51853AFB" w14:textId="4F3DC9B1"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w:t>
            </w:r>
          </w:p>
        </w:tc>
        <w:tc>
          <w:tcPr>
            <w:tcW w:w="2941" w:type="dxa"/>
            <w:tcBorders>
              <w:top w:val="nil"/>
              <w:left w:val="nil"/>
              <w:bottom w:val="nil"/>
              <w:right w:val="nil"/>
            </w:tcBorders>
            <w:shd w:val="clear" w:color="auto" w:fill="auto"/>
            <w:noWrap/>
            <w:vAlign w:val="center"/>
            <w:hideMark/>
          </w:tcPr>
          <w:p w14:paraId="7F3491A3" w14:textId="106F77F3"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Normal</w:t>
            </w:r>
          </w:p>
        </w:tc>
      </w:tr>
      <w:tr w:rsidR="002A208F" w:rsidRPr="00B84AF7" w14:paraId="0B97FC1B" w14:textId="77777777" w:rsidTr="00757DF3">
        <w:trPr>
          <w:trHeight w:val="300"/>
        </w:trPr>
        <w:tc>
          <w:tcPr>
            <w:tcW w:w="2142" w:type="dxa"/>
            <w:tcBorders>
              <w:top w:val="nil"/>
              <w:left w:val="nil"/>
              <w:bottom w:val="nil"/>
              <w:right w:val="nil"/>
            </w:tcBorders>
            <w:shd w:val="clear" w:color="auto" w:fill="auto"/>
            <w:noWrap/>
            <w:vAlign w:val="center"/>
            <w:hideMark/>
          </w:tcPr>
          <w:p w14:paraId="62592216" w14:textId="1F59674B"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N. New Zealand</w:t>
            </w:r>
          </w:p>
        </w:tc>
        <w:tc>
          <w:tcPr>
            <w:tcW w:w="1417" w:type="dxa"/>
            <w:tcBorders>
              <w:top w:val="nil"/>
              <w:left w:val="nil"/>
              <w:bottom w:val="nil"/>
              <w:right w:val="nil"/>
            </w:tcBorders>
            <w:shd w:val="clear" w:color="auto" w:fill="auto"/>
            <w:noWrap/>
            <w:vAlign w:val="center"/>
            <w:hideMark/>
          </w:tcPr>
          <w:p w14:paraId="107D7FE9" w14:textId="43DC5CB2" w:rsidR="002A208F" w:rsidRPr="00B84AF7" w:rsidRDefault="002A208F" w:rsidP="00F15473">
            <w:pPr>
              <w:suppressAutoHyphens w:val="0"/>
              <w:spacing w:after="0" w:line="240" w:lineRule="auto"/>
              <w:jc w:val="center"/>
              <w:rPr>
                <w:color w:val="000000"/>
                <w:sz w:val="24"/>
                <w:szCs w:val="24"/>
                <w:lang w:val="en-US" w:eastAsia="en-US"/>
              </w:rPr>
            </w:pPr>
            <w:r>
              <w:rPr>
                <w:rFonts w:cs="Arial"/>
                <w:color w:val="000000"/>
                <w:sz w:val="24"/>
                <w:szCs w:val="24"/>
              </w:rPr>
              <w:t>0.75</w:t>
            </w:r>
          </w:p>
        </w:tc>
        <w:tc>
          <w:tcPr>
            <w:tcW w:w="1418" w:type="dxa"/>
            <w:tcBorders>
              <w:top w:val="nil"/>
              <w:left w:val="nil"/>
              <w:bottom w:val="nil"/>
              <w:right w:val="nil"/>
            </w:tcBorders>
            <w:shd w:val="clear" w:color="auto" w:fill="auto"/>
            <w:noWrap/>
            <w:vAlign w:val="center"/>
            <w:hideMark/>
          </w:tcPr>
          <w:p w14:paraId="39A0BFEC" w14:textId="77DCF832" w:rsidR="002A208F" w:rsidRPr="00B84AF7" w:rsidRDefault="002A208F" w:rsidP="00666B33">
            <w:pPr>
              <w:suppressAutoHyphens w:val="0"/>
              <w:spacing w:after="0" w:line="240" w:lineRule="auto"/>
              <w:jc w:val="center"/>
              <w:rPr>
                <w:color w:val="000000"/>
                <w:sz w:val="24"/>
                <w:szCs w:val="24"/>
                <w:lang w:val="en-US" w:eastAsia="en-US"/>
              </w:rPr>
            </w:pPr>
            <w:r>
              <w:rPr>
                <w:rFonts w:cs="Arial"/>
                <w:color w:val="000000"/>
                <w:sz w:val="24"/>
                <w:szCs w:val="24"/>
              </w:rPr>
              <w:t>0.75</w:t>
            </w:r>
          </w:p>
        </w:tc>
        <w:tc>
          <w:tcPr>
            <w:tcW w:w="1275" w:type="dxa"/>
            <w:tcBorders>
              <w:top w:val="nil"/>
              <w:left w:val="nil"/>
              <w:bottom w:val="nil"/>
              <w:right w:val="nil"/>
            </w:tcBorders>
            <w:shd w:val="clear" w:color="auto" w:fill="auto"/>
            <w:noWrap/>
            <w:vAlign w:val="center"/>
            <w:hideMark/>
          </w:tcPr>
          <w:p w14:paraId="66EF9600" w14:textId="732A86B4"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w:t>
            </w:r>
          </w:p>
        </w:tc>
        <w:tc>
          <w:tcPr>
            <w:tcW w:w="1701" w:type="dxa"/>
            <w:tcBorders>
              <w:top w:val="nil"/>
              <w:left w:val="nil"/>
              <w:bottom w:val="nil"/>
              <w:right w:val="nil"/>
            </w:tcBorders>
            <w:shd w:val="clear" w:color="auto" w:fill="auto"/>
            <w:noWrap/>
            <w:vAlign w:val="center"/>
            <w:hideMark/>
          </w:tcPr>
          <w:p w14:paraId="105A72F7" w14:textId="417EA100"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w:t>
            </w:r>
          </w:p>
        </w:tc>
        <w:tc>
          <w:tcPr>
            <w:tcW w:w="2941" w:type="dxa"/>
            <w:tcBorders>
              <w:top w:val="nil"/>
              <w:left w:val="nil"/>
              <w:bottom w:val="nil"/>
              <w:right w:val="nil"/>
            </w:tcBorders>
            <w:shd w:val="clear" w:color="auto" w:fill="auto"/>
            <w:noWrap/>
            <w:vAlign w:val="center"/>
            <w:hideMark/>
          </w:tcPr>
          <w:p w14:paraId="78F935F5" w14:textId="31F34F59"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Normal</w:t>
            </w:r>
          </w:p>
        </w:tc>
      </w:tr>
      <w:tr w:rsidR="002A208F" w:rsidRPr="00B84AF7" w14:paraId="04C3C4EA" w14:textId="77777777" w:rsidTr="00757DF3">
        <w:trPr>
          <w:trHeight w:val="300"/>
        </w:trPr>
        <w:tc>
          <w:tcPr>
            <w:tcW w:w="2142" w:type="dxa"/>
            <w:tcBorders>
              <w:top w:val="nil"/>
              <w:left w:val="nil"/>
              <w:bottom w:val="nil"/>
              <w:right w:val="nil"/>
            </w:tcBorders>
            <w:shd w:val="clear" w:color="auto" w:fill="auto"/>
            <w:noWrap/>
            <w:vAlign w:val="center"/>
            <w:hideMark/>
          </w:tcPr>
          <w:p w14:paraId="60AF5446" w14:textId="5E37D4B5"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Austral Is.</w:t>
            </w:r>
          </w:p>
        </w:tc>
        <w:tc>
          <w:tcPr>
            <w:tcW w:w="1417" w:type="dxa"/>
            <w:tcBorders>
              <w:top w:val="nil"/>
              <w:left w:val="nil"/>
              <w:bottom w:val="nil"/>
              <w:right w:val="nil"/>
            </w:tcBorders>
            <w:shd w:val="clear" w:color="auto" w:fill="auto"/>
            <w:noWrap/>
            <w:vAlign w:val="center"/>
            <w:hideMark/>
          </w:tcPr>
          <w:p w14:paraId="4140F1AC" w14:textId="1EE8199E"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0.75</w:t>
            </w:r>
          </w:p>
        </w:tc>
        <w:tc>
          <w:tcPr>
            <w:tcW w:w="1418" w:type="dxa"/>
            <w:tcBorders>
              <w:top w:val="nil"/>
              <w:left w:val="nil"/>
              <w:bottom w:val="nil"/>
              <w:right w:val="nil"/>
            </w:tcBorders>
            <w:shd w:val="clear" w:color="auto" w:fill="auto"/>
            <w:noWrap/>
            <w:vAlign w:val="center"/>
            <w:hideMark/>
          </w:tcPr>
          <w:p w14:paraId="73843111" w14:textId="492B9186" w:rsidR="002A208F" w:rsidRPr="00B84AF7" w:rsidRDefault="002A208F" w:rsidP="00666B33">
            <w:pPr>
              <w:suppressAutoHyphens w:val="0"/>
              <w:spacing w:after="0" w:line="240" w:lineRule="auto"/>
              <w:jc w:val="center"/>
              <w:rPr>
                <w:color w:val="000000"/>
                <w:sz w:val="24"/>
                <w:szCs w:val="24"/>
                <w:lang w:val="en-US" w:eastAsia="en-US"/>
              </w:rPr>
            </w:pPr>
            <w:r>
              <w:rPr>
                <w:rFonts w:cs="Arial"/>
                <w:color w:val="000000"/>
                <w:sz w:val="24"/>
                <w:szCs w:val="24"/>
              </w:rPr>
              <w:t>0.75</w:t>
            </w:r>
          </w:p>
        </w:tc>
        <w:tc>
          <w:tcPr>
            <w:tcW w:w="1275" w:type="dxa"/>
            <w:tcBorders>
              <w:top w:val="nil"/>
              <w:left w:val="nil"/>
              <w:bottom w:val="nil"/>
              <w:right w:val="nil"/>
            </w:tcBorders>
            <w:shd w:val="clear" w:color="auto" w:fill="auto"/>
            <w:noWrap/>
            <w:vAlign w:val="center"/>
            <w:hideMark/>
          </w:tcPr>
          <w:p w14:paraId="315B545C" w14:textId="277A9454" w:rsidR="002A208F" w:rsidRPr="00B84AF7" w:rsidRDefault="002A208F" w:rsidP="00666B33">
            <w:pPr>
              <w:suppressAutoHyphens w:val="0"/>
              <w:spacing w:after="0" w:line="240" w:lineRule="auto"/>
              <w:jc w:val="center"/>
              <w:rPr>
                <w:color w:val="000000"/>
                <w:sz w:val="24"/>
                <w:szCs w:val="24"/>
                <w:lang w:val="en-US" w:eastAsia="en-US"/>
              </w:rPr>
            </w:pPr>
            <w:r>
              <w:rPr>
                <w:rFonts w:cs="Arial"/>
                <w:color w:val="000000"/>
                <w:sz w:val="24"/>
                <w:szCs w:val="24"/>
              </w:rPr>
              <w:t>0</w:t>
            </w:r>
          </w:p>
        </w:tc>
        <w:tc>
          <w:tcPr>
            <w:tcW w:w="1701" w:type="dxa"/>
            <w:tcBorders>
              <w:top w:val="nil"/>
              <w:left w:val="nil"/>
              <w:bottom w:val="nil"/>
              <w:right w:val="nil"/>
            </w:tcBorders>
            <w:shd w:val="clear" w:color="auto" w:fill="auto"/>
            <w:noWrap/>
            <w:vAlign w:val="center"/>
            <w:hideMark/>
          </w:tcPr>
          <w:p w14:paraId="17C01894" w14:textId="24991B68"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w:t>
            </w:r>
          </w:p>
        </w:tc>
        <w:tc>
          <w:tcPr>
            <w:tcW w:w="2941" w:type="dxa"/>
            <w:tcBorders>
              <w:top w:val="nil"/>
              <w:left w:val="nil"/>
              <w:bottom w:val="nil"/>
              <w:right w:val="nil"/>
            </w:tcBorders>
            <w:shd w:val="clear" w:color="auto" w:fill="auto"/>
            <w:noWrap/>
            <w:vAlign w:val="center"/>
            <w:hideMark/>
          </w:tcPr>
          <w:p w14:paraId="3F7BA05C" w14:textId="20BD23CC" w:rsidR="002A208F" w:rsidRPr="00B84AF7" w:rsidRDefault="002A208F" w:rsidP="0093311D">
            <w:pPr>
              <w:suppressAutoHyphens w:val="0"/>
              <w:spacing w:after="0" w:line="240" w:lineRule="auto"/>
              <w:rPr>
                <w:color w:val="000000"/>
                <w:sz w:val="24"/>
                <w:szCs w:val="24"/>
                <w:lang w:val="en-US" w:eastAsia="en-US"/>
              </w:rPr>
            </w:pPr>
            <w:r>
              <w:rPr>
                <w:rFonts w:cs="Arial"/>
                <w:color w:val="000000"/>
                <w:sz w:val="24"/>
                <w:szCs w:val="24"/>
              </w:rPr>
              <w:t>Normal</w:t>
            </w:r>
          </w:p>
        </w:tc>
      </w:tr>
      <w:tr w:rsidR="002A208F" w:rsidRPr="00B84AF7" w14:paraId="7719BB48" w14:textId="77777777" w:rsidTr="00757DF3">
        <w:trPr>
          <w:trHeight w:val="300"/>
        </w:trPr>
        <w:tc>
          <w:tcPr>
            <w:tcW w:w="2142" w:type="dxa"/>
            <w:tcBorders>
              <w:top w:val="nil"/>
              <w:left w:val="nil"/>
              <w:bottom w:val="nil"/>
              <w:right w:val="nil"/>
            </w:tcBorders>
            <w:shd w:val="clear" w:color="auto" w:fill="auto"/>
            <w:noWrap/>
            <w:vAlign w:val="center"/>
            <w:hideMark/>
          </w:tcPr>
          <w:p w14:paraId="6565F02A" w14:textId="131319BC"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Society Is.</w:t>
            </w:r>
          </w:p>
        </w:tc>
        <w:tc>
          <w:tcPr>
            <w:tcW w:w="1417" w:type="dxa"/>
            <w:tcBorders>
              <w:top w:val="nil"/>
              <w:left w:val="nil"/>
              <w:bottom w:val="nil"/>
              <w:right w:val="nil"/>
            </w:tcBorders>
            <w:shd w:val="clear" w:color="auto" w:fill="auto"/>
            <w:noWrap/>
            <w:vAlign w:val="center"/>
            <w:hideMark/>
          </w:tcPr>
          <w:p w14:paraId="12BB6D14" w14:textId="5ECF05DB"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0.7</w:t>
            </w:r>
          </w:p>
        </w:tc>
        <w:tc>
          <w:tcPr>
            <w:tcW w:w="1418" w:type="dxa"/>
            <w:tcBorders>
              <w:top w:val="nil"/>
              <w:left w:val="nil"/>
              <w:bottom w:val="nil"/>
              <w:right w:val="nil"/>
            </w:tcBorders>
            <w:shd w:val="clear" w:color="auto" w:fill="auto"/>
            <w:noWrap/>
            <w:vAlign w:val="center"/>
            <w:hideMark/>
          </w:tcPr>
          <w:p w14:paraId="3B54485F" w14:textId="4720841D" w:rsidR="002A208F" w:rsidRPr="00B84AF7" w:rsidRDefault="002A208F" w:rsidP="00666B33">
            <w:pPr>
              <w:suppressAutoHyphens w:val="0"/>
              <w:spacing w:after="0" w:line="240" w:lineRule="auto"/>
              <w:jc w:val="center"/>
              <w:rPr>
                <w:color w:val="000000"/>
                <w:sz w:val="24"/>
                <w:szCs w:val="24"/>
                <w:lang w:val="en-US" w:eastAsia="en-US"/>
              </w:rPr>
            </w:pPr>
            <w:r>
              <w:rPr>
                <w:rFonts w:cs="Arial"/>
                <w:color w:val="000000"/>
                <w:sz w:val="24"/>
                <w:szCs w:val="24"/>
              </w:rPr>
              <w:t>0.4</w:t>
            </w:r>
          </w:p>
        </w:tc>
        <w:tc>
          <w:tcPr>
            <w:tcW w:w="1275" w:type="dxa"/>
            <w:tcBorders>
              <w:top w:val="nil"/>
              <w:left w:val="nil"/>
              <w:bottom w:val="nil"/>
              <w:right w:val="nil"/>
            </w:tcBorders>
            <w:shd w:val="clear" w:color="auto" w:fill="auto"/>
            <w:noWrap/>
            <w:vAlign w:val="center"/>
            <w:hideMark/>
          </w:tcPr>
          <w:p w14:paraId="2B692F84" w14:textId="45793968"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-0.3</w:t>
            </w:r>
          </w:p>
        </w:tc>
        <w:tc>
          <w:tcPr>
            <w:tcW w:w="1701" w:type="dxa"/>
            <w:tcBorders>
              <w:top w:val="nil"/>
              <w:left w:val="nil"/>
              <w:bottom w:val="nil"/>
              <w:right w:val="nil"/>
            </w:tcBorders>
            <w:shd w:val="clear" w:color="auto" w:fill="auto"/>
            <w:noWrap/>
            <w:vAlign w:val="center"/>
            <w:hideMark/>
          </w:tcPr>
          <w:p w14:paraId="7D50ADF8" w14:textId="569C21B2" w:rsidR="002A208F" w:rsidRPr="00B84AF7" w:rsidRDefault="002A208F" w:rsidP="00666B33">
            <w:pPr>
              <w:suppressAutoHyphens w:val="0"/>
              <w:spacing w:after="0" w:line="240" w:lineRule="auto"/>
              <w:jc w:val="center"/>
              <w:rPr>
                <w:color w:val="000000"/>
                <w:sz w:val="24"/>
                <w:szCs w:val="24"/>
                <w:lang w:val="en-US" w:eastAsia="en-US"/>
              </w:rPr>
            </w:pPr>
            <w:r>
              <w:rPr>
                <w:rFonts w:cs="Arial"/>
                <w:color w:val="000000"/>
                <w:sz w:val="24"/>
                <w:szCs w:val="24"/>
              </w:rPr>
              <w:t>-43</w:t>
            </w:r>
          </w:p>
        </w:tc>
        <w:tc>
          <w:tcPr>
            <w:tcW w:w="2941" w:type="dxa"/>
            <w:tcBorders>
              <w:top w:val="nil"/>
              <w:left w:val="nil"/>
              <w:bottom w:val="nil"/>
              <w:right w:val="nil"/>
            </w:tcBorders>
            <w:shd w:val="clear" w:color="auto" w:fill="auto"/>
            <w:noWrap/>
            <w:vAlign w:val="center"/>
            <w:hideMark/>
          </w:tcPr>
          <w:p w14:paraId="1B2F0D30" w14:textId="0DB25CD7" w:rsidR="002A208F" w:rsidRPr="00B84AF7" w:rsidRDefault="00077DF4" w:rsidP="00B84AF7">
            <w:pPr>
              <w:suppressAutoHyphens w:val="0"/>
              <w:spacing w:after="0" w:line="240" w:lineRule="auto"/>
              <w:rPr>
                <w:color w:val="000000"/>
                <w:sz w:val="24"/>
                <w:szCs w:val="24"/>
                <w:lang w:val="en-US" w:eastAsia="en-US"/>
              </w:rPr>
            </w:pPr>
            <w:r>
              <w:rPr>
                <w:rFonts w:cs="Arial"/>
                <w:color w:val="000000"/>
                <w:sz w:val="24"/>
                <w:szCs w:val="24"/>
              </w:rPr>
              <w:t>Normal</w:t>
            </w:r>
          </w:p>
        </w:tc>
      </w:tr>
      <w:tr w:rsidR="002A208F" w:rsidRPr="00B84AF7" w14:paraId="3503A3B5" w14:textId="77777777" w:rsidTr="00757DF3">
        <w:trPr>
          <w:trHeight w:val="300"/>
        </w:trPr>
        <w:tc>
          <w:tcPr>
            <w:tcW w:w="2142" w:type="dxa"/>
            <w:tcBorders>
              <w:top w:val="nil"/>
              <w:left w:val="nil"/>
              <w:bottom w:val="nil"/>
              <w:right w:val="nil"/>
            </w:tcBorders>
            <w:shd w:val="clear" w:color="auto" w:fill="auto"/>
            <w:noWrap/>
            <w:vAlign w:val="center"/>
            <w:hideMark/>
          </w:tcPr>
          <w:p w14:paraId="3132B8FC" w14:textId="3E5D8EFA"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Tuamotu</w:t>
            </w:r>
          </w:p>
        </w:tc>
        <w:tc>
          <w:tcPr>
            <w:tcW w:w="1417" w:type="dxa"/>
            <w:tcBorders>
              <w:top w:val="nil"/>
              <w:left w:val="nil"/>
              <w:bottom w:val="nil"/>
              <w:right w:val="nil"/>
            </w:tcBorders>
            <w:shd w:val="clear" w:color="auto" w:fill="auto"/>
            <w:noWrap/>
            <w:vAlign w:val="center"/>
            <w:hideMark/>
          </w:tcPr>
          <w:p w14:paraId="01EF70E5" w14:textId="2642F2CD" w:rsidR="002A208F" w:rsidRPr="00B84AF7" w:rsidRDefault="002A208F" w:rsidP="00931223">
            <w:pPr>
              <w:suppressAutoHyphens w:val="0"/>
              <w:spacing w:after="0" w:line="240" w:lineRule="auto"/>
              <w:jc w:val="center"/>
              <w:rPr>
                <w:color w:val="000000"/>
                <w:sz w:val="24"/>
                <w:szCs w:val="24"/>
                <w:lang w:val="en-US" w:eastAsia="en-US"/>
              </w:rPr>
            </w:pPr>
            <w:r>
              <w:rPr>
                <w:rFonts w:cs="Arial"/>
                <w:color w:val="000000"/>
                <w:sz w:val="24"/>
                <w:szCs w:val="24"/>
              </w:rPr>
              <w:t>0.2</w:t>
            </w:r>
          </w:p>
        </w:tc>
        <w:tc>
          <w:tcPr>
            <w:tcW w:w="1418" w:type="dxa"/>
            <w:tcBorders>
              <w:top w:val="nil"/>
              <w:left w:val="nil"/>
              <w:bottom w:val="nil"/>
              <w:right w:val="nil"/>
            </w:tcBorders>
            <w:shd w:val="clear" w:color="auto" w:fill="auto"/>
            <w:noWrap/>
            <w:vAlign w:val="center"/>
            <w:hideMark/>
          </w:tcPr>
          <w:p w14:paraId="59CAB065" w14:textId="71695E1D"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0.4</w:t>
            </w:r>
          </w:p>
        </w:tc>
        <w:tc>
          <w:tcPr>
            <w:tcW w:w="1275" w:type="dxa"/>
            <w:tcBorders>
              <w:top w:val="nil"/>
              <w:left w:val="nil"/>
              <w:bottom w:val="nil"/>
              <w:right w:val="nil"/>
            </w:tcBorders>
            <w:shd w:val="clear" w:color="auto" w:fill="auto"/>
            <w:noWrap/>
            <w:vAlign w:val="center"/>
            <w:hideMark/>
          </w:tcPr>
          <w:p w14:paraId="4FDDFD2B" w14:textId="724C6EDA" w:rsidR="002A208F" w:rsidRPr="00B84AF7" w:rsidRDefault="002A208F" w:rsidP="00666B33">
            <w:pPr>
              <w:suppressAutoHyphens w:val="0"/>
              <w:spacing w:after="0" w:line="240" w:lineRule="auto"/>
              <w:jc w:val="center"/>
              <w:rPr>
                <w:color w:val="000000"/>
                <w:sz w:val="24"/>
                <w:szCs w:val="24"/>
                <w:lang w:val="en-US" w:eastAsia="en-US"/>
              </w:rPr>
            </w:pPr>
            <w:r>
              <w:rPr>
                <w:rFonts w:cs="Arial"/>
                <w:color w:val="000000"/>
                <w:sz w:val="24"/>
                <w:szCs w:val="24"/>
              </w:rPr>
              <w:t>-0.1</w:t>
            </w:r>
          </w:p>
        </w:tc>
        <w:tc>
          <w:tcPr>
            <w:tcW w:w="1701" w:type="dxa"/>
            <w:tcBorders>
              <w:top w:val="nil"/>
              <w:left w:val="nil"/>
              <w:bottom w:val="nil"/>
              <w:right w:val="nil"/>
            </w:tcBorders>
            <w:shd w:val="clear" w:color="auto" w:fill="auto"/>
            <w:noWrap/>
            <w:vAlign w:val="center"/>
            <w:hideMark/>
          </w:tcPr>
          <w:p w14:paraId="12462960" w14:textId="7B2BC764" w:rsidR="002A208F" w:rsidRPr="00B84AF7" w:rsidRDefault="002A208F" w:rsidP="00666B33">
            <w:pPr>
              <w:suppressAutoHyphens w:val="0"/>
              <w:spacing w:after="0" w:line="240" w:lineRule="auto"/>
              <w:jc w:val="center"/>
              <w:rPr>
                <w:color w:val="000000"/>
                <w:sz w:val="24"/>
                <w:szCs w:val="24"/>
                <w:lang w:val="en-US" w:eastAsia="en-US"/>
              </w:rPr>
            </w:pPr>
            <w:r>
              <w:rPr>
                <w:rFonts w:cs="Arial"/>
                <w:color w:val="000000"/>
                <w:sz w:val="24"/>
                <w:szCs w:val="24"/>
              </w:rPr>
              <w:t>-</w:t>
            </w:r>
          </w:p>
        </w:tc>
        <w:tc>
          <w:tcPr>
            <w:tcW w:w="2941" w:type="dxa"/>
            <w:tcBorders>
              <w:top w:val="nil"/>
              <w:left w:val="nil"/>
              <w:bottom w:val="nil"/>
              <w:right w:val="nil"/>
            </w:tcBorders>
            <w:shd w:val="clear" w:color="auto" w:fill="auto"/>
            <w:noWrap/>
            <w:vAlign w:val="center"/>
            <w:hideMark/>
          </w:tcPr>
          <w:p w14:paraId="28ADF7AE" w14:textId="598D3C24"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Unlikely</w:t>
            </w:r>
          </w:p>
        </w:tc>
      </w:tr>
      <w:tr w:rsidR="002A208F" w:rsidRPr="00B84AF7" w14:paraId="6E0BCBEE" w14:textId="77777777" w:rsidTr="00757DF3">
        <w:trPr>
          <w:trHeight w:val="300"/>
        </w:trPr>
        <w:tc>
          <w:tcPr>
            <w:tcW w:w="2142" w:type="dxa"/>
            <w:tcBorders>
              <w:top w:val="nil"/>
              <w:left w:val="nil"/>
              <w:bottom w:val="nil"/>
              <w:right w:val="nil"/>
            </w:tcBorders>
            <w:shd w:val="clear" w:color="auto" w:fill="auto"/>
            <w:noWrap/>
            <w:vAlign w:val="center"/>
            <w:hideMark/>
          </w:tcPr>
          <w:p w14:paraId="67AC13E5" w14:textId="1A4911D0"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N. Cooks</w:t>
            </w:r>
          </w:p>
        </w:tc>
        <w:tc>
          <w:tcPr>
            <w:tcW w:w="1417" w:type="dxa"/>
            <w:tcBorders>
              <w:top w:val="nil"/>
              <w:left w:val="nil"/>
              <w:bottom w:val="nil"/>
              <w:right w:val="nil"/>
            </w:tcBorders>
            <w:shd w:val="clear" w:color="auto" w:fill="auto"/>
            <w:noWrap/>
            <w:vAlign w:val="center"/>
            <w:hideMark/>
          </w:tcPr>
          <w:p w14:paraId="4F841A6C" w14:textId="003D1F26"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0.5</w:t>
            </w:r>
          </w:p>
        </w:tc>
        <w:tc>
          <w:tcPr>
            <w:tcW w:w="1418" w:type="dxa"/>
            <w:tcBorders>
              <w:top w:val="nil"/>
              <w:left w:val="nil"/>
              <w:bottom w:val="nil"/>
              <w:right w:val="nil"/>
            </w:tcBorders>
            <w:shd w:val="clear" w:color="auto" w:fill="auto"/>
            <w:noWrap/>
            <w:vAlign w:val="center"/>
            <w:hideMark/>
          </w:tcPr>
          <w:p w14:paraId="19F68019" w14:textId="43E0AC54"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0.2</w:t>
            </w:r>
          </w:p>
        </w:tc>
        <w:tc>
          <w:tcPr>
            <w:tcW w:w="1275" w:type="dxa"/>
            <w:tcBorders>
              <w:top w:val="nil"/>
              <w:left w:val="nil"/>
              <w:bottom w:val="nil"/>
              <w:right w:val="nil"/>
            </w:tcBorders>
            <w:shd w:val="clear" w:color="auto" w:fill="auto"/>
            <w:noWrap/>
            <w:vAlign w:val="center"/>
            <w:hideMark/>
          </w:tcPr>
          <w:p w14:paraId="209CF0E9" w14:textId="1D3FDCD9"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-0.3</w:t>
            </w:r>
          </w:p>
        </w:tc>
        <w:tc>
          <w:tcPr>
            <w:tcW w:w="1701" w:type="dxa"/>
            <w:tcBorders>
              <w:top w:val="nil"/>
              <w:left w:val="nil"/>
              <w:bottom w:val="nil"/>
              <w:right w:val="nil"/>
            </w:tcBorders>
            <w:shd w:val="clear" w:color="auto" w:fill="auto"/>
            <w:noWrap/>
            <w:vAlign w:val="center"/>
            <w:hideMark/>
          </w:tcPr>
          <w:p w14:paraId="3FD2EC77" w14:textId="360839E3"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w:t>
            </w:r>
          </w:p>
        </w:tc>
        <w:tc>
          <w:tcPr>
            <w:tcW w:w="2941" w:type="dxa"/>
            <w:tcBorders>
              <w:top w:val="nil"/>
              <w:left w:val="nil"/>
              <w:bottom w:val="nil"/>
              <w:right w:val="nil"/>
            </w:tcBorders>
            <w:shd w:val="clear" w:color="auto" w:fill="auto"/>
            <w:noWrap/>
            <w:vAlign w:val="center"/>
            <w:hideMark/>
          </w:tcPr>
          <w:p w14:paraId="19C6788F" w14:textId="0EA04AEC" w:rsidR="002A208F" w:rsidRPr="00B84AF7" w:rsidRDefault="00077DF4" w:rsidP="00B84AF7">
            <w:pPr>
              <w:suppressAutoHyphens w:val="0"/>
              <w:spacing w:after="0" w:line="240" w:lineRule="auto"/>
              <w:rPr>
                <w:color w:val="000000"/>
                <w:sz w:val="24"/>
                <w:szCs w:val="24"/>
                <w:lang w:val="en-US" w:eastAsia="en-US"/>
              </w:rPr>
            </w:pPr>
            <w:r>
              <w:rPr>
                <w:rFonts w:cs="Arial"/>
                <w:color w:val="000000"/>
                <w:sz w:val="24"/>
                <w:szCs w:val="24"/>
              </w:rPr>
              <w:t>Normal</w:t>
            </w:r>
          </w:p>
        </w:tc>
      </w:tr>
      <w:tr w:rsidR="002A208F" w:rsidRPr="00B84AF7" w14:paraId="5F252155" w14:textId="77777777" w:rsidTr="00757DF3">
        <w:trPr>
          <w:trHeight w:val="300"/>
        </w:trPr>
        <w:tc>
          <w:tcPr>
            <w:tcW w:w="2142" w:type="dxa"/>
            <w:tcBorders>
              <w:top w:val="nil"/>
              <w:left w:val="nil"/>
              <w:bottom w:val="nil"/>
              <w:right w:val="nil"/>
            </w:tcBorders>
            <w:shd w:val="clear" w:color="auto" w:fill="auto"/>
            <w:noWrap/>
            <w:vAlign w:val="center"/>
            <w:hideMark/>
          </w:tcPr>
          <w:p w14:paraId="559B5C53" w14:textId="762F8269"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W. Kiribati</w:t>
            </w:r>
          </w:p>
        </w:tc>
        <w:tc>
          <w:tcPr>
            <w:tcW w:w="1417" w:type="dxa"/>
            <w:tcBorders>
              <w:top w:val="nil"/>
              <w:left w:val="nil"/>
              <w:bottom w:val="nil"/>
              <w:right w:val="nil"/>
            </w:tcBorders>
            <w:shd w:val="clear" w:color="auto" w:fill="auto"/>
            <w:noWrap/>
            <w:vAlign w:val="center"/>
            <w:hideMark/>
          </w:tcPr>
          <w:p w14:paraId="4431C786" w14:textId="17AAE39E"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0.1</w:t>
            </w:r>
          </w:p>
        </w:tc>
        <w:tc>
          <w:tcPr>
            <w:tcW w:w="1418" w:type="dxa"/>
            <w:tcBorders>
              <w:top w:val="nil"/>
              <w:left w:val="nil"/>
              <w:bottom w:val="nil"/>
              <w:right w:val="nil"/>
            </w:tcBorders>
            <w:shd w:val="clear" w:color="auto" w:fill="auto"/>
            <w:noWrap/>
            <w:vAlign w:val="center"/>
            <w:hideMark/>
          </w:tcPr>
          <w:p w14:paraId="44C044AF" w14:textId="11EAE66A"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0.2</w:t>
            </w:r>
          </w:p>
        </w:tc>
        <w:tc>
          <w:tcPr>
            <w:tcW w:w="1275" w:type="dxa"/>
            <w:tcBorders>
              <w:top w:val="nil"/>
              <w:left w:val="nil"/>
              <w:bottom w:val="nil"/>
              <w:right w:val="nil"/>
            </w:tcBorders>
            <w:shd w:val="clear" w:color="auto" w:fill="auto"/>
            <w:noWrap/>
            <w:vAlign w:val="center"/>
            <w:hideMark/>
          </w:tcPr>
          <w:p w14:paraId="1F17C1B9" w14:textId="7B9624F4"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0.1</w:t>
            </w:r>
          </w:p>
        </w:tc>
        <w:tc>
          <w:tcPr>
            <w:tcW w:w="1701" w:type="dxa"/>
            <w:tcBorders>
              <w:top w:val="nil"/>
              <w:left w:val="nil"/>
              <w:bottom w:val="nil"/>
              <w:right w:val="nil"/>
            </w:tcBorders>
            <w:shd w:val="clear" w:color="auto" w:fill="auto"/>
            <w:noWrap/>
            <w:vAlign w:val="center"/>
            <w:hideMark/>
          </w:tcPr>
          <w:p w14:paraId="6D6F8902" w14:textId="4A14AA8A"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w:t>
            </w:r>
          </w:p>
        </w:tc>
        <w:tc>
          <w:tcPr>
            <w:tcW w:w="2941" w:type="dxa"/>
            <w:tcBorders>
              <w:top w:val="nil"/>
              <w:left w:val="nil"/>
              <w:bottom w:val="nil"/>
              <w:right w:val="nil"/>
            </w:tcBorders>
            <w:shd w:val="clear" w:color="auto" w:fill="auto"/>
            <w:noWrap/>
            <w:vAlign w:val="center"/>
            <w:hideMark/>
          </w:tcPr>
          <w:p w14:paraId="6AE7F168" w14:textId="15DF3A64"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Unlikely</w:t>
            </w:r>
          </w:p>
        </w:tc>
      </w:tr>
      <w:tr w:rsidR="002A208F" w:rsidRPr="00B84AF7" w14:paraId="1B49B9E2" w14:textId="77777777" w:rsidTr="00757DF3">
        <w:trPr>
          <w:trHeight w:val="300"/>
        </w:trPr>
        <w:tc>
          <w:tcPr>
            <w:tcW w:w="2142" w:type="dxa"/>
            <w:tcBorders>
              <w:top w:val="nil"/>
              <w:left w:val="nil"/>
              <w:bottom w:val="nil"/>
              <w:right w:val="nil"/>
            </w:tcBorders>
            <w:shd w:val="clear" w:color="auto" w:fill="auto"/>
            <w:noWrap/>
            <w:vAlign w:val="center"/>
            <w:hideMark/>
          </w:tcPr>
          <w:p w14:paraId="2E7CB224" w14:textId="2FCFC208"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E. Kiribati</w:t>
            </w:r>
          </w:p>
        </w:tc>
        <w:tc>
          <w:tcPr>
            <w:tcW w:w="1417" w:type="dxa"/>
            <w:tcBorders>
              <w:top w:val="nil"/>
              <w:left w:val="nil"/>
              <w:bottom w:val="nil"/>
              <w:right w:val="nil"/>
            </w:tcBorders>
            <w:shd w:val="clear" w:color="auto" w:fill="auto"/>
            <w:noWrap/>
            <w:vAlign w:val="center"/>
            <w:hideMark/>
          </w:tcPr>
          <w:p w14:paraId="00CAD703" w14:textId="50536D1E"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w:t>
            </w:r>
          </w:p>
        </w:tc>
        <w:tc>
          <w:tcPr>
            <w:tcW w:w="1418" w:type="dxa"/>
            <w:tcBorders>
              <w:top w:val="nil"/>
              <w:left w:val="nil"/>
              <w:bottom w:val="nil"/>
              <w:right w:val="nil"/>
            </w:tcBorders>
            <w:shd w:val="clear" w:color="auto" w:fill="auto"/>
            <w:noWrap/>
            <w:vAlign w:val="center"/>
            <w:hideMark/>
          </w:tcPr>
          <w:p w14:paraId="00A74FF5" w14:textId="2B8E0B4A"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w:t>
            </w:r>
          </w:p>
        </w:tc>
        <w:tc>
          <w:tcPr>
            <w:tcW w:w="1275" w:type="dxa"/>
            <w:tcBorders>
              <w:top w:val="nil"/>
              <w:left w:val="nil"/>
              <w:bottom w:val="nil"/>
              <w:right w:val="nil"/>
            </w:tcBorders>
            <w:shd w:val="clear" w:color="auto" w:fill="auto"/>
            <w:noWrap/>
            <w:vAlign w:val="center"/>
            <w:hideMark/>
          </w:tcPr>
          <w:p w14:paraId="2DB31085" w14:textId="0353E53C"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w:t>
            </w:r>
          </w:p>
        </w:tc>
        <w:tc>
          <w:tcPr>
            <w:tcW w:w="1701" w:type="dxa"/>
            <w:tcBorders>
              <w:top w:val="nil"/>
              <w:left w:val="nil"/>
              <w:bottom w:val="nil"/>
              <w:right w:val="nil"/>
            </w:tcBorders>
            <w:shd w:val="clear" w:color="auto" w:fill="auto"/>
            <w:noWrap/>
            <w:vAlign w:val="center"/>
            <w:hideMark/>
          </w:tcPr>
          <w:p w14:paraId="498D8B3A" w14:textId="448DEFFC"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w:t>
            </w:r>
          </w:p>
        </w:tc>
        <w:tc>
          <w:tcPr>
            <w:tcW w:w="2941" w:type="dxa"/>
            <w:tcBorders>
              <w:top w:val="nil"/>
              <w:left w:val="nil"/>
              <w:bottom w:val="nil"/>
              <w:right w:val="nil"/>
            </w:tcBorders>
            <w:shd w:val="clear" w:color="auto" w:fill="auto"/>
            <w:noWrap/>
            <w:vAlign w:val="center"/>
            <w:hideMark/>
          </w:tcPr>
          <w:p w14:paraId="56231782" w14:textId="143C7171"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Unlikely</w:t>
            </w:r>
          </w:p>
        </w:tc>
      </w:tr>
      <w:tr w:rsidR="002A208F" w:rsidRPr="00B84AF7" w14:paraId="7ED65AB9" w14:textId="77777777" w:rsidTr="00757DF3">
        <w:trPr>
          <w:trHeight w:val="300"/>
        </w:trPr>
        <w:tc>
          <w:tcPr>
            <w:tcW w:w="2142" w:type="dxa"/>
            <w:tcBorders>
              <w:top w:val="nil"/>
              <w:left w:val="nil"/>
              <w:bottom w:val="nil"/>
              <w:right w:val="nil"/>
            </w:tcBorders>
            <w:shd w:val="clear" w:color="auto" w:fill="auto"/>
            <w:noWrap/>
            <w:vAlign w:val="center"/>
            <w:hideMark/>
          </w:tcPr>
          <w:p w14:paraId="766CDCE7" w14:textId="6DD8ACD4"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Marquesas</w:t>
            </w:r>
          </w:p>
        </w:tc>
        <w:tc>
          <w:tcPr>
            <w:tcW w:w="1417" w:type="dxa"/>
            <w:tcBorders>
              <w:top w:val="nil"/>
              <w:left w:val="nil"/>
              <w:bottom w:val="nil"/>
              <w:right w:val="nil"/>
            </w:tcBorders>
            <w:shd w:val="clear" w:color="auto" w:fill="auto"/>
            <w:noWrap/>
            <w:vAlign w:val="center"/>
            <w:hideMark/>
          </w:tcPr>
          <w:p w14:paraId="496386E6" w14:textId="2C6B245F"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0.1</w:t>
            </w:r>
          </w:p>
        </w:tc>
        <w:tc>
          <w:tcPr>
            <w:tcW w:w="1418" w:type="dxa"/>
            <w:tcBorders>
              <w:top w:val="nil"/>
              <w:left w:val="nil"/>
              <w:bottom w:val="nil"/>
              <w:right w:val="nil"/>
            </w:tcBorders>
            <w:shd w:val="clear" w:color="auto" w:fill="auto"/>
            <w:noWrap/>
            <w:vAlign w:val="center"/>
            <w:hideMark/>
          </w:tcPr>
          <w:p w14:paraId="0A3AFE80" w14:textId="255F24F5"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w:t>
            </w:r>
          </w:p>
        </w:tc>
        <w:tc>
          <w:tcPr>
            <w:tcW w:w="1275" w:type="dxa"/>
            <w:tcBorders>
              <w:top w:val="nil"/>
              <w:left w:val="nil"/>
              <w:bottom w:val="nil"/>
              <w:right w:val="nil"/>
            </w:tcBorders>
            <w:shd w:val="clear" w:color="auto" w:fill="auto"/>
            <w:noWrap/>
            <w:vAlign w:val="center"/>
            <w:hideMark/>
          </w:tcPr>
          <w:p w14:paraId="144218EB" w14:textId="4E1999AE"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-0.1</w:t>
            </w:r>
          </w:p>
        </w:tc>
        <w:tc>
          <w:tcPr>
            <w:tcW w:w="1701" w:type="dxa"/>
            <w:tcBorders>
              <w:top w:val="nil"/>
              <w:left w:val="nil"/>
              <w:bottom w:val="nil"/>
              <w:right w:val="nil"/>
            </w:tcBorders>
            <w:shd w:val="clear" w:color="auto" w:fill="auto"/>
            <w:noWrap/>
            <w:vAlign w:val="center"/>
            <w:hideMark/>
          </w:tcPr>
          <w:p w14:paraId="46C2AD7D" w14:textId="47297769"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w:t>
            </w:r>
          </w:p>
        </w:tc>
        <w:tc>
          <w:tcPr>
            <w:tcW w:w="2941" w:type="dxa"/>
            <w:tcBorders>
              <w:top w:val="nil"/>
              <w:left w:val="nil"/>
              <w:bottom w:val="nil"/>
              <w:right w:val="nil"/>
            </w:tcBorders>
            <w:shd w:val="clear" w:color="auto" w:fill="auto"/>
            <w:noWrap/>
            <w:vAlign w:val="center"/>
            <w:hideMark/>
          </w:tcPr>
          <w:p w14:paraId="35865E24" w14:textId="1CD6D0C3"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Unlikely</w:t>
            </w:r>
          </w:p>
        </w:tc>
      </w:tr>
      <w:tr w:rsidR="002A208F" w:rsidRPr="00B84AF7" w14:paraId="0C959173" w14:textId="77777777" w:rsidTr="00757DF3">
        <w:trPr>
          <w:trHeight w:val="300"/>
        </w:trPr>
        <w:tc>
          <w:tcPr>
            <w:tcW w:w="2142" w:type="dxa"/>
            <w:tcBorders>
              <w:top w:val="nil"/>
              <w:left w:val="nil"/>
              <w:bottom w:val="nil"/>
              <w:right w:val="nil"/>
            </w:tcBorders>
            <w:shd w:val="clear" w:color="auto" w:fill="auto"/>
            <w:noWrap/>
            <w:vAlign w:val="center"/>
            <w:hideMark/>
          </w:tcPr>
          <w:p w14:paraId="00636EA3" w14:textId="7813859B"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Pitcairn</w:t>
            </w:r>
          </w:p>
        </w:tc>
        <w:tc>
          <w:tcPr>
            <w:tcW w:w="1417" w:type="dxa"/>
            <w:tcBorders>
              <w:top w:val="nil"/>
              <w:left w:val="nil"/>
              <w:bottom w:val="nil"/>
              <w:right w:val="nil"/>
            </w:tcBorders>
            <w:shd w:val="clear" w:color="auto" w:fill="auto"/>
            <w:noWrap/>
            <w:vAlign w:val="center"/>
            <w:hideMark/>
          </w:tcPr>
          <w:p w14:paraId="01980769" w14:textId="1FF97110"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w:t>
            </w:r>
          </w:p>
        </w:tc>
        <w:tc>
          <w:tcPr>
            <w:tcW w:w="1418" w:type="dxa"/>
            <w:tcBorders>
              <w:top w:val="nil"/>
              <w:left w:val="nil"/>
              <w:bottom w:val="nil"/>
              <w:right w:val="nil"/>
            </w:tcBorders>
            <w:shd w:val="clear" w:color="auto" w:fill="auto"/>
            <w:noWrap/>
            <w:vAlign w:val="center"/>
            <w:hideMark/>
          </w:tcPr>
          <w:p w14:paraId="4060F05B" w14:textId="3F734010"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w:t>
            </w:r>
          </w:p>
        </w:tc>
        <w:tc>
          <w:tcPr>
            <w:tcW w:w="1275" w:type="dxa"/>
            <w:tcBorders>
              <w:top w:val="nil"/>
              <w:left w:val="nil"/>
              <w:bottom w:val="nil"/>
              <w:right w:val="nil"/>
            </w:tcBorders>
            <w:shd w:val="clear" w:color="auto" w:fill="auto"/>
            <w:noWrap/>
            <w:vAlign w:val="center"/>
            <w:hideMark/>
          </w:tcPr>
          <w:p w14:paraId="61F1B786" w14:textId="436D8A11"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-0.2</w:t>
            </w:r>
          </w:p>
        </w:tc>
        <w:tc>
          <w:tcPr>
            <w:tcW w:w="1701" w:type="dxa"/>
            <w:tcBorders>
              <w:top w:val="nil"/>
              <w:left w:val="nil"/>
              <w:bottom w:val="nil"/>
              <w:right w:val="nil"/>
            </w:tcBorders>
            <w:shd w:val="clear" w:color="auto" w:fill="auto"/>
            <w:noWrap/>
            <w:vAlign w:val="center"/>
            <w:hideMark/>
          </w:tcPr>
          <w:p w14:paraId="111A7463" w14:textId="5C56895D" w:rsidR="002A208F" w:rsidRPr="00B84AF7" w:rsidRDefault="002A208F" w:rsidP="00B84AF7">
            <w:pPr>
              <w:suppressAutoHyphens w:val="0"/>
              <w:spacing w:after="0" w:line="240" w:lineRule="auto"/>
              <w:jc w:val="center"/>
              <w:rPr>
                <w:color w:val="000000"/>
                <w:sz w:val="24"/>
                <w:szCs w:val="24"/>
                <w:lang w:val="en-US" w:eastAsia="en-US"/>
              </w:rPr>
            </w:pPr>
            <w:r>
              <w:rPr>
                <w:rFonts w:cs="Arial"/>
                <w:color w:val="000000"/>
                <w:sz w:val="24"/>
                <w:szCs w:val="24"/>
              </w:rPr>
              <w:t>-</w:t>
            </w:r>
          </w:p>
        </w:tc>
        <w:tc>
          <w:tcPr>
            <w:tcW w:w="2941" w:type="dxa"/>
            <w:tcBorders>
              <w:top w:val="nil"/>
              <w:left w:val="nil"/>
              <w:bottom w:val="nil"/>
              <w:right w:val="nil"/>
            </w:tcBorders>
            <w:shd w:val="clear" w:color="auto" w:fill="auto"/>
            <w:noWrap/>
            <w:vAlign w:val="center"/>
            <w:hideMark/>
          </w:tcPr>
          <w:p w14:paraId="3EEFB23D" w14:textId="7EE090CB" w:rsidR="002A208F" w:rsidRPr="00B84AF7" w:rsidRDefault="002A208F" w:rsidP="00B84AF7">
            <w:pPr>
              <w:suppressAutoHyphens w:val="0"/>
              <w:spacing w:after="0" w:line="240" w:lineRule="auto"/>
              <w:rPr>
                <w:color w:val="000000"/>
                <w:sz w:val="24"/>
                <w:szCs w:val="24"/>
                <w:lang w:val="en-US" w:eastAsia="en-US"/>
              </w:rPr>
            </w:pPr>
            <w:r>
              <w:rPr>
                <w:rFonts w:cs="Arial"/>
                <w:color w:val="000000"/>
                <w:sz w:val="24"/>
                <w:szCs w:val="24"/>
              </w:rPr>
              <w:t>Unlikely</w:t>
            </w:r>
          </w:p>
        </w:tc>
      </w:tr>
      <w:tr w:rsidR="00931223" w:rsidRPr="00B84AF7" w14:paraId="4FA0A38D" w14:textId="77777777" w:rsidTr="00757DF3">
        <w:trPr>
          <w:trHeight w:val="300"/>
        </w:trPr>
        <w:tc>
          <w:tcPr>
            <w:tcW w:w="2142" w:type="dxa"/>
            <w:tcBorders>
              <w:top w:val="nil"/>
              <w:left w:val="nil"/>
              <w:bottom w:val="nil"/>
              <w:right w:val="nil"/>
            </w:tcBorders>
            <w:shd w:val="clear" w:color="auto" w:fill="auto"/>
            <w:noWrap/>
            <w:vAlign w:val="bottom"/>
          </w:tcPr>
          <w:p w14:paraId="60F9A099" w14:textId="28EAA813" w:rsidR="00931223" w:rsidRPr="00B84AF7" w:rsidRDefault="00931223" w:rsidP="00B84AF7">
            <w:pPr>
              <w:suppressAutoHyphens w:val="0"/>
              <w:spacing w:after="0" w:line="240" w:lineRule="auto"/>
              <w:rPr>
                <w:color w:val="000000"/>
                <w:sz w:val="24"/>
                <w:szCs w:val="24"/>
                <w:lang w:val="en-US" w:eastAsia="en-US"/>
              </w:rPr>
            </w:pPr>
          </w:p>
        </w:tc>
        <w:tc>
          <w:tcPr>
            <w:tcW w:w="1417" w:type="dxa"/>
            <w:tcBorders>
              <w:top w:val="nil"/>
              <w:left w:val="nil"/>
              <w:bottom w:val="nil"/>
              <w:right w:val="nil"/>
            </w:tcBorders>
            <w:shd w:val="clear" w:color="auto" w:fill="auto"/>
            <w:noWrap/>
            <w:vAlign w:val="bottom"/>
          </w:tcPr>
          <w:p w14:paraId="6392F3C8" w14:textId="4D3EBAE4" w:rsidR="00931223" w:rsidRPr="00B84AF7" w:rsidRDefault="00931223" w:rsidP="00B84AF7">
            <w:pPr>
              <w:suppressAutoHyphens w:val="0"/>
              <w:spacing w:after="0" w:line="240" w:lineRule="auto"/>
              <w:jc w:val="center"/>
              <w:rPr>
                <w:color w:val="000000"/>
                <w:sz w:val="24"/>
                <w:szCs w:val="24"/>
                <w:lang w:val="en-US" w:eastAsia="en-US"/>
              </w:rPr>
            </w:pPr>
          </w:p>
        </w:tc>
        <w:tc>
          <w:tcPr>
            <w:tcW w:w="1418" w:type="dxa"/>
            <w:tcBorders>
              <w:top w:val="nil"/>
              <w:left w:val="nil"/>
              <w:bottom w:val="nil"/>
              <w:right w:val="nil"/>
            </w:tcBorders>
            <w:shd w:val="clear" w:color="auto" w:fill="auto"/>
            <w:noWrap/>
            <w:vAlign w:val="bottom"/>
          </w:tcPr>
          <w:p w14:paraId="179F3692" w14:textId="7A949C6F" w:rsidR="00931223" w:rsidRPr="00B84AF7" w:rsidRDefault="00931223" w:rsidP="00B84AF7">
            <w:pPr>
              <w:suppressAutoHyphens w:val="0"/>
              <w:spacing w:after="0" w:line="240" w:lineRule="auto"/>
              <w:jc w:val="center"/>
              <w:rPr>
                <w:color w:val="000000"/>
                <w:sz w:val="24"/>
                <w:szCs w:val="24"/>
                <w:lang w:val="en-US" w:eastAsia="en-US"/>
              </w:rPr>
            </w:pPr>
          </w:p>
        </w:tc>
        <w:tc>
          <w:tcPr>
            <w:tcW w:w="1275" w:type="dxa"/>
            <w:tcBorders>
              <w:top w:val="nil"/>
              <w:left w:val="nil"/>
              <w:bottom w:val="nil"/>
              <w:right w:val="nil"/>
            </w:tcBorders>
            <w:shd w:val="clear" w:color="auto" w:fill="auto"/>
            <w:noWrap/>
            <w:vAlign w:val="bottom"/>
          </w:tcPr>
          <w:p w14:paraId="51FD3CA1" w14:textId="324245D6" w:rsidR="00931223" w:rsidRPr="00B84AF7" w:rsidRDefault="00931223" w:rsidP="00B84AF7">
            <w:pPr>
              <w:suppressAutoHyphens w:val="0"/>
              <w:spacing w:after="0" w:line="240" w:lineRule="auto"/>
              <w:jc w:val="center"/>
              <w:rPr>
                <w:color w:val="000000"/>
                <w:sz w:val="24"/>
                <w:szCs w:val="24"/>
                <w:lang w:val="en-US" w:eastAsia="en-US"/>
              </w:rPr>
            </w:pPr>
          </w:p>
        </w:tc>
        <w:tc>
          <w:tcPr>
            <w:tcW w:w="1701" w:type="dxa"/>
            <w:tcBorders>
              <w:top w:val="nil"/>
              <w:left w:val="nil"/>
              <w:bottom w:val="nil"/>
              <w:right w:val="nil"/>
            </w:tcBorders>
            <w:shd w:val="clear" w:color="auto" w:fill="auto"/>
            <w:noWrap/>
            <w:vAlign w:val="bottom"/>
          </w:tcPr>
          <w:p w14:paraId="7B0BD22A" w14:textId="337DF1CB" w:rsidR="00931223" w:rsidRPr="00B84AF7" w:rsidRDefault="00931223" w:rsidP="00B84AF7">
            <w:pPr>
              <w:suppressAutoHyphens w:val="0"/>
              <w:spacing w:after="0" w:line="240" w:lineRule="auto"/>
              <w:jc w:val="center"/>
              <w:rPr>
                <w:color w:val="000000"/>
                <w:sz w:val="24"/>
                <w:szCs w:val="24"/>
                <w:lang w:val="en-US" w:eastAsia="en-US"/>
              </w:rPr>
            </w:pPr>
          </w:p>
        </w:tc>
        <w:tc>
          <w:tcPr>
            <w:tcW w:w="2941" w:type="dxa"/>
            <w:tcBorders>
              <w:top w:val="nil"/>
              <w:left w:val="nil"/>
              <w:bottom w:val="nil"/>
              <w:right w:val="nil"/>
            </w:tcBorders>
            <w:shd w:val="clear" w:color="auto" w:fill="auto"/>
            <w:noWrap/>
            <w:vAlign w:val="bottom"/>
          </w:tcPr>
          <w:p w14:paraId="0F8A81C2" w14:textId="01B1C46E" w:rsidR="00931223" w:rsidRPr="00B84AF7" w:rsidRDefault="00931223" w:rsidP="00B84AF7">
            <w:pPr>
              <w:suppressAutoHyphens w:val="0"/>
              <w:spacing w:after="0" w:line="240" w:lineRule="auto"/>
              <w:rPr>
                <w:color w:val="000000"/>
                <w:sz w:val="24"/>
                <w:szCs w:val="24"/>
                <w:lang w:val="en-US" w:eastAsia="en-US"/>
              </w:rPr>
            </w:pPr>
          </w:p>
        </w:tc>
      </w:tr>
    </w:tbl>
    <w:p w14:paraId="60AF3B47" w14:textId="081FBE0D" w:rsidR="00137364" w:rsidRDefault="00C9782B">
      <w:pPr>
        <w:jc w:val="both"/>
        <w:rPr>
          <w:color w:val="000000"/>
          <w:lang w:val="en-US"/>
        </w:rPr>
      </w:pPr>
      <w:r>
        <w:rPr>
          <w:b/>
          <w:sz w:val="24"/>
          <w:szCs w:val="24"/>
        </w:rPr>
        <w:br w:type="column"/>
      </w:r>
      <w:r w:rsidR="00137364">
        <w:rPr>
          <w:b/>
          <w:sz w:val="24"/>
          <w:szCs w:val="24"/>
        </w:rPr>
        <w:lastRenderedPageBreak/>
        <w:t xml:space="preserve">Table 2: Analog seasons and intensity of </w:t>
      </w:r>
      <w:r w:rsidR="008861DC">
        <w:rPr>
          <w:b/>
          <w:sz w:val="24"/>
          <w:szCs w:val="24"/>
        </w:rPr>
        <w:t>TC</w:t>
      </w:r>
      <w:r w:rsidR="00137364">
        <w:rPr>
          <w:b/>
          <w:sz w:val="24"/>
          <w:szCs w:val="24"/>
        </w:rPr>
        <w:t>s</w:t>
      </w:r>
      <w:r w:rsidR="0094658F">
        <w:rPr>
          <w:b/>
          <w:sz w:val="24"/>
          <w:szCs w:val="24"/>
        </w:rPr>
        <w:t xml:space="preserve"> and storms</w:t>
      </w:r>
      <w:r w:rsidR="00137364">
        <w:rPr>
          <w:b/>
          <w:sz w:val="24"/>
          <w:szCs w:val="24"/>
        </w:rPr>
        <w:t xml:space="preserve"> that occurred in the </w:t>
      </w:r>
      <w:r w:rsidR="00A14D08">
        <w:rPr>
          <w:b/>
          <w:sz w:val="24"/>
          <w:szCs w:val="24"/>
        </w:rPr>
        <w:t>Southwest</w:t>
      </w:r>
      <w:r w:rsidR="00137364">
        <w:rPr>
          <w:b/>
          <w:sz w:val="24"/>
          <w:szCs w:val="24"/>
        </w:rPr>
        <w:t xml:space="preserve"> Pacific.</w:t>
      </w:r>
    </w:p>
    <w:tbl>
      <w:tblPr>
        <w:tblW w:w="9933" w:type="dxa"/>
        <w:tblInd w:w="-606" w:type="dxa"/>
        <w:tblLayout w:type="fixed"/>
        <w:tblLook w:val="0000" w:firstRow="0" w:lastRow="0" w:firstColumn="0" w:lastColumn="0" w:noHBand="0" w:noVBand="0"/>
      </w:tblPr>
      <w:tblGrid>
        <w:gridCol w:w="1069"/>
        <w:gridCol w:w="1200"/>
        <w:gridCol w:w="1984"/>
        <w:gridCol w:w="992"/>
        <w:gridCol w:w="851"/>
        <w:gridCol w:w="850"/>
        <w:gridCol w:w="993"/>
        <w:gridCol w:w="850"/>
        <w:gridCol w:w="1144"/>
      </w:tblGrid>
      <w:tr w:rsidR="00137364" w14:paraId="502FD2A8" w14:textId="77777777" w:rsidTr="000C6C5D">
        <w:trPr>
          <w:trHeight w:val="300"/>
        </w:trPr>
        <w:tc>
          <w:tcPr>
            <w:tcW w:w="1069" w:type="dxa"/>
            <w:tcBorders>
              <w:top w:val="single" w:sz="4" w:space="0" w:color="000000"/>
              <w:left w:val="single" w:sz="4" w:space="0" w:color="000000"/>
              <w:bottom w:val="single" w:sz="6" w:space="0" w:color="000000"/>
            </w:tcBorders>
            <w:shd w:val="clear" w:color="auto" w:fill="auto"/>
            <w:vAlign w:val="bottom"/>
          </w:tcPr>
          <w:p w14:paraId="3D81F194" w14:textId="77777777" w:rsidR="00137364" w:rsidRDefault="00137364">
            <w:pPr>
              <w:spacing w:after="0" w:line="240" w:lineRule="auto"/>
              <w:rPr>
                <w:color w:val="000000"/>
                <w:lang w:val="en-US"/>
              </w:rPr>
            </w:pPr>
            <w:r>
              <w:rPr>
                <w:color w:val="000000"/>
                <w:lang w:val="en-US"/>
              </w:rPr>
              <w:t>Season</w:t>
            </w:r>
          </w:p>
        </w:tc>
        <w:tc>
          <w:tcPr>
            <w:tcW w:w="1200" w:type="dxa"/>
            <w:tcBorders>
              <w:top w:val="single" w:sz="4" w:space="0" w:color="000000"/>
              <w:left w:val="single" w:sz="6" w:space="0" w:color="000000"/>
              <w:bottom w:val="single" w:sz="6" w:space="0" w:color="000000"/>
            </w:tcBorders>
            <w:shd w:val="clear" w:color="auto" w:fill="auto"/>
            <w:vAlign w:val="bottom"/>
          </w:tcPr>
          <w:p w14:paraId="3D1D8BFD" w14:textId="77777777" w:rsidR="00137364" w:rsidRDefault="00137364">
            <w:pPr>
              <w:spacing w:after="0" w:line="240" w:lineRule="auto"/>
              <w:rPr>
                <w:color w:val="000000"/>
                <w:lang w:val="en-US"/>
              </w:rPr>
            </w:pPr>
            <w:r>
              <w:rPr>
                <w:color w:val="000000"/>
                <w:lang w:val="en-US"/>
              </w:rPr>
              <w:t>Number</w:t>
            </w:r>
            <w:r w:rsidR="00284780">
              <w:rPr>
                <w:color w:val="000000"/>
                <w:lang w:val="en-US"/>
              </w:rPr>
              <w:t xml:space="preserve"> of named storms</w:t>
            </w:r>
          </w:p>
        </w:tc>
        <w:tc>
          <w:tcPr>
            <w:tcW w:w="1984" w:type="dxa"/>
            <w:tcBorders>
              <w:top w:val="single" w:sz="4" w:space="0" w:color="000000"/>
              <w:left w:val="single" w:sz="6" w:space="0" w:color="000000"/>
              <w:bottom w:val="single" w:sz="6" w:space="0" w:color="000000"/>
            </w:tcBorders>
            <w:shd w:val="clear" w:color="auto" w:fill="auto"/>
            <w:vAlign w:val="bottom"/>
          </w:tcPr>
          <w:p w14:paraId="31903EDB" w14:textId="77777777" w:rsidR="00137364" w:rsidRDefault="00137364" w:rsidP="00D67871">
            <w:pPr>
              <w:spacing w:after="0" w:line="240" w:lineRule="auto"/>
              <w:rPr>
                <w:color w:val="000000"/>
                <w:lang w:val="en-US"/>
              </w:rPr>
            </w:pPr>
            <w:r>
              <w:rPr>
                <w:color w:val="000000"/>
                <w:lang w:val="en-US"/>
              </w:rPr>
              <w:t>Right: TC category (BoM scale</w:t>
            </w:r>
            <w:r w:rsidR="00D67871">
              <w:rPr>
                <w:color w:val="000000"/>
                <w:lang w:val="en-US"/>
              </w:rPr>
              <w:t>)</w:t>
            </w:r>
          </w:p>
        </w:tc>
        <w:tc>
          <w:tcPr>
            <w:tcW w:w="992" w:type="dxa"/>
            <w:tcBorders>
              <w:top w:val="single" w:sz="4" w:space="0" w:color="000000"/>
              <w:left w:val="single" w:sz="6" w:space="0" w:color="000000"/>
              <w:bottom w:val="single" w:sz="6" w:space="0" w:color="000000"/>
            </w:tcBorders>
            <w:shd w:val="clear" w:color="auto" w:fill="auto"/>
            <w:vAlign w:val="bottom"/>
          </w:tcPr>
          <w:p w14:paraId="05C81827" w14:textId="2AC5026B" w:rsidR="00137364" w:rsidRDefault="002161DD">
            <w:pPr>
              <w:spacing w:after="0" w:line="240" w:lineRule="auto"/>
              <w:jc w:val="right"/>
              <w:rPr>
                <w:color w:val="000000"/>
                <w:lang w:val="en-US"/>
              </w:rPr>
            </w:pPr>
            <w:r>
              <w:rPr>
                <w:color w:val="000000"/>
                <w:lang w:val="en-US"/>
              </w:rPr>
              <w:t xml:space="preserve">Cat </w:t>
            </w:r>
            <w:r w:rsidR="00137364">
              <w:rPr>
                <w:color w:val="000000"/>
                <w:lang w:val="en-US"/>
              </w:rPr>
              <w:t>1</w:t>
            </w:r>
          </w:p>
        </w:tc>
        <w:tc>
          <w:tcPr>
            <w:tcW w:w="851" w:type="dxa"/>
            <w:tcBorders>
              <w:top w:val="single" w:sz="4" w:space="0" w:color="000000"/>
              <w:left w:val="single" w:sz="6" w:space="0" w:color="000000"/>
              <w:bottom w:val="single" w:sz="6" w:space="0" w:color="000000"/>
            </w:tcBorders>
            <w:shd w:val="clear" w:color="auto" w:fill="auto"/>
            <w:vAlign w:val="bottom"/>
          </w:tcPr>
          <w:p w14:paraId="6853334F" w14:textId="62FA8FBF" w:rsidR="00137364" w:rsidRDefault="002161DD">
            <w:pPr>
              <w:spacing w:after="0" w:line="240" w:lineRule="auto"/>
              <w:jc w:val="right"/>
              <w:rPr>
                <w:color w:val="000000"/>
                <w:lang w:val="en-US"/>
              </w:rPr>
            </w:pPr>
            <w:r>
              <w:rPr>
                <w:color w:val="000000"/>
                <w:lang w:val="en-US"/>
              </w:rPr>
              <w:t xml:space="preserve">Cat </w:t>
            </w:r>
            <w:r w:rsidR="00137364">
              <w:rPr>
                <w:color w:val="000000"/>
                <w:lang w:val="en-US"/>
              </w:rPr>
              <w:t>2</w:t>
            </w:r>
          </w:p>
        </w:tc>
        <w:tc>
          <w:tcPr>
            <w:tcW w:w="850" w:type="dxa"/>
            <w:tcBorders>
              <w:top w:val="single" w:sz="4" w:space="0" w:color="000000"/>
              <w:left w:val="single" w:sz="6" w:space="0" w:color="000000"/>
              <w:bottom w:val="single" w:sz="6" w:space="0" w:color="000000"/>
            </w:tcBorders>
            <w:shd w:val="clear" w:color="auto" w:fill="auto"/>
            <w:vAlign w:val="bottom"/>
          </w:tcPr>
          <w:p w14:paraId="5AE43ECE" w14:textId="41697A2A" w:rsidR="00137364" w:rsidRDefault="002161DD">
            <w:pPr>
              <w:spacing w:after="0" w:line="240" w:lineRule="auto"/>
              <w:jc w:val="right"/>
              <w:rPr>
                <w:color w:val="000000"/>
                <w:lang w:val="en-US"/>
              </w:rPr>
            </w:pPr>
            <w:r>
              <w:rPr>
                <w:color w:val="000000"/>
                <w:lang w:val="en-US"/>
              </w:rPr>
              <w:t xml:space="preserve">Cat </w:t>
            </w:r>
            <w:r w:rsidR="00137364">
              <w:rPr>
                <w:color w:val="000000"/>
                <w:lang w:val="en-US"/>
              </w:rPr>
              <w:t>3</w:t>
            </w:r>
          </w:p>
        </w:tc>
        <w:tc>
          <w:tcPr>
            <w:tcW w:w="993" w:type="dxa"/>
            <w:tcBorders>
              <w:top w:val="single" w:sz="4" w:space="0" w:color="000000"/>
              <w:left w:val="single" w:sz="6" w:space="0" w:color="000000"/>
              <w:bottom w:val="single" w:sz="6" w:space="0" w:color="000000"/>
            </w:tcBorders>
            <w:shd w:val="clear" w:color="auto" w:fill="auto"/>
            <w:vAlign w:val="bottom"/>
          </w:tcPr>
          <w:p w14:paraId="014A4E44" w14:textId="068066B1" w:rsidR="00137364" w:rsidRDefault="002161DD">
            <w:pPr>
              <w:spacing w:after="0" w:line="240" w:lineRule="auto"/>
              <w:jc w:val="right"/>
              <w:rPr>
                <w:color w:val="000000"/>
                <w:lang w:val="en-US"/>
              </w:rPr>
            </w:pPr>
            <w:r>
              <w:rPr>
                <w:color w:val="000000"/>
                <w:lang w:val="en-US"/>
              </w:rPr>
              <w:t xml:space="preserve">Cat </w:t>
            </w:r>
            <w:r w:rsidR="00137364">
              <w:rPr>
                <w:color w:val="000000"/>
                <w:lang w:val="en-US"/>
              </w:rPr>
              <w:t>4</w:t>
            </w:r>
          </w:p>
        </w:tc>
        <w:tc>
          <w:tcPr>
            <w:tcW w:w="850" w:type="dxa"/>
            <w:tcBorders>
              <w:top w:val="single" w:sz="4" w:space="0" w:color="000000"/>
              <w:left w:val="single" w:sz="6" w:space="0" w:color="000000"/>
              <w:bottom w:val="single" w:sz="6" w:space="0" w:color="000000"/>
            </w:tcBorders>
            <w:shd w:val="clear" w:color="auto" w:fill="auto"/>
            <w:vAlign w:val="bottom"/>
          </w:tcPr>
          <w:p w14:paraId="1AA9299F" w14:textId="06F04814" w:rsidR="00137364" w:rsidRDefault="002161DD">
            <w:pPr>
              <w:spacing w:after="0" w:line="240" w:lineRule="auto"/>
              <w:jc w:val="right"/>
              <w:rPr>
                <w:color w:val="000000"/>
                <w:lang w:val="en-US"/>
              </w:rPr>
            </w:pPr>
            <w:r>
              <w:rPr>
                <w:color w:val="000000"/>
                <w:lang w:val="en-US"/>
              </w:rPr>
              <w:t xml:space="preserve">Cat </w:t>
            </w:r>
            <w:r w:rsidR="00137364">
              <w:rPr>
                <w:color w:val="000000"/>
                <w:lang w:val="en-US"/>
              </w:rPr>
              <w:t>5</w:t>
            </w:r>
          </w:p>
        </w:tc>
        <w:tc>
          <w:tcPr>
            <w:tcW w:w="1144" w:type="dxa"/>
            <w:tcBorders>
              <w:top w:val="single" w:sz="4" w:space="0" w:color="000000"/>
              <w:left w:val="single" w:sz="6" w:space="0" w:color="000000"/>
              <w:bottom w:val="single" w:sz="6" w:space="0" w:color="000000"/>
              <w:right w:val="single" w:sz="4" w:space="0" w:color="000000"/>
            </w:tcBorders>
            <w:shd w:val="clear" w:color="auto" w:fill="auto"/>
            <w:vAlign w:val="bottom"/>
          </w:tcPr>
          <w:p w14:paraId="66AE84F7" w14:textId="77777777" w:rsidR="00137364" w:rsidRDefault="00137364">
            <w:pPr>
              <w:snapToGrid w:val="0"/>
              <w:spacing w:after="0" w:line="240" w:lineRule="auto"/>
              <w:rPr>
                <w:color w:val="000000"/>
                <w:lang w:val="en-US"/>
              </w:rPr>
            </w:pPr>
          </w:p>
        </w:tc>
      </w:tr>
      <w:tr w:rsidR="00137364" w14:paraId="57587A12" w14:textId="77777777" w:rsidTr="000C6C5D">
        <w:trPr>
          <w:trHeight w:val="300"/>
        </w:trPr>
        <w:tc>
          <w:tcPr>
            <w:tcW w:w="1069" w:type="dxa"/>
            <w:tcBorders>
              <w:top w:val="single" w:sz="6" w:space="0" w:color="000000"/>
              <w:left w:val="single" w:sz="4" w:space="0" w:color="000000"/>
              <w:bottom w:val="single" w:sz="6" w:space="0" w:color="000000"/>
            </w:tcBorders>
            <w:shd w:val="clear" w:color="auto" w:fill="auto"/>
            <w:vAlign w:val="bottom"/>
          </w:tcPr>
          <w:p w14:paraId="55B14DCC" w14:textId="77777777" w:rsidR="00137364" w:rsidRDefault="00137364">
            <w:pPr>
              <w:spacing w:after="0" w:line="240" w:lineRule="auto"/>
              <w:rPr>
                <w:color w:val="000000"/>
                <w:lang w:val="en-US"/>
              </w:rPr>
            </w:pPr>
            <w:r>
              <w:rPr>
                <w:color w:val="000000"/>
                <w:lang w:val="en-US"/>
              </w:rPr>
              <w:t>78/79</w:t>
            </w:r>
          </w:p>
        </w:tc>
        <w:tc>
          <w:tcPr>
            <w:tcW w:w="1200" w:type="dxa"/>
            <w:tcBorders>
              <w:top w:val="single" w:sz="6" w:space="0" w:color="000000"/>
              <w:left w:val="single" w:sz="6" w:space="0" w:color="000000"/>
              <w:bottom w:val="single" w:sz="6" w:space="0" w:color="000000"/>
            </w:tcBorders>
            <w:shd w:val="clear" w:color="auto" w:fill="auto"/>
            <w:vAlign w:val="bottom"/>
          </w:tcPr>
          <w:p w14:paraId="0E0271FD" w14:textId="44CAA767" w:rsidR="00137364" w:rsidRDefault="00B42DD3" w:rsidP="00B42DD3">
            <w:pPr>
              <w:spacing w:after="0" w:line="240" w:lineRule="auto"/>
              <w:rPr>
                <w:color w:val="000000"/>
                <w:lang w:val="en-US"/>
              </w:rPr>
            </w:pPr>
            <w:r>
              <w:rPr>
                <w:color w:val="000000"/>
                <w:lang w:val="en-US"/>
              </w:rPr>
              <w:t>11</w:t>
            </w:r>
          </w:p>
        </w:tc>
        <w:tc>
          <w:tcPr>
            <w:tcW w:w="1984" w:type="dxa"/>
            <w:tcBorders>
              <w:top w:val="single" w:sz="6" w:space="0" w:color="000000"/>
              <w:left w:val="single" w:sz="6" w:space="0" w:color="000000"/>
              <w:bottom w:val="single" w:sz="6" w:space="0" w:color="000000"/>
            </w:tcBorders>
            <w:shd w:val="clear" w:color="auto" w:fill="auto"/>
            <w:vAlign w:val="bottom"/>
          </w:tcPr>
          <w:p w14:paraId="0EDBB973" w14:textId="77777777" w:rsidR="00137364" w:rsidRDefault="00137364">
            <w:pPr>
              <w:snapToGrid w:val="0"/>
              <w:spacing w:after="0" w:line="240" w:lineRule="auto"/>
              <w:rPr>
                <w:color w:val="000000"/>
                <w:lang w:val="en-US"/>
              </w:rPr>
            </w:pPr>
          </w:p>
        </w:tc>
        <w:tc>
          <w:tcPr>
            <w:tcW w:w="992" w:type="dxa"/>
            <w:tcBorders>
              <w:top w:val="single" w:sz="6" w:space="0" w:color="000000"/>
              <w:left w:val="single" w:sz="6" w:space="0" w:color="000000"/>
              <w:bottom w:val="single" w:sz="6" w:space="0" w:color="000000"/>
            </w:tcBorders>
            <w:shd w:val="clear" w:color="auto" w:fill="auto"/>
            <w:vAlign w:val="bottom"/>
          </w:tcPr>
          <w:p w14:paraId="1E662FA5" w14:textId="2D84FA7A" w:rsidR="00137364" w:rsidRDefault="00B42DD3" w:rsidP="002C18DF">
            <w:pPr>
              <w:spacing w:after="0" w:line="240" w:lineRule="auto"/>
              <w:jc w:val="right"/>
              <w:rPr>
                <w:color w:val="000000"/>
                <w:lang w:val="en-US"/>
              </w:rPr>
            </w:pPr>
            <w:r>
              <w:rPr>
                <w:color w:val="000000"/>
                <w:lang w:val="en-US"/>
              </w:rPr>
              <w:t>3</w:t>
            </w:r>
          </w:p>
        </w:tc>
        <w:tc>
          <w:tcPr>
            <w:tcW w:w="851" w:type="dxa"/>
            <w:tcBorders>
              <w:top w:val="single" w:sz="6" w:space="0" w:color="000000"/>
              <w:left w:val="single" w:sz="6" w:space="0" w:color="000000"/>
              <w:bottom w:val="single" w:sz="6" w:space="0" w:color="000000"/>
            </w:tcBorders>
            <w:shd w:val="clear" w:color="auto" w:fill="auto"/>
            <w:vAlign w:val="bottom"/>
          </w:tcPr>
          <w:p w14:paraId="513E8FA0" w14:textId="77777777" w:rsidR="00137364" w:rsidRDefault="00E861F4" w:rsidP="002C18DF">
            <w:pPr>
              <w:spacing w:after="0" w:line="240" w:lineRule="auto"/>
              <w:jc w:val="right"/>
              <w:rPr>
                <w:color w:val="000000"/>
                <w:lang w:val="en-US"/>
              </w:rPr>
            </w:pPr>
            <w:r>
              <w:rPr>
                <w:color w:val="000000"/>
                <w:lang w:val="en-US"/>
              </w:rPr>
              <w:t>4</w:t>
            </w:r>
          </w:p>
        </w:tc>
        <w:tc>
          <w:tcPr>
            <w:tcW w:w="850" w:type="dxa"/>
            <w:tcBorders>
              <w:top w:val="single" w:sz="6" w:space="0" w:color="000000"/>
              <w:left w:val="single" w:sz="6" w:space="0" w:color="000000"/>
              <w:bottom w:val="single" w:sz="6" w:space="0" w:color="000000"/>
            </w:tcBorders>
            <w:shd w:val="clear" w:color="auto" w:fill="auto"/>
            <w:vAlign w:val="bottom"/>
          </w:tcPr>
          <w:p w14:paraId="6818E04A" w14:textId="6189EEEA" w:rsidR="00137364" w:rsidRDefault="00B42DD3" w:rsidP="002C18DF">
            <w:pPr>
              <w:spacing w:after="0" w:line="240" w:lineRule="auto"/>
              <w:jc w:val="right"/>
              <w:rPr>
                <w:color w:val="000000"/>
                <w:lang w:val="en-US"/>
              </w:rPr>
            </w:pPr>
            <w:r>
              <w:rPr>
                <w:color w:val="000000"/>
                <w:lang w:val="en-US"/>
              </w:rPr>
              <w:t>2</w:t>
            </w:r>
          </w:p>
        </w:tc>
        <w:tc>
          <w:tcPr>
            <w:tcW w:w="993" w:type="dxa"/>
            <w:tcBorders>
              <w:top w:val="single" w:sz="6" w:space="0" w:color="000000"/>
              <w:left w:val="single" w:sz="6" w:space="0" w:color="000000"/>
              <w:bottom w:val="single" w:sz="6" w:space="0" w:color="000000"/>
            </w:tcBorders>
            <w:shd w:val="clear" w:color="auto" w:fill="auto"/>
            <w:vAlign w:val="bottom"/>
          </w:tcPr>
          <w:p w14:paraId="1D6157B1" w14:textId="039F63A0" w:rsidR="00137364" w:rsidRDefault="00B42DD3" w:rsidP="002C18DF">
            <w:pPr>
              <w:spacing w:after="0" w:line="240" w:lineRule="auto"/>
              <w:jc w:val="right"/>
              <w:rPr>
                <w:color w:val="000000"/>
                <w:lang w:val="en-US"/>
              </w:rPr>
            </w:pPr>
            <w:r>
              <w:rPr>
                <w:color w:val="000000"/>
                <w:lang w:val="en-US"/>
              </w:rPr>
              <w:t>2</w:t>
            </w:r>
          </w:p>
        </w:tc>
        <w:tc>
          <w:tcPr>
            <w:tcW w:w="850" w:type="dxa"/>
            <w:tcBorders>
              <w:top w:val="single" w:sz="6" w:space="0" w:color="000000"/>
              <w:left w:val="single" w:sz="6" w:space="0" w:color="000000"/>
              <w:bottom w:val="single" w:sz="6" w:space="0" w:color="000000"/>
            </w:tcBorders>
            <w:shd w:val="clear" w:color="auto" w:fill="auto"/>
            <w:vAlign w:val="bottom"/>
          </w:tcPr>
          <w:p w14:paraId="3A6DEEDA" w14:textId="77777777" w:rsidR="00137364" w:rsidRDefault="00137364" w:rsidP="002C18DF">
            <w:pPr>
              <w:spacing w:after="0" w:line="240" w:lineRule="auto"/>
              <w:jc w:val="right"/>
              <w:rPr>
                <w:color w:val="000000"/>
                <w:lang w:val="en-US"/>
              </w:rPr>
            </w:pPr>
            <w:r>
              <w:rPr>
                <w:color w:val="000000"/>
                <w:lang w:val="en-US"/>
              </w:rPr>
              <w:t>0</w:t>
            </w:r>
          </w:p>
        </w:tc>
        <w:tc>
          <w:tcPr>
            <w:tcW w:w="1144" w:type="dxa"/>
            <w:tcBorders>
              <w:top w:val="single" w:sz="6" w:space="0" w:color="000000"/>
              <w:left w:val="single" w:sz="6" w:space="0" w:color="000000"/>
              <w:bottom w:val="single" w:sz="6" w:space="0" w:color="000000"/>
              <w:right w:val="single" w:sz="4" w:space="0" w:color="000000"/>
            </w:tcBorders>
            <w:shd w:val="clear" w:color="auto" w:fill="auto"/>
            <w:vAlign w:val="bottom"/>
          </w:tcPr>
          <w:p w14:paraId="2670FAF6" w14:textId="77777777" w:rsidR="00137364" w:rsidRDefault="00137364">
            <w:pPr>
              <w:snapToGrid w:val="0"/>
              <w:spacing w:after="0" w:line="240" w:lineRule="auto"/>
              <w:rPr>
                <w:color w:val="000000"/>
                <w:lang w:val="en-US"/>
              </w:rPr>
            </w:pPr>
          </w:p>
        </w:tc>
      </w:tr>
      <w:tr w:rsidR="00137364" w14:paraId="71345241" w14:textId="77777777" w:rsidTr="000C6C5D">
        <w:trPr>
          <w:trHeight w:val="300"/>
        </w:trPr>
        <w:tc>
          <w:tcPr>
            <w:tcW w:w="1069" w:type="dxa"/>
            <w:tcBorders>
              <w:top w:val="single" w:sz="6" w:space="0" w:color="000000"/>
              <w:left w:val="single" w:sz="4" w:space="0" w:color="000000"/>
              <w:bottom w:val="single" w:sz="6" w:space="0" w:color="000000"/>
            </w:tcBorders>
            <w:shd w:val="clear" w:color="auto" w:fill="auto"/>
            <w:vAlign w:val="bottom"/>
          </w:tcPr>
          <w:p w14:paraId="784FE20C" w14:textId="77777777" w:rsidR="00137364" w:rsidRDefault="00137364">
            <w:pPr>
              <w:spacing w:after="0" w:line="240" w:lineRule="auto"/>
              <w:rPr>
                <w:color w:val="000000"/>
                <w:lang w:val="en-US"/>
              </w:rPr>
            </w:pPr>
            <w:r>
              <w:rPr>
                <w:color w:val="000000"/>
                <w:lang w:val="en-US"/>
              </w:rPr>
              <w:t>79/80</w:t>
            </w:r>
          </w:p>
        </w:tc>
        <w:tc>
          <w:tcPr>
            <w:tcW w:w="1200" w:type="dxa"/>
            <w:tcBorders>
              <w:top w:val="single" w:sz="6" w:space="0" w:color="000000"/>
              <w:left w:val="single" w:sz="6" w:space="0" w:color="000000"/>
              <w:bottom w:val="single" w:sz="6" w:space="0" w:color="000000"/>
            </w:tcBorders>
            <w:shd w:val="clear" w:color="auto" w:fill="auto"/>
            <w:vAlign w:val="bottom"/>
          </w:tcPr>
          <w:p w14:paraId="2B9FDA93" w14:textId="478C1A35" w:rsidR="00137364" w:rsidRDefault="00EF684D" w:rsidP="00EF684D">
            <w:pPr>
              <w:spacing w:after="0" w:line="240" w:lineRule="auto"/>
              <w:rPr>
                <w:color w:val="000000"/>
                <w:lang w:val="en-US"/>
              </w:rPr>
            </w:pPr>
            <w:r>
              <w:rPr>
                <w:color w:val="000000"/>
                <w:lang w:val="en-US"/>
              </w:rPr>
              <w:t>11</w:t>
            </w:r>
          </w:p>
        </w:tc>
        <w:tc>
          <w:tcPr>
            <w:tcW w:w="1984" w:type="dxa"/>
            <w:tcBorders>
              <w:top w:val="single" w:sz="6" w:space="0" w:color="000000"/>
              <w:left w:val="single" w:sz="6" w:space="0" w:color="000000"/>
              <w:bottom w:val="single" w:sz="6" w:space="0" w:color="000000"/>
            </w:tcBorders>
            <w:shd w:val="clear" w:color="auto" w:fill="auto"/>
            <w:vAlign w:val="bottom"/>
          </w:tcPr>
          <w:p w14:paraId="2E9108C1" w14:textId="77777777" w:rsidR="00137364" w:rsidRDefault="00137364">
            <w:pPr>
              <w:snapToGrid w:val="0"/>
              <w:spacing w:after="0" w:line="240" w:lineRule="auto"/>
              <w:rPr>
                <w:color w:val="000000"/>
                <w:lang w:val="en-US"/>
              </w:rPr>
            </w:pPr>
          </w:p>
        </w:tc>
        <w:tc>
          <w:tcPr>
            <w:tcW w:w="992" w:type="dxa"/>
            <w:tcBorders>
              <w:top w:val="single" w:sz="6" w:space="0" w:color="000000"/>
              <w:left w:val="single" w:sz="6" w:space="0" w:color="000000"/>
              <w:bottom w:val="single" w:sz="6" w:space="0" w:color="000000"/>
            </w:tcBorders>
            <w:shd w:val="clear" w:color="auto" w:fill="auto"/>
            <w:vAlign w:val="bottom"/>
          </w:tcPr>
          <w:p w14:paraId="0D09954E" w14:textId="64D63F57" w:rsidR="00137364" w:rsidRDefault="00B42DD3" w:rsidP="002C18DF">
            <w:pPr>
              <w:spacing w:after="0" w:line="240" w:lineRule="auto"/>
              <w:jc w:val="right"/>
              <w:rPr>
                <w:color w:val="000000"/>
                <w:lang w:val="en-US"/>
              </w:rPr>
            </w:pPr>
            <w:r>
              <w:rPr>
                <w:color w:val="000000"/>
                <w:lang w:val="en-US"/>
              </w:rPr>
              <w:t>4</w:t>
            </w:r>
          </w:p>
        </w:tc>
        <w:tc>
          <w:tcPr>
            <w:tcW w:w="851" w:type="dxa"/>
            <w:tcBorders>
              <w:top w:val="single" w:sz="6" w:space="0" w:color="000000"/>
              <w:left w:val="single" w:sz="6" w:space="0" w:color="000000"/>
              <w:bottom w:val="single" w:sz="6" w:space="0" w:color="000000"/>
            </w:tcBorders>
            <w:shd w:val="clear" w:color="auto" w:fill="auto"/>
            <w:vAlign w:val="bottom"/>
          </w:tcPr>
          <w:p w14:paraId="43B185DC" w14:textId="0A48CF84" w:rsidR="00137364" w:rsidRDefault="00B42DD3" w:rsidP="002C18DF">
            <w:pPr>
              <w:spacing w:after="0" w:line="240" w:lineRule="auto"/>
              <w:jc w:val="right"/>
              <w:rPr>
                <w:color w:val="000000"/>
                <w:lang w:val="en-US"/>
              </w:rPr>
            </w:pPr>
            <w:r>
              <w:rPr>
                <w:color w:val="000000"/>
                <w:lang w:val="en-US"/>
              </w:rPr>
              <w:t>5</w:t>
            </w:r>
          </w:p>
        </w:tc>
        <w:tc>
          <w:tcPr>
            <w:tcW w:w="850" w:type="dxa"/>
            <w:tcBorders>
              <w:top w:val="single" w:sz="6" w:space="0" w:color="000000"/>
              <w:left w:val="single" w:sz="6" w:space="0" w:color="000000"/>
              <w:bottom w:val="single" w:sz="6" w:space="0" w:color="000000"/>
            </w:tcBorders>
            <w:shd w:val="clear" w:color="auto" w:fill="auto"/>
            <w:vAlign w:val="bottom"/>
          </w:tcPr>
          <w:p w14:paraId="0C692F6D" w14:textId="264DA570" w:rsidR="00137364" w:rsidRDefault="00B42DD3" w:rsidP="002C18DF">
            <w:pPr>
              <w:spacing w:after="0" w:line="240" w:lineRule="auto"/>
              <w:jc w:val="right"/>
              <w:rPr>
                <w:color w:val="000000"/>
                <w:lang w:val="en-US"/>
              </w:rPr>
            </w:pPr>
            <w:r>
              <w:rPr>
                <w:color w:val="000000"/>
                <w:lang w:val="en-US"/>
              </w:rPr>
              <w:t>1</w:t>
            </w:r>
          </w:p>
        </w:tc>
        <w:tc>
          <w:tcPr>
            <w:tcW w:w="993" w:type="dxa"/>
            <w:tcBorders>
              <w:top w:val="single" w:sz="6" w:space="0" w:color="000000"/>
              <w:left w:val="single" w:sz="6" w:space="0" w:color="000000"/>
              <w:bottom w:val="single" w:sz="6" w:space="0" w:color="000000"/>
            </w:tcBorders>
            <w:shd w:val="clear" w:color="auto" w:fill="auto"/>
            <w:vAlign w:val="bottom"/>
          </w:tcPr>
          <w:p w14:paraId="3A4D2EA8" w14:textId="0BD09328" w:rsidR="00137364" w:rsidRDefault="00B42DD3" w:rsidP="002C18DF">
            <w:pPr>
              <w:spacing w:after="0" w:line="240" w:lineRule="auto"/>
              <w:jc w:val="right"/>
              <w:rPr>
                <w:color w:val="000000"/>
                <w:lang w:val="en-US"/>
              </w:rPr>
            </w:pPr>
            <w:r>
              <w:rPr>
                <w:color w:val="000000"/>
                <w:lang w:val="en-US"/>
              </w:rPr>
              <w:t>1</w:t>
            </w:r>
          </w:p>
        </w:tc>
        <w:tc>
          <w:tcPr>
            <w:tcW w:w="850" w:type="dxa"/>
            <w:tcBorders>
              <w:top w:val="single" w:sz="6" w:space="0" w:color="000000"/>
              <w:left w:val="single" w:sz="6" w:space="0" w:color="000000"/>
              <w:bottom w:val="single" w:sz="6" w:space="0" w:color="000000"/>
            </w:tcBorders>
            <w:shd w:val="clear" w:color="auto" w:fill="auto"/>
            <w:vAlign w:val="bottom"/>
          </w:tcPr>
          <w:p w14:paraId="3E03B680" w14:textId="77777777" w:rsidR="00137364" w:rsidRDefault="002C18DF" w:rsidP="002C18DF">
            <w:pPr>
              <w:spacing w:after="0" w:line="240" w:lineRule="auto"/>
              <w:jc w:val="right"/>
              <w:rPr>
                <w:color w:val="000000"/>
                <w:lang w:val="en-US"/>
              </w:rPr>
            </w:pPr>
            <w:r>
              <w:rPr>
                <w:color w:val="000000"/>
                <w:lang w:val="en-US"/>
              </w:rPr>
              <w:t>0</w:t>
            </w:r>
          </w:p>
        </w:tc>
        <w:tc>
          <w:tcPr>
            <w:tcW w:w="1144" w:type="dxa"/>
            <w:tcBorders>
              <w:top w:val="single" w:sz="6" w:space="0" w:color="000000"/>
              <w:left w:val="single" w:sz="6" w:space="0" w:color="000000"/>
              <w:bottom w:val="single" w:sz="6" w:space="0" w:color="000000"/>
              <w:right w:val="single" w:sz="4" w:space="0" w:color="000000"/>
            </w:tcBorders>
            <w:shd w:val="clear" w:color="auto" w:fill="auto"/>
            <w:vAlign w:val="bottom"/>
          </w:tcPr>
          <w:p w14:paraId="2F7D33AD" w14:textId="77777777" w:rsidR="00137364" w:rsidRDefault="00137364">
            <w:pPr>
              <w:snapToGrid w:val="0"/>
              <w:spacing w:after="0" w:line="240" w:lineRule="auto"/>
              <w:rPr>
                <w:color w:val="000000"/>
                <w:lang w:val="en-US"/>
              </w:rPr>
            </w:pPr>
          </w:p>
        </w:tc>
      </w:tr>
      <w:tr w:rsidR="00137364" w14:paraId="37067F4E" w14:textId="77777777" w:rsidTr="000C6C5D">
        <w:trPr>
          <w:trHeight w:val="300"/>
        </w:trPr>
        <w:tc>
          <w:tcPr>
            <w:tcW w:w="1069" w:type="dxa"/>
            <w:tcBorders>
              <w:top w:val="single" w:sz="6" w:space="0" w:color="000000"/>
              <w:left w:val="single" w:sz="4" w:space="0" w:color="000000"/>
              <w:bottom w:val="single" w:sz="6" w:space="0" w:color="000000"/>
            </w:tcBorders>
            <w:shd w:val="clear" w:color="auto" w:fill="auto"/>
            <w:vAlign w:val="bottom"/>
          </w:tcPr>
          <w:p w14:paraId="7F4482B8" w14:textId="77777777" w:rsidR="00137364" w:rsidRDefault="00137364">
            <w:pPr>
              <w:spacing w:after="0" w:line="240" w:lineRule="auto"/>
              <w:rPr>
                <w:color w:val="000000"/>
                <w:lang w:val="en-US"/>
              </w:rPr>
            </w:pPr>
            <w:r>
              <w:rPr>
                <w:color w:val="000000"/>
                <w:lang w:val="en-US"/>
              </w:rPr>
              <w:t>80/81</w:t>
            </w:r>
          </w:p>
        </w:tc>
        <w:tc>
          <w:tcPr>
            <w:tcW w:w="1200" w:type="dxa"/>
            <w:tcBorders>
              <w:top w:val="single" w:sz="6" w:space="0" w:color="000000"/>
              <w:left w:val="single" w:sz="6" w:space="0" w:color="000000"/>
              <w:bottom w:val="single" w:sz="6" w:space="0" w:color="000000"/>
            </w:tcBorders>
            <w:shd w:val="clear" w:color="auto" w:fill="auto"/>
            <w:vAlign w:val="bottom"/>
          </w:tcPr>
          <w:p w14:paraId="0257B779" w14:textId="77777777" w:rsidR="00137364" w:rsidRDefault="00137364">
            <w:pPr>
              <w:spacing w:after="0" w:line="240" w:lineRule="auto"/>
              <w:rPr>
                <w:color w:val="000000"/>
                <w:lang w:val="en-US"/>
              </w:rPr>
            </w:pPr>
            <w:r>
              <w:rPr>
                <w:color w:val="000000"/>
                <w:lang w:val="en-US"/>
              </w:rPr>
              <w:t>14</w:t>
            </w:r>
          </w:p>
        </w:tc>
        <w:tc>
          <w:tcPr>
            <w:tcW w:w="1984" w:type="dxa"/>
            <w:tcBorders>
              <w:top w:val="single" w:sz="6" w:space="0" w:color="000000"/>
              <w:left w:val="single" w:sz="6" w:space="0" w:color="000000"/>
              <w:bottom w:val="single" w:sz="6" w:space="0" w:color="000000"/>
            </w:tcBorders>
            <w:shd w:val="clear" w:color="auto" w:fill="auto"/>
            <w:vAlign w:val="bottom"/>
          </w:tcPr>
          <w:p w14:paraId="7A263C59" w14:textId="77777777" w:rsidR="00137364" w:rsidRDefault="00137364">
            <w:pPr>
              <w:snapToGrid w:val="0"/>
              <w:spacing w:after="0" w:line="240" w:lineRule="auto"/>
              <w:rPr>
                <w:color w:val="000000"/>
                <w:lang w:val="en-US"/>
              </w:rPr>
            </w:pPr>
          </w:p>
        </w:tc>
        <w:tc>
          <w:tcPr>
            <w:tcW w:w="992" w:type="dxa"/>
            <w:tcBorders>
              <w:top w:val="single" w:sz="6" w:space="0" w:color="000000"/>
              <w:left w:val="single" w:sz="6" w:space="0" w:color="000000"/>
              <w:bottom w:val="single" w:sz="6" w:space="0" w:color="000000"/>
            </w:tcBorders>
            <w:shd w:val="clear" w:color="auto" w:fill="auto"/>
            <w:vAlign w:val="bottom"/>
          </w:tcPr>
          <w:p w14:paraId="27E626A9" w14:textId="5BAA145C" w:rsidR="00137364" w:rsidRDefault="00B42DD3" w:rsidP="002C18DF">
            <w:pPr>
              <w:spacing w:after="0" w:line="240" w:lineRule="auto"/>
              <w:jc w:val="right"/>
              <w:rPr>
                <w:color w:val="000000"/>
                <w:lang w:val="en-US"/>
              </w:rPr>
            </w:pPr>
            <w:r>
              <w:rPr>
                <w:color w:val="000000"/>
                <w:lang w:val="en-US"/>
              </w:rPr>
              <w:t>5</w:t>
            </w:r>
          </w:p>
        </w:tc>
        <w:tc>
          <w:tcPr>
            <w:tcW w:w="851" w:type="dxa"/>
            <w:tcBorders>
              <w:top w:val="single" w:sz="6" w:space="0" w:color="000000"/>
              <w:left w:val="single" w:sz="6" w:space="0" w:color="000000"/>
              <w:bottom w:val="single" w:sz="6" w:space="0" w:color="000000"/>
            </w:tcBorders>
            <w:shd w:val="clear" w:color="auto" w:fill="auto"/>
            <w:vAlign w:val="bottom"/>
          </w:tcPr>
          <w:p w14:paraId="4365E368" w14:textId="26DBFB6B" w:rsidR="00137364" w:rsidRDefault="00B42DD3" w:rsidP="002C18DF">
            <w:pPr>
              <w:spacing w:after="0" w:line="240" w:lineRule="auto"/>
              <w:jc w:val="right"/>
              <w:rPr>
                <w:color w:val="000000"/>
                <w:lang w:val="en-US"/>
              </w:rPr>
            </w:pPr>
            <w:r>
              <w:rPr>
                <w:color w:val="000000"/>
                <w:lang w:val="en-US"/>
              </w:rPr>
              <w:t>6</w:t>
            </w:r>
          </w:p>
        </w:tc>
        <w:tc>
          <w:tcPr>
            <w:tcW w:w="850" w:type="dxa"/>
            <w:tcBorders>
              <w:top w:val="single" w:sz="6" w:space="0" w:color="000000"/>
              <w:left w:val="single" w:sz="6" w:space="0" w:color="000000"/>
              <w:bottom w:val="single" w:sz="6" w:space="0" w:color="000000"/>
            </w:tcBorders>
            <w:shd w:val="clear" w:color="auto" w:fill="auto"/>
            <w:vAlign w:val="bottom"/>
          </w:tcPr>
          <w:p w14:paraId="36D1E798" w14:textId="60490439" w:rsidR="00137364" w:rsidRDefault="00B42DD3" w:rsidP="002C18DF">
            <w:pPr>
              <w:spacing w:after="0" w:line="240" w:lineRule="auto"/>
              <w:jc w:val="right"/>
              <w:rPr>
                <w:color w:val="000000"/>
                <w:lang w:val="en-US"/>
              </w:rPr>
            </w:pPr>
            <w:r>
              <w:rPr>
                <w:color w:val="000000"/>
                <w:lang w:val="en-US"/>
              </w:rPr>
              <w:t>3</w:t>
            </w:r>
          </w:p>
        </w:tc>
        <w:tc>
          <w:tcPr>
            <w:tcW w:w="993" w:type="dxa"/>
            <w:tcBorders>
              <w:top w:val="single" w:sz="6" w:space="0" w:color="000000"/>
              <w:left w:val="single" w:sz="6" w:space="0" w:color="000000"/>
              <w:bottom w:val="single" w:sz="6" w:space="0" w:color="000000"/>
            </w:tcBorders>
            <w:shd w:val="clear" w:color="auto" w:fill="auto"/>
            <w:vAlign w:val="bottom"/>
          </w:tcPr>
          <w:p w14:paraId="2DAE91C1" w14:textId="6C33DC11" w:rsidR="00137364" w:rsidRDefault="00B42DD3" w:rsidP="002C18DF">
            <w:pPr>
              <w:spacing w:after="0" w:line="240" w:lineRule="auto"/>
              <w:jc w:val="right"/>
              <w:rPr>
                <w:color w:val="000000"/>
                <w:lang w:val="en-US"/>
              </w:rPr>
            </w:pPr>
            <w:r>
              <w:rPr>
                <w:color w:val="000000"/>
                <w:lang w:val="en-US"/>
              </w:rPr>
              <w:t>0</w:t>
            </w:r>
          </w:p>
        </w:tc>
        <w:tc>
          <w:tcPr>
            <w:tcW w:w="850" w:type="dxa"/>
            <w:tcBorders>
              <w:top w:val="single" w:sz="6" w:space="0" w:color="000000"/>
              <w:left w:val="single" w:sz="6" w:space="0" w:color="000000"/>
              <w:bottom w:val="single" w:sz="6" w:space="0" w:color="000000"/>
            </w:tcBorders>
            <w:shd w:val="clear" w:color="auto" w:fill="auto"/>
            <w:vAlign w:val="bottom"/>
          </w:tcPr>
          <w:p w14:paraId="1D1A634B" w14:textId="77777777" w:rsidR="00137364" w:rsidRDefault="004536DA" w:rsidP="002C18DF">
            <w:pPr>
              <w:spacing w:after="0" w:line="240" w:lineRule="auto"/>
              <w:jc w:val="right"/>
              <w:rPr>
                <w:color w:val="000000"/>
                <w:lang w:val="en-US"/>
              </w:rPr>
            </w:pPr>
            <w:r>
              <w:rPr>
                <w:color w:val="000000"/>
                <w:lang w:val="en-US"/>
              </w:rPr>
              <w:t>0</w:t>
            </w:r>
          </w:p>
        </w:tc>
        <w:tc>
          <w:tcPr>
            <w:tcW w:w="1144" w:type="dxa"/>
            <w:tcBorders>
              <w:top w:val="single" w:sz="6" w:space="0" w:color="000000"/>
              <w:left w:val="single" w:sz="6" w:space="0" w:color="000000"/>
              <w:bottom w:val="single" w:sz="6" w:space="0" w:color="000000"/>
              <w:right w:val="single" w:sz="4" w:space="0" w:color="000000"/>
            </w:tcBorders>
            <w:shd w:val="clear" w:color="auto" w:fill="auto"/>
            <w:vAlign w:val="bottom"/>
          </w:tcPr>
          <w:p w14:paraId="18600758" w14:textId="77777777" w:rsidR="00137364" w:rsidRDefault="00137364">
            <w:pPr>
              <w:snapToGrid w:val="0"/>
              <w:spacing w:after="0" w:line="240" w:lineRule="auto"/>
              <w:rPr>
                <w:color w:val="000000"/>
                <w:lang w:val="en-US"/>
              </w:rPr>
            </w:pPr>
          </w:p>
        </w:tc>
      </w:tr>
      <w:tr w:rsidR="00137364" w14:paraId="0EEE07FB" w14:textId="77777777" w:rsidTr="000C6C5D">
        <w:trPr>
          <w:trHeight w:val="300"/>
        </w:trPr>
        <w:tc>
          <w:tcPr>
            <w:tcW w:w="1069" w:type="dxa"/>
            <w:tcBorders>
              <w:top w:val="single" w:sz="6" w:space="0" w:color="000000"/>
              <w:left w:val="single" w:sz="4" w:space="0" w:color="000000"/>
              <w:bottom w:val="single" w:sz="6" w:space="0" w:color="000000"/>
            </w:tcBorders>
            <w:shd w:val="clear" w:color="auto" w:fill="auto"/>
            <w:vAlign w:val="bottom"/>
          </w:tcPr>
          <w:p w14:paraId="0F4E9FFE" w14:textId="1CCA5FBC" w:rsidR="00137364" w:rsidRDefault="00B42DD3" w:rsidP="00B42DD3">
            <w:pPr>
              <w:spacing w:after="0" w:line="240" w:lineRule="auto"/>
              <w:rPr>
                <w:color w:val="000000"/>
                <w:lang w:val="en-US"/>
              </w:rPr>
            </w:pPr>
            <w:r>
              <w:rPr>
                <w:color w:val="000000"/>
                <w:lang w:val="en-US"/>
              </w:rPr>
              <w:t>86</w:t>
            </w:r>
            <w:r w:rsidR="00B92817">
              <w:rPr>
                <w:color w:val="000000"/>
                <w:lang w:val="en-US"/>
              </w:rPr>
              <w:t>/</w:t>
            </w:r>
            <w:r>
              <w:rPr>
                <w:color w:val="000000"/>
                <w:lang w:val="en-US"/>
              </w:rPr>
              <w:t>87</w:t>
            </w:r>
          </w:p>
        </w:tc>
        <w:tc>
          <w:tcPr>
            <w:tcW w:w="1200" w:type="dxa"/>
            <w:tcBorders>
              <w:top w:val="single" w:sz="6" w:space="0" w:color="000000"/>
              <w:left w:val="single" w:sz="6" w:space="0" w:color="000000"/>
              <w:bottom w:val="single" w:sz="6" w:space="0" w:color="000000"/>
            </w:tcBorders>
            <w:shd w:val="clear" w:color="auto" w:fill="auto"/>
            <w:vAlign w:val="bottom"/>
          </w:tcPr>
          <w:p w14:paraId="565C7FC8" w14:textId="1AC76FBD" w:rsidR="00137364" w:rsidRDefault="00EF684D">
            <w:pPr>
              <w:spacing w:after="0" w:line="240" w:lineRule="auto"/>
              <w:rPr>
                <w:color w:val="000000"/>
                <w:lang w:val="en-US"/>
              </w:rPr>
            </w:pPr>
            <w:r>
              <w:rPr>
                <w:color w:val="000000"/>
                <w:lang w:val="en-US"/>
              </w:rPr>
              <w:t>14</w:t>
            </w:r>
          </w:p>
        </w:tc>
        <w:tc>
          <w:tcPr>
            <w:tcW w:w="1984" w:type="dxa"/>
            <w:tcBorders>
              <w:top w:val="single" w:sz="6" w:space="0" w:color="000000"/>
              <w:left w:val="single" w:sz="6" w:space="0" w:color="000000"/>
              <w:bottom w:val="single" w:sz="6" w:space="0" w:color="000000"/>
            </w:tcBorders>
            <w:shd w:val="clear" w:color="auto" w:fill="auto"/>
            <w:vAlign w:val="bottom"/>
          </w:tcPr>
          <w:p w14:paraId="359EF173" w14:textId="77777777" w:rsidR="00137364" w:rsidRDefault="00137364">
            <w:pPr>
              <w:snapToGrid w:val="0"/>
              <w:spacing w:after="0" w:line="240" w:lineRule="auto"/>
              <w:rPr>
                <w:color w:val="000000"/>
                <w:lang w:val="en-US"/>
              </w:rPr>
            </w:pPr>
          </w:p>
        </w:tc>
        <w:tc>
          <w:tcPr>
            <w:tcW w:w="992" w:type="dxa"/>
            <w:tcBorders>
              <w:top w:val="single" w:sz="6" w:space="0" w:color="000000"/>
              <w:left w:val="single" w:sz="6" w:space="0" w:color="000000"/>
              <w:bottom w:val="single" w:sz="6" w:space="0" w:color="000000"/>
            </w:tcBorders>
            <w:shd w:val="clear" w:color="auto" w:fill="auto"/>
            <w:vAlign w:val="bottom"/>
          </w:tcPr>
          <w:p w14:paraId="2DA1A1CB" w14:textId="7016613A" w:rsidR="00137364" w:rsidRDefault="00EF684D" w:rsidP="002C18DF">
            <w:pPr>
              <w:spacing w:after="0" w:line="240" w:lineRule="auto"/>
              <w:jc w:val="right"/>
              <w:rPr>
                <w:color w:val="000000"/>
                <w:lang w:val="en-US"/>
              </w:rPr>
            </w:pPr>
            <w:r>
              <w:rPr>
                <w:color w:val="000000"/>
                <w:lang w:val="en-US"/>
              </w:rPr>
              <w:t>4</w:t>
            </w:r>
          </w:p>
        </w:tc>
        <w:tc>
          <w:tcPr>
            <w:tcW w:w="851" w:type="dxa"/>
            <w:tcBorders>
              <w:top w:val="single" w:sz="6" w:space="0" w:color="000000"/>
              <w:left w:val="single" w:sz="6" w:space="0" w:color="000000"/>
              <w:bottom w:val="single" w:sz="6" w:space="0" w:color="000000"/>
            </w:tcBorders>
            <w:shd w:val="clear" w:color="auto" w:fill="auto"/>
            <w:vAlign w:val="bottom"/>
          </w:tcPr>
          <w:p w14:paraId="2CC8BA7F" w14:textId="259CD76C" w:rsidR="00137364" w:rsidRDefault="00EF684D" w:rsidP="002C18DF">
            <w:pPr>
              <w:spacing w:after="0" w:line="240" w:lineRule="auto"/>
              <w:jc w:val="right"/>
              <w:rPr>
                <w:color w:val="000000"/>
                <w:lang w:val="en-US"/>
              </w:rPr>
            </w:pPr>
            <w:r>
              <w:rPr>
                <w:color w:val="000000"/>
                <w:lang w:val="en-US"/>
              </w:rPr>
              <w:t>5</w:t>
            </w:r>
          </w:p>
        </w:tc>
        <w:tc>
          <w:tcPr>
            <w:tcW w:w="850" w:type="dxa"/>
            <w:tcBorders>
              <w:top w:val="single" w:sz="6" w:space="0" w:color="000000"/>
              <w:left w:val="single" w:sz="6" w:space="0" w:color="000000"/>
              <w:bottom w:val="single" w:sz="6" w:space="0" w:color="000000"/>
            </w:tcBorders>
            <w:shd w:val="clear" w:color="auto" w:fill="auto"/>
            <w:vAlign w:val="bottom"/>
          </w:tcPr>
          <w:p w14:paraId="2BA75422" w14:textId="0D010CB3" w:rsidR="00137364" w:rsidRDefault="00EF684D" w:rsidP="002C18DF">
            <w:pPr>
              <w:spacing w:after="0" w:line="240" w:lineRule="auto"/>
              <w:jc w:val="right"/>
              <w:rPr>
                <w:color w:val="000000"/>
                <w:lang w:val="en-US"/>
              </w:rPr>
            </w:pPr>
            <w:r>
              <w:rPr>
                <w:color w:val="000000"/>
                <w:lang w:val="en-US"/>
              </w:rPr>
              <w:t>3</w:t>
            </w:r>
          </w:p>
        </w:tc>
        <w:tc>
          <w:tcPr>
            <w:tcW w:w="993" w:type="dxa"/>
            <w:tcBorders>
              <w:top w:val="single" w:sz="6" w:space="0" w:color="000000"/>
              <w:left w:val="single" w:sz="6" w:space="0" w:color="000000"/>
              <w:bottom w:val="single" w:sz="6" w:space="0" w:color="000000"/>
            </w:tcBorders>
            <w:shd w:val="clear" w:color="auto" w:fill="auto"/>
            <w:vAlign w:val="bottom"/>
          </w:tcPr>
          <w:p w14:paraId="4D536675" w14:textId="7C50E6EC" w:rsidR="00137364" w:rsidRDefault="00EF684D" w:rsidP="002C18DF">
            <w:pPr>
              <w:spacing w:after="0" w:line="240" w:lineRule="auto"/>
              <w:jc w:val="right"/>
              <w:rPr>
                <w:color w:val="000000"/>
                <w:lang w:val="en-US"/>
              </w:rPr>
            </w:pPr>
            <w:r>
              <w:rPr>
                <w:color w:val="000000"/>
                <w:lang w:val="en-US"/>
              </w:rPr>
              <w:t>2</w:t>
            </w:r>
          </w:p>
        </w:tc>
        <w:tc>
          <w:tcPr>
            <w:tcW w:w="850" w:type="dxa"/>
            <w:tcBorders>
              <w:top w:val="single" w:sz="6" w:space="0" w:color="000000"/>
              <w:left w:val="single" w:sz="6" w:space="0" w:color="000000"/>
              <w:bottom w:val="single" w:sz="6" w:space="0" w:color="000000"/>
            </w:tcBorders>
            <w:shd w:val="clear" w:color="auto" w:fill="auto"/>
            <w:vAlign w:val="bottom"/>
          </w:tcPr>
          <w:p w14:paraId="138E62A2" w14:textId="46B7D8E8" w:rsidR="00137364" w:rsidRDefault="00EF684D" w:rsidP="002C18DF">
            <w:pPr>
              <w:spacing w:after="0" w:line="240" w:lineRule="auto"/>
              <w:jc w:val="right"/>
              <w:rPr>
                <w:color w:val="000000"/>
                <w:lang w:val="en-US"/>
              </w:rPr>
            </w:pPr>
            <w:r>
              <w:rPr>
                <w:color w:val="000000"/>
                <w:lang w:val="en-US"/>
              </w:rPr>
              <w:t>0</w:t>
            </w:r>
          </w:p>
        </w:tc>
        <w:tc>
          <w:tcPr>
            <w:tcW w:w="1144" w:type="dxa"/>
            <w:tcBorders>
              <w:top w:val="single" w:sz="6" w:space="0" w:color="000000"/>
              <w:left w:val="single" w:sz="6" w:space="0" w:color="000000"/>
              <w:bottom w:val="single" w:sz="6" w:space="0" w:color="000000"/>
              <w:right w:val="single" w:sz="4" w:space="0" w:color="000000"/>
            </w:tcBorders>
            <w:shd w:val="clear" w:color="auto" w:fill="auto"/>
            <w:vAlign w:val="bottom"/>
          </w:tcPr>
          <w:p w14:paraId="586AA94E" w14:textId="77777777" w:rsidR="00137364" w:rsidRDefault="00137364">
            <w:pPr>
              <w:snapToGrid w:val="0"/>
              <w:spacing w:after="0" w:line="240" w:lineRule="auto"/>
              <w:rPr>
                <w:color w:val="000000"/>
                <w:lang w:val="en-US"/>
              </w:rPr>
            </w:pPr>
          </w:p>
        </w:tc>
      </w:tr>
      <w:tr w:rsidR="00B92817" w14:paraId="335E3054" w14:textId="77777777" w:rsidTr="000C6C5D">
        <w:trPr>
          <w:trHeight w:val="300"/>
        </w:trPr>
        <w:tc>
          <w:tcPr>
            <w:tcW w:w="1069" w:type="dxa"/>
            <w:tcBorders>
              <w:top w:val="single" w:sz="6" w:space="0" w:color="000000"/>
              <w:left w:val="single" w:sz="4" w:space="0" w:color="000000"/>
              <w:bottom w:val="single" w:sz="6" w:space="0" w:color="000000"/>
            </w:tcBorders>
            <w:shd w:val="clear" w:color="auto" w:fill="auto"/>
            <w:vAlign w:val="bottom"/>
          </w:tcPr>
          <w:p w14:paraId="5CB4D836" w14:textId="77777777" w:rsidR="00B92817" w:rsidRDefault="00B92817" w:rsidP="007462D8">
            <w:pPr>
              <w:spacing w:after="0" w:line="240" w:lineRule="auto"/>
              <w:rPr>
                <w:color w:val="000000"/>
                <w:lang w:val="en-US"/>
              </w:rPr>
            </w:pPr>
            <w:r>
              <w:rPr>
                <w:color w:val="000000"/>
                <w:lang w:val="en-US"/>
              </w:rPr>
              <w:t>90/91</w:t>
            </w:r>
          </w:p>
        </w:tc>
        <w:tc>
          <w:tcPr>
            <w:tcW w:w="1200" w:type="dxa"/>
            <w:tcBorders>
              <w:top w:val="single" w:sz="6" w:space="0" w:color="000000"/>
              <w:left w:val="single" w:sz="6" w:space="0" w:color="000000"/>
              <w:bottom w:val="single" w:sz="6" w:space="0" w:color="000000"/>
            </w:tcBorders>
            <w:shd w:val="clear" w:color="auto" w:fill="auto"/>
            <w:vAlign w:val="bottom"/>
          </w:tcPr>
          <w:p w14:paraId="20D77A05" w14:textId="77777777" w:rsidR="00B92817" w:rsidRDefault="00CC1512" w:rsidP="007462D8">
            <w:pPr>
              <w:spacing w:after="0" w:line="240" w:lineRule="auto"/>
              <w:rPr>
                <w:color w:val="000000"/>
                <w:lang w:val="en-US"/>
              </w:rPr>
            </w:pPr>
            <w:r>
              <w:rPr>
                <w:color w:val="000000"/>
                <w:lang w:val="en-US"/>
              </w:rPr>
              <w:t>3</w:t>
            </w:r>
          </w:p>
        </w:tc>
        <w:tc>
          <w:tcPr>
            <w:tcW w:w="1984" w:type="dxa"/>
            <w:tcBorders>
              <w:top w:val="single" w:sz="6" w:space="0" w:color="000000"/>
              <w:left w:val="single" w:sz="6" w:space="0" w:color="000000"/>
              <w:bottom w:val="single" w:sz="6" w:space="0" w:color="000000"/>
            </w:tcBorders>
            <w:shd w:val="clear" w:color="auto" w:fill="auto"/>
            <w:vAlign w:val="bottom"/>
          </w:tcPr>
          <w:p w14:paraId="0570C299" w14:textId="77777777" w:rsidR="00B92817" w:rsidRDefault="00B92817" w:rsidP="007462D8">
            <w:pPr>
              <w:snapToGrid w:val="0"/>
              <w:spacing w:after="0" w:line="240" w:lineRule="auto"/>
              <w:rPr>
                <w:color w:val="000000"/>
                <w:lang w:val="en-US"/>
              </w:rPr>
            </w:pPr>
          </w:p>
        </w:tc>
        <w:tc>
          <w:tcPr>
            <w:tcW w:w="992" w:type="dxa"/>
            <w:tcBorders>
              <w:top w:val="single" w:sz="6" w:space="0" w:color="000000"/>
              <w:left w:val="single" w:sz="6" w:space="0" w:color="000000"/>
              <w:bottom w:val="single" w:sz="6" w:space="0" w:color="000000"/>
            </w:tcBorders>
            <w:shd w:val="clear" w:color="auto" w:fill="auto"/>
            <w:vAlign w:val="bottom"/>
          </w:tcPr>
          <w:p w14:paraId="51E62493" w14:textId="77777777" w:rsidR="00B92817" w:rsidRDefault="009E5AAF" w:rsidP="002C18DF">
            <w:pPr>
              <w:spacing w:after="0" w:line="240" w:lineRule="auto"/>
              <w:jc w:val="right"/>
              <w:rPr>
                <w:color w:val="000000"/>
                <w:lang w:val="en-US"/>
              </w:rPr>
            </w:pPr>
            <w:r>
              <w:rPr>
                <w:color w:val="000000"/>
                <w:lang w:val="en-US"/>
              </w:rPr>
              <w:t>0</w:t>
            </w:r>
          </w:p>
        </w:tc>
        <w:tc>
          <w:tcPr>
            <w:tcW w:w="851" w:type="dxa"/>
            <w:tcBorders>
              <w:top w:val="single" w:sz="6" w:space="0" w:color="000000"/>
              <w:left w:val="single" w:sz="6" w:space="0" w:color="000000"/>
              <w:bottom w:val="single" w:sz="6" w:space="0" w:color="000000"/>
            </w:tcBorders>
            <w:shd w:val="clear" w:color="auto" w:fill="auto"/>
            <w:vAlign w:val="bottom"/>
          </w:tcPr>
          <w:p w14:paraId="0515EFB3" w14:textId="77777777" w:rsidR="00B92817" w:rsidRDefault="009E5AAF" w:rsidP="002C18DF">
            <w:pPr>
              <w:spacing w:after="0" w:line="240" w:lineRule="auto"/>
              <w:jc w:val="right"/>
              <w:rPr>
                <w:color w:val="000000"/>
                <w:lang w:val="en-US"/>
              </w:rPr>
            </w:pPr>
            <w:r>
              <w:rPr>
                <w:color w:val="000000"/>
                <w:lang w:val="en-US"/>
              </w:rPr>
              <w:t>1</w:t>
            </w:r>
          </w:p>
        </w:tc>
        <w:tc>
          <w:tcPr>
            <w:tcW w:w="850" w:type="dxa"/>
            <w:tcBorders>
              <w:top w:val="single" w:sz="6" w:space="0" w:color="000000"/>
              <w:left w:val="single" w:sz="6" w:space="0" w:color="000000"/>
              <w:bottom w:val="single" w:sz="6" w:space="0" w:color="000000"/>
            </w:tcBorders>
            <w:shd w:val="clear" w:color="auto" w:fill="auto"/>
            <w:vAlign w:val="bottom"/>
          </w:tcPr>
          <w:p w14:paraId="359966C4" w14:textId="77777777" w:rsidR="00B92817" w:rsidRDefault="009E5AAF" w:rsidP="002C18DF">
            <w:pPr>
              <w:spacing w:after="0" w:line="240" w:lineRule="auto"/>
              <w:jc w:val="right"/>
              <w:rPr>
                <w:color w:val="000000"/>
                <w:lang w:val="en-US"/>
              </w:rPr>
            </w:pPr>
            <w:r>
              <w:rPr>
                <w:color w:val="000000"/>
                <w:lang w:val="en-US"/>
              </w:rPr>
              <w:t>1</w:t>
            </w:r>
          </w:p>
        </w:tc>
        <w:tc>
          <w:tcPr>
            <w:tcW w:w="993" w:type="dxa"/>
            <w:tcBorders>
              <w:top w:val="single" w:sz="6" w:space="0" w:color="000000"/>
              <w:left w:val="single" w:sz="6" w:space="0" w:color="000000"/>
              <w:bottom w:val="single" w:sz="6" w:space="0" w:color="000000"/>
            </w:tcBorders>
            <w:shd w:val="clear" w:color="auto" w:fill="auto"/>
            <w:vAlign w:val="bottom"/>
          </w:tcPr>
          <w:p w14:paraId="590844A5" w14:textId="77777777" w:rsidR="00B92817" w:rsidRDefault="009E5AAF" w:rsidP="002C18DF">
            <w:pPr>
              <w:spacing w:after="0" w:line="240" w:lineRule="auto"/>
              <w:jc w:val="right"/>
              <w:rPr>
                <w:color w:val="000000"/>
                <w:lang w:val="en-US"/>
              </w:rPr>
            </w:pPr>
            <w:r>
              <w:rPr>
                <w:color w:val="000000"/>
                <w:lang w:val="en-US"/>
              </w:rPr>
              <w:t>1</w:t>
            </w:r>
          </w:p>
        </w:tc>
        <w:tc>
          <w:tcPr>
            <w:tcW w:w="850" w:type="dxa"/>
            <w:tcBorders>
              <w:top w:val="single" w:sz="6" w:space="0" w:color="000000"/>
              <w:left w:val="single" w:sz="6" w:space="0" w:color="000000"/>
              <w:bottom w:val="single" w:sz="6" w:space="0" w:color="000000"/>
            </w:tcBorders>
            <w:shd w:val="clear" w:color="auto" w:fill="auto"/>
            <w:vAlign w:val="bottom"/>
          </w:tcPr>
          <w:p w14:paraId="2D3E46CF" w14:textId="77777777" w:rsidR="00B92817" w:rsidRDefault="009E5AAF" w:rsidP="002C18DF">
            <w:pPr>
              <w:spacing w:after="0" w:line="240" w:lineRule="auto"/>
              <w:jc w:val="right"/>
              <w:rPr>
                <w:color w:val="000000"/>
                <w:lang w:val="en-US"/>
              </w:rPr>
            </w:pPr>
            <w:r>
              <w:rPr>
                <w:color w:val="000000"/>
                <w:lang w:val="en-US"/>
              </w:rPr>
              <w:t>0</w:t>
            </w:r>
          </w:p>
        </w:tc>
        <w:tc>
          <w:tcPr>
            <w:tcW w:w="1144" w:type="dxa"/>
            <w:tcBorders>
              <w:top w:val="single" w:sz="6" w:space="0" w:color="000000"/>
              <w:left w:val="single" w:sz="6" w:space="0" w:color="000000"/>
              <w:bottom w:val="single" w:sz="6" w:space="0" w:color="000000"/>
              <w:right w:val="single" w:sz="4" w:space="0" w:color="000000"/>
            </w:tcBorders>
            <w:shd w:val="clear" w:color="auto" w:fill="auto"/>
            <w:vAlign w:val="bottom"/>
          </w:tcPr>
          <w:p w14:paraId="492F3702" w14:textId="77777777" w:rsidR="00B92817" w:rsidRDefault="00B92817" w:rsidP="007462D8">
            <w:pPr>
              <w:snapToGrid w:val="0"/>
              <w:spacing w:after="0" w:line="240" w:lineRule="auto"/>
              <w:rPr>
                <w:color w:val="000000"/>
                <w:lang w:val="en-US"/>
              </w:rPr>
            </w:pPr>
          </w:p>
        </w:tc>
      </w:tr>
      <w:tr w:rsidR="00EF684D" w14:paraId="07B73086" w14:textId="77777777" w:rsidTr="000C6C5D">
        <w:trPr>
          <w:trHeight w:val="300"/>
        </w:trPr>
        <w:tc>
          <w:tcPr>
            <w:tcW w:w="1069" w:type="dxa"/>
            <w:tcBorders>
              <w:top w:val="single" w:sz="6" w:space="0" w:color="000000"/>
              <w:left w:val="single" w:sz="4" w:space="0" w:color="000000"/>
              <w:bottom w:val="single" w:sz="6" w:space="0" w:color="000000"/>
            </w:tcBorders>
            <w:shd w:val="clear" w:color="auto" w:fill="auto"/>
            <w:vAlign w:val="bottom"/>
          </w:tcPr>
          <w:p w14:paraId="3F70CFDF" w14:textId="160908C9" w:rsidR="00EF684D" w:rsidRDefault="00EF684D" w:rsidP="007462D8">
            <w:pPr>
              <w:spacing w:after="0" w:line="240" w:lineRule="auto"/>
              <w:rPr>
                <w:color w:val="000000"/>
                <w:lang w:val="en-US"/>
              </w:rPr>
            </w:pPr>
            <w:r>
              <w:rPr>
                <w:color w:val="000000"/>
                <w:lang w:val="en-US"/>
              </w:rPr>
              <w:t>2001/02</w:t>
            </w:r>
          </w:p>
        </w:tc>
        <w:tc>
          <w:tcPr>
            <w:tcW w:w="1200" w:type="dxa"/>
            <w:tcBorders>
              <w:top w:val="single" w:sz="6" w:space="0" w:color="000000"/>
              <w:left w:val="single" w:sz="6" w:space="0" w:color="000000"/>
              <w:bottom w:val="single" w:sz="6" w:space="0" w:color="000000"/>
            </w:tcBorders>
            <w:shd w:val="clear" w:color="auto" w:fill="auto"/>
            <w:vAlign w:val="bottom"/>
          </w:tcPr>
          <w:p w14:paraId="65E3712E" w14:textId="73A2CBF3" w:rsidR="00EF684D" w:rsidRDefault="00EF684D" w:rsidP="007462D8">
            <w:pPr>
              <w:spacing w:after="0" w:line="240" w:lineRule="auto"/>
              <w:rPr>
                <w:color w:val="000000"/>
                <w:lang w:val="en-US"/>
              </w:rPr>
            </w:pPr>
            <w:r>
              <w:rPr>
                <w:color w:val="000000"/>
                <w:lang w:val="en-US"/>
              </w:rPr>
              <w:t>10</w:t>
            </w:r>
          </w:p>
        </w:tc>
        <w:tc>
          <w:tcPr>
            <w:tcW w:w="1984" w:type="dxa"/>
            <w:tcBorders>
              <w:top w:val="single" w:sz="6" w:space="0" w:color="000000"/>
              <w:left w:val="single" w:sz="6" w:space="0" w:color="000000"/>
              <w:bottom w:val="single" w:sz="6" w:space="0" w:color="000000"/>
            </w:tcBorders>
            <w:shd w:val="clear" w:color="auto" w:fill="auto"/>
            <w:vAlign w:val="bottom"/>
          </w:tcPr>
          <w:p w14:paraId="6179E360" w14:textId="77777777" w:rsidR="00EF684D" w:rsidRDefault="00EF684D" w:rsidP="007462D8">
            <w:pPr>
              <w:snapToGrid w:val="0"/>
              <w:spacing w:after="0" w:line="240" w:lineRule="auto"/>
              <w:rPr>
                <w:color w:val="000000"/>
                <w:lang w:val="en-US"/>
              </w:rPr>
            </w:pPr>
          </w:p>
        </w:tc>
        <w:tc>
          <w:tcPr>
            <w:tcW w:w="992" w:type="dxa"/>
            <w:tcBorders>
              <w:top w:val="single" w:sz="6" w:space="0" w:color="000000"/>
              <w:left w:val="single" w:sz="6" w:space="0" w:color="000000"/>
              <w:bottom w:val="single" w:sz="6" w:space="0" w:color="000000"/>
            </w:tcBorders>
            <w:shd w:val="clear" w:color="auto" w:fill="auto"/>
            <w:vAlign w:val="bottom"/>
          </w:tcPr>
          <w:p w14:paraId="1C14C8C5" w14:textId="47772DAD" w:rsidR="00EF684D" w:rsidRDefault="00EF684D" w:rsidP="002C18DF">
            <w:pPr>
              <w:spacing w:after="0" w:line="240" w:lineRule="auto"/>
              <w:jc w:val="right"/>
              <w:rPr>
                <w:color w:val="000000"/>
                <w:lang w:val="en-US"/>
              </w:rPr>
            </w:pPr>
            <w:r>
              <w:rPr>
                <w:color w:val="000000"/>
                <w:lang w:val="en-US"/>
              </w:rPr>
              <w:t>8</w:t>
            </w:r>
          </w:p>
        </w:tc>
        <w:tc>
          <w:tcPr>
            <w:tcW w:w="851" w:type="dxa"/>
            <w:tcBorders>
              <w:top w:val="single" w:sz="6" w:space="0" w:color="000000"/>
              <w:left w:val="single" w:sz="6" w:space="0" w:color="000000"/>
              <w:bottom w:val="single" w:sz="6" w:space="0" w:color="000000"/>
            </w:tcBorders>
            <w:shd w:val="clear" w:color="auto" w:fill="auto"/>
            <w:vAlign w:val="bottom"/>
          </w:tcPr>
          <w:p w14:paraId="646700CF" w14:textId="42201E30" w:rsidR="00EF684D" w:rsidRDefault="00EF684D" w:rsidP="002C18DF">
            <w:pPr>
              <w:spacing w:after="0" w:line="240" w:lineRule="auto"/>
              <w:jc w:val="right"/>
              <w:rPr>
                <w:color w:val="000000"/>
                <w:lang w:val="en-US"/>
              </w:rPr>
            </w:pPr>
            <w:r>
              <w:rPr>
                <w:color w:val="000000"/>
                <w:lang w:val="en-US"/>
              </w:rPr>
              <w:t>0</w:t>
            </w:r>
          </w:p>
        </w:tc>
        <w:tc>
          <w:tcPr>
            <w:tcW w:w="850" w:type="dxa"/>
            <w:tcBorders>
              <w:top w:val="single" w:sz="6" w:space="0" w:color="000000"/>
              <w:left w:val="single" w:sz="6" w:space="0" w:color="000000"/>
              <w:bottom w:val="single" w:sz="6" w:space="0" w:color="000000"/>
            </w:tcBorders>
            <w:shd w:val="clear" w:color="auto" w:fill="auto"/>
            <w:vAlign w:val="bottom"/>
          </w:tcPr>
          <w:p w14:paraId="5E96FDD5" w14:textId="6532F732" w:rsidR="00EF684D" w:rsidRDefault="00EF684D" w:rsidP="002C18DF">
            <w:pPr>
              <w:spacing w:after="0" w:line="240" w:lineRule="auto"/>
              <w:jc w:val="right"/>
              <w:rPr>
                <w:color w:val="000000"/>
                <w:lang w:val="en-US"/>
              </w:rPr>
            </w:pPr>
            <w:r>
              <w:rPr>
                <w:color w:val="000000"/>
                <w:lang w:val="en-US"/>
              </w:rPr>
              <w:t>1</w:t>
            </w:r>
          </w:p>
        </w:tc>
        <w:tc>
          <w:tcPr>
            <w:tcW w:w="993" w:type="dxa"/>
            <w:tcBorders>
              <w:top w:val="single" w:sz="6" w:space="0" w:color="000000"/>
              <w:left w:val="single" w:sz="6" w:space="0" w:color="000000"/>
              <w:bottom w:val="single" w:sz="6" w:space="0" w:color="000000"/>
            </w:tcBorders>
            <w:shd w:val="clear" w:color="auto" w:fill="auto"/>
            <w:vAlign w:val="bottom"/>
          </w:tcPr>
          <w:p w14:paraId="6194BF26" w14:textId="6F42183F" w:rsidR="00EF684D" w:rsidRDefault="00EF684D" w:rsidP="002C18DF">
            <w:pPr>
              <w:spacing w:after="0" w:line="240" w:lineRule="auto"/>
              <w:jc w:val="right"/>
              <w:rPr>
                <w:color w:val="000000"/>
                <w:lang w:val="en-US"/>
              </w:rPr>
            </w:pPr>
            <w:r>
              <w:rPr>
                <w:color w:val="000000"/>
                <w:lang w:val="en-US"/>
              </w:rPr>
              <w:t>1</w:t>
            </w:r>
          </w:p>
        </w:tc>
        <w:tc>
          <w:tcPr>
            <w:tcW w:w="850" w:type="dxa"/>
            <w:tcBorders>
              <w:top w:val="single" w:sz="6" w:space="0" w:color="000000"/>
              <w:left w:val="single" w:sz="6" w:space="0" w:color="000000"/>
              <w:bottom w:val="single" w:sz="6" w:space="0" w:color="000000"/>
            </w:tcBorders>
            <w:shd w:val="clear" w:color="auto" w:fill="auto"/>
            <w:vAlign w:val="bottom"/>
          </w:tcPr>
          <w:p w14:paraId="22760ECA" w14:textId="55A915FB" w:rsidR="00EF684D" w:rsidRDefault="00EF684D" w:rsidP="002C18DF">
            <w:pPr>
              <w:spacing w:after="0" w:line="240" w:lineRule="auto"/>
              <w:jc w:val="right"/>
              <w:rPr>
                <w:color w:val="000000"/>
                <w:lang w:val="en-US"/>
              </w:rPr>
            </w:pPr>
            <w:r>
              <w:rPr>
                <w:color w:val="000000"/>
                <w:lang w:val="en-US"/>
              </w:rPr>
              <w:t>0</w:t>
            </w:r>
          </w:p>
        </w:tc>
        <w:tc>
          <w:tcPr>
            <w:tcW w:w="1144" w:type="dxa"/>
            <w:tcBorders>
              <w:top w:val="single" w:sz="6" w:space="0" w:color="000000"/>
              <w:left w:val="single" w:sz="6" w:space="0" w:color="000000"/>
              <w:bottom w:val="single" w:sz="6" w:space="0" w:color="000000"/>
              <w:right w:val="single" w:sz="4" w:space="0" w:color="000000"/>
            </w:tcBorders>
            <w:shd w:val="clear" w:color="auto" w:fill="auto"/>
            <w:vAlign w:val="bottom"/>
          </w:tcPr>
          <w:p w14:paraId="26222A22" w14:textId="77777777" w:rsidR="00EF684D" w:rsidRDefault="00EF684D" w:rsidP="007462D8">
            <w:pPr>
              <w:snapToGrid w:val="0"/>
              <w:spacing w:after="0" w:line="240" w:lineRule="auto"/>
              <w:rPr>
                <w:color w:val="000000"/>
                <w:lang w:val="en-US"/>
              </w:rPr>
            </w:pPr>
          </w:p>
        </w:tc>
      </w:tr>
      <w:tr w:rsidR="00EF684D" w14:paraId="6BAAECC9" w14:textId="77777777" w:rsidTr="000C6C5D">
        <w:trPr>
          <w:trHeight w:val="300"/>
        </w:trPr>
        <w:tc>
          <w:tcPr>
            <w:tcW w:w="1069" w:type="dxa"/>
            <w:tcBorders>
              <w:top w:val="single" w:sz="6" w:space="0" w:color="000000"/>
              <w:left w:val="single" w:sz="4" w:space="0" w:color="000000"/>
              <w:bottom w:val="single" w:sz="6" w:space="0" w:color="000000"/>
            </w:tcBorders>
            <w:shd w:val="clear" w:color="auto" w:fill="auto"/>
            <w:vAlign w:val="bottom"/>
          </w:tcPr>
          <w:p w14:paraId="19CD33D0" w14:textId="52BD2A01" w:rsidR="00EF684D" w:rsidRDefault="00EF684D" w:rsidP="000C6C5D">
            <w:pPr>
              <w:spacing w:after="0" w:line="240" w:lineRule="auto"/>
              <w:rPr>
                <w:color w:val="000000"/>
                <w:lang w:val="en-US"/>
              </w:rPr>
            </w:pPr>
            <w:r>
              <w:rPr>
                <w:color w:val="000000"/>
                <w:lang w:val="en-US"/>
              </w:rPr>
              <w:t>2009/10</w:t>
            </w:r>
          </w:p>
        </w:tc>
        <w:tc>
          <w:tcPr>
            <w:tcW w:w="1200" w:type="dxa"/>
            <w:tcBorders>
              <w:top w:val="single" w:sz="6" w:space="0" w:color="000000"/>
              <w:left w:val="single" w:sz="6" w:space="0" w:color="000000"/>
              <w:bottom w:val="single" w:sz="6" w:space="0" w:color="000000"/>
            </w:tcBorders>
            <w:shd w:val="clear" w:color="auto" w:fill="auto"/>
            <w:vAlign w:val="bottom"/>
          </w:tcPr>
          <w:p w14:paraId="70496FB4" w14:textId="3E0150D0" w:rsidR="00EF684D" w:rsidRDefault="00EF684D" w:rsidP="000C6C5D">
            <w:pPr>
              <w:spacing w:after="0" w:line="240" w:lineRule="auto"/>
              <w:rPr>
                <w:color w:val="000000"/>
                <w:lang w:val="en-US"/>
              </w:rPr>
            </w:pPr>
            <w:r>
              <w:rPr>
                <w:color w:val="000000"/>
                <w:lang w:val="en-US"/>
              </w:rPr>
              <w:t>10</w:t>
            </w:r>
          </w:p>
        </w:tc>
        <w:tc>
          <w:tcPr>
            <w:tcW w:w="1984" w:type="dxa"/>
            <w:tcBorders>
              <w:top w:val="single" w:sz="6" w:space="0" w:color="000000"/>
              <w:left w:val="single" w:sz="6" w:space="0" w:color="000000"/>
              <w:bottom w:val="single" w:sz="6" w:space="0" w:color="000000"/>
            </w:tcBorders>
            <w:shd w:val="clear" w:color="auto" w:fill="auto"/>
            <w:vAlign w:val="bottom"/>
          </w:tcPr>
          <w:p w14:paraId="4C4F2E9F" w14:textId="77777777" w:rsidR="00EF684D" w:rsidRDefault="00EF684D" w:rsidP="000C6C5D">
            <w:pPr>
              <w:snapToGrid w:val="0"/>
              <w:spacing w:after="0" w:line="240" w:lineRule="auto"/>
              <w:rPr>
                <w:color w:val="000000"/>
                <w:lang w:val="en-US"/>
              </w:rPr>
            </w:pPr>
          </w:p>
        </w:tc>
        <w:tc>
          <w:tcPr>
            <w:tcW w:w="992" w:type="dxa"/>
            <w:tcBorders>
              <w:top w:val="single" w:sz="6" w:space="0" w:color="000000"/>
              <w:left w:val="single" w:sz="6" w:space="0" w:color="000000"/>
              <w:bottom w:val="single" w:sz="6" w:space="0" w:color="000000"/>
            </w:tcBorders>
            <w:shd w:val="clear" w:color="auto" w:fill="auto"/>
            <w:vAlign w:val="bottom"/>
          </w:tcPr>
          <w:p w14:paraId="14BC68B3" w14:textId="53861D58" w:rsidR="00EF684D" w:rsidRDefault="00EF684D" w:rsidP="002C18DF">
            <w:pPr>
              <w:spacing w:after="0" w:line="240" w:lineRule="auto"/>
              <w:jc w:val="right"/>
              <w:rPr>
                <w:color w:val="000000"/>
                <w:lang w:val="en-US"/>
              </w:rPr>
            </w:pPr>
            <w:r>
              <w:rPr>
                <w:color w:val="000000"/>
                <w:lang w:val="en-US"/>
              </w:rPr>
              <w:t>3</w:t>
            </w:r>
          </w:p>
        </w:tc>
        <w:tc>
          <w:tcPr>
            <w:tcW w:w="851" w:type="dxa"/>
            <w:tcBorders>
              <w:top w:val="single" w:sz="6" w:space="0" w:color="000000"/>
              <w:left w:val="single" w:sz="6" w:space="0" w:color="000000"/>
              <w:bottom w:val="single" w:sz="6" w:space="0" w:color="000000"/>
            </w:tcBorders>
            <w:shd w:val="clear" w:color="auto" w:fill="auto"/>
            <w:vAlign w:val="bottom"/>
          </w:tcPr>
          <w:p w14:paraId="1B0953D3" w14:textId="5B209461" w:rsidR="00EF684D" w:rsidRDefault="00EF684D" w:rsidP="002C18DF">
            <w:pPr>
              <w:spacing w:after="0" w:line="240" w:lineRule="auto"/>
              <w:jc w:val="right"/>
              <w:rPr>
                <w:color w:val="000000"/>
                <w:lang w:val="en-US"/>
              </w:rPr>
            </w:pPr>
            <w:r>
              <w:rPr>
                <w:color w:val="000000"/>
                <w:lang w:val="en-US"/>
              </w:rPr>
              <w:t>2</w:t>
            </w:r>
          </w:p>
        </w:tc>
        <w:tc>
          <w:tcPr>
            <w:tcW w:w="850" w:type="dxa"/>
            <w:tcBorders>
              <w:top w:val="single" w:sz="6" w:space="0" w:color="000000"/>
              <w:left w:val="single" w:sz="6" w:space="0" w:color="000000"/>
              <w:bottom w:val="single" w:sz="6" w:space="0" w:color="000000"/>
            </w:tcBorders>
            <w:shd w:val="clear" w:color="auto" w:fill="auto"/>
            <w:vAlign w:val="bottom"/>
          </w:tcPr>
          <w:p w14:paraId="4FE1935A" w14:textId="0BE93E29" w:rsidR="00EF684D" w:rsidRDefault="00EF684D" w:rsidP="002C18DF">
            <w:pPr>
              <w:spacing w:after="0" w:line="240" w:lineRule="auto"/>
              <w:jc w:val="right"/>
              <w:rPr>
                <w:color w:val="000000"/>
                <w:lang w:val="en-US"/>
              </w:rPr>
            </w:pPr>
            <w:r>
              <w:rPr>
                <w:color w:val="000000"/>
                <w:lang w:val="en-US"/>
              </w:rPr>
              <w:t>1</w:t>
            </w:r>
          </w:p>
        </w:tc>
        <w:tc>
          <w:tcPr>
            <w:tcW w:w="993" w:type="dxa"/>
            <w:tcBorders>
              <w:top w:val="single" w:sz="6" w:space="0" w:color="000000"/>
              <w:left w:val="single" w:sz="6" w:space="0" w:color="000000"/>
              <w:bottom w:val="single" w:sz="6" w:space="0" w:color="000000"/>
            </w:tcBorders>
            <w:shd w:val="clear" w:color="auto" w:fill="auto"/>
            <w:vAlign w:val="bottom"/>
          </w:tcPr>
          <w:p w14:paraId="1BDECB66" w14:textId="0E02541C" w:rsidR="00EF684D" w:rsidRDefault="00EF684D" w:rsidP="002C18DF">
            <w:pPr>
              <w:spacing w:after="0" w:line="240" w:lineRule="auto"/>
              <w:jc w:val="right"/>
              <w:rPr>
                <w:color w:val="000000"/>
                <w:lang w:val="en-US"/>
              </w:rPr>
            </w:pPr>
            <w:r>
              <w:rPr>
                <w:color w:val="000000"/>
                <w:lang w:val="en-US"/>
              </w:rPr>
              <w:t>1</w:t>
            </w:r>
          </w:p>
        </w:tc>
        <w:tc>
          <w:tcPr>
            <w:tcW w:w="850" w:type="dxa"/>
            <w:tcBorders>
              <w:top w:val="single" w:sz="6" w:space="0" w:color="000000"/>
              <w:left w:val="single" w:sz="6" w:space="0" w:color="000000"/>
              <w:bottom w:val="single" w:sz="6" w:space="0" w:color="000000"/>
            </w:tcBorders>
            <w:shd w:val="clear" w:color="auto" w:fill="auto"/>
            <w:vAlign w:val="bottom"/>
          </w:tcPr>
          <w:p w14:paraId="4D2DCA84" w14:textId="0A6165E8" w:rsidR="00EF684D" w:rsidRDefault="00EF684D" w:rsidP="002C18DF">
            <w:pPr>
              <w:spacing w:after="0" w:line="240" w:lineRule="auto"/>
              <w:jc w:val="right"/>
              <w:rPr>
                <w:color w:val="000000"/>
                <w:lang w:val="en-US"/>
              </w:rPr>
            </w:pPr>
            <w:r>
              <w:rPr>
                <w:color w:val="000000"/>
                <w:lang w:val="en-US"/>
              </w:rPr>
              <w:t>3</w:t>
            </w:r>
          </w:p>
        </w:tc>
        <w:tc>
          <w:tcPr>
            <w:tcW w:w="1144" w:type="dxa"/>
            <w:tcBorders>
              <w:top w:val="single" w:sz="6" w:space="0" w:color="000000"/>
              <w:left w:val="single" w:sz="6" w:space="0" w:color="000000"/>
              <w:bottom w:val="single" w:sz="6" w:space="0" w:color="000000"/>
              <w:right w:val="single" w:sz="4" w:space="0" w:color="000000"/>
            </w:tcBorders>
            <w:shd w:val="clear" w:color="auto" w:fill="auto"/>
            <w:vAlign w:val="bottom"/>
          </w:tcPr>
          <w:p w14:paraId="70BF0836" w14:textId="77777777" w:rsidR="00EF684D" w:rsidRDefault="00EF684D" w:rsidP="000C6C5D">
            <w:pPr>
              <w:snapToGrid w:val="0"/>
              <w:spacing w:after="0" w:line="240" w:lineRule="auto"/>
              <w:rPr>
                <w:color w:val="000000"/>
                <w:lang w:val="en-US"/>
              </w:rPr>
            </w:pPr>
          </w:p>
        </w:tc>
      </w:tr>
      <w:tr w:rsidR="00EF684D" w14:paraId="3090F0AF" w14:textId="77777777" w:rsidTr="000C6C5D">
        <w:trPr>
          <w:trHeight w:val="300"/>
        </w:trPr>
        <w:tc>
          <w:tcPr>
            <w:tcW w:w="1069" w:type="dxa"/>
            <w:tcBorders>
              <w:top w:val="single" w:sz="6" w:space="0" w:color="000000"/>
              <w:left w:val="single" w:sz="4" w:space="0" w:color="000000"/>
              <w:bottom w:val="single" w:sz="6" w:space="0" w:color="000000"/>
            </w:tcBorders>
            <w:shd w:val="clear" w:color="auto" w:fill="auto"/>
            <w:vAlign w:val="bottom"/>
          </w:tcPr>
          <w:p w14:paraId="174ACDE3" w14:textId="1BC94E9C" w:rsidR="00EF684D" w:rsidRDefault="00EF684D">
            <w:pPr>
              <w:spacing w:after="0" w:line="240" w:lineRule="auto"/>
              <w:rPr>
                <w:color w:val="000000"/>
                <w:lang w:val="en-US"/>
              </w:rPr>
            </w:pPr>
            <w:r>
              <w:rPr>
                <w:color w:val="000000"/>
                <w:lang w:val="en-US"/>
              </w:rPr>
              <w:t>2012/13</w:t>
            </w:r>
          </w:p>
        </w:tc>
        <w:tc>
          <w:tcPr>
            <w:tcW w:w="1200" w:type="dxa"/>
            <w:tcBorders>
              <w:top w:val="single" w:sz="6" w:space="0" w:color="000000"/>
              <w:left w:val="single" w:sz="6" w:space="0" w:color="000000"/>
              <w:bottom w:val="single" w:sz="6" w:space="0" w:color="000000"/>
            </w:tcBorders>
            <w:shd w:val="clear" w:color="auto" w:fill="auto"/>
            <w:vAlign w:val="bottom"/>
          </w:tcPr>
          <w:p w14:paraId="2BC9427A" w14:textId="14D97551" w:rsidR="00EF684D" w:rsidRDefault="00EF684D">
            <w:pPr>
              <w:spacing w:after="0" w:line="240" w:lineRule="auto"/>
              <w:rPr>
                <w:color w:val="000000"/>
                <w:lang w:val="en-US"/>
              </w:rPr>
            </w:pPr>
            <w:r>
              <w:rPr>
                <w:color w:val="000000"/>
                <w:lang w:val="en-US"/>
              </w:rPr>
              <w:t>8</w:t>
            </w:r>
          </w:p>
        </w:tc>
        <w:tc>
          <w:tcPr>
            <w:tcW w:w="1984" w:type="dxa"/>
            <w:tcBorders>
              <w:top w:val="single" w:sz="6" w:space="0" w:color="000000"/>
              <w:left w:val="single" w:sz="6" w:space="0" w:color="000000"/>
              <w:bottom w:val="single" w:sz="6" w:space="0" w:color="000000"/>
            </w:tcBorders>
            <w:shd w:val="clear" w:color="auto" w:fill="auto"/>
            <w:vAlign w:val="bottom"/>
          </w:tcPr>
          <w:p w14:paraId="630800F5" w14:textId="77777777" w:rsidR="00EF684D" w:rsidRDefault="00EF684D">
            <w:pPr>
              <w:snapToGrid w:val="0"/>
              <w:spacing w:after="0" w:line="240" w:lineRule="auto"/>
              <w:rPr>
                <w:color w:val="000000"/>
                <w:lang w:val="en-US"/>
              </w:rPr>
            </w:pPr>
          </w:p>
        </w:tc>
        <w:tc>
          <w:tcPr>
            <w:tcW w:w="992" w:type="dxa"/>
            <w:tcBorders>
              <w:top w:val="single" w:sz="6" w:space="0" w:color="000000"/>
              <w:left w:val="single" w:sz="6" w:space="0" w:color="000000"/>
              <w:bottom w:val="single" w:sz="6" w:space="0" w:color="000000"/>
            </w:tcBorders>
            <w:shd w:val="clear" w:color="auto" w:fill="auto"/>
            <w:vAlign w:val="bottom"/>
          </w:tcPr>
          <w:p w14:paraId="4519B183" w14:textId="75766935" w:rsidR="00EF684D" w:rsidRDefault="00EF684D" w:rsidP="002C18DF">
            <w:pPr>
              <w:spacing w:after="0" w:line="240" w:lineRule="auto"/>
              <w:jc w:val="right"/>
              <w:rPr>
                <w:color w:val="000000"/>
                <w:lang w:val="en-US"/>
              </w:rPr>
            </w:pPr>
            <w:r>
              <w:rPr>
                <w:color w:val="000000"/>
                <w:lang w:val="en-US"/>
              </w:rPr>
              <w:t>2</w:t>
            </w:r>
          </w:p>
        </w:tc>
        <w:tc>
          <w:tcPr>
            <w:tcW w:w="851" w:type="dxa"/>
            <w:tcBorders>
              <w:top w:val="single" w:sz="6" w:space="0" w:color="000000"/>
              <w:left w:val="single" w:sz="6" w:space="0" w:color="000000"/>
              <w:bottom w:val="single" w:sz="6" w:space="0" w:color="000000"/>
            </w:tcBorders>
            <w:shd w:val="clear" w:color="auto" w:fill="auto"/>
            <w:vAlign w:val="bottom"/>
          </w:tcPr>
          <w:p w14:paraId="05BBC7C2" w14:textId="5AAF0CB7" w:rsidR="00EF684D" w:rsidRDefault="00EF684D" w:rsidP="00482C56">
            <w:pPr>
              <w:spacing w:after="0" w:line="240" w:lineRule="auto"/>
              <w:jc w:val="right"/>
              <w:rPr>
                <w:color w:val="000000"/>
                <w:lang w:val="en-US"/>
              </w:rPr>
            </w:pPr>
            <w:r>
              <w:rPr>
                <w:color w:val="000000"/>
                <w:lang w:val="en-US"/>
              </w:rPr>
              <w:t>3</w:t>
            </w:r>
          </w:p>
        </w:tc>
        <w:tc>
          <w:tcPr>
            <w:tcW w:w="850" w:type="dxa"/>
            <w:tcBorders>
              <w:top w:val="single" w:sz="6" w:space="0" w:color="000000"/>
              <w:left w:val="single" w:sz="6" w:space="0" w:color="000000"/>
              <w:bottom w:val="single" w:sz="6" w:space="0" w:color="000000"/>
            </w:tcBorders>
            <w:shd w:val="clear" w:color="auto" w:fill="auto"/>
            <w:vAlign w:val="bottom"/>
          </w:tcPr>
          <w:p w14:paraId="0FEB16CD" w14:textId="0887A911" w:rsidR="00EF684D" w:rsidRDefault="00EF684D" w:rsidP="00482C56">
            <w:pPr>
              <w:spacing w:after="0" w:line="240" w:lineRule="auto"/>
              <w:jc w:val="right"/>
              <w:rPr>
                <w:color w:val="000000"/>
                <w:lang w:val="en-US"/>
              </w:rPr>
            </w:pPr>
            <w:r>
              <w:rPr>
                <w:color w:val="000000"/>
                <w:lang w:val="en-US"/>
              </w:rPr>
              <w:t>1</w:t>
            </w:r>
          </w:p>
        </w:tc>
        <w:tc>
          <w:tcPr>
            <w:tcW w:w="993" w:type="dxa"/>
            <w:tcBorders>
              <w:top w:val="single" w:sz="6" w:space="0" w:color="000000"/>
              <w:left w:val="single" w:sz="6" w:space="0" w:color="000000"/>
              <w:bottom w:val="single" w:sz="6" w:space="0" w:color="000000"/>
            </w:tcBorders>
            <w:shd w:val="clear" w:color="auto" w:fill="auto"/>
            <w:vAlign w:val="bottom"/>
          </w:tcPr>
          <w:p w14:paraId="48D6683A" w14:textId="576DA9D2" w:rsidR="00EF684D" w:rsidRDefault="00EF684D" w:rsidP="002C18DF">
            <w:pPr>
              <w:spacing w:after="0" w:line="240" w:lineRule="auto"/>
              <w:jc w:val="right"/>
              <w:rPr>
                <w:color w:val="000000"/>
                <w:lang w:val="en-US"/>
              </w:rPr>
            </w:pPr>
            <w:r>
              <w:rPr>
                <w:color w:val="000000"/>
                <w:lang w:val="en-US"/>
              </w:rPr>
              <w:t>2</w:t>
            </w:r>
          </w:p>
        </w:tc>
        <w:tc>
          <w:tcPr>
            <w:tcW w:w="850" w:type="dxa"/>
            <w:tcBorders>
              <w:top w:val="single" w:sz="6" w:space="0" w:color="000000"/>
              <w:left w:val="single" w:sz="6" w:space="0" w:color="000000"/>
              <w:bottom w:val="single" w:sz="6" w:space="0" w:color="000000"/>
            </w:tcBorders>
            <w:shd w:val="clear" w:color="auto" w:fill="auto"/>
            <w:vAlign w:val="bottom"/>
          </w:tcPr>
          <w:p w14:paraId="646943EC" w14:textId="2518C36B" w:rsidR="00EF684D" w:rsidRDefault="00EF684D" w:rsidP="002C18DF">
            <w:pPr>
              <w:spacing w:after="0" w:line="240" w:lineRule="auto"/>
              <w:jc w:val="right"/>
              <w:rPr>
                <w:color w:val="000000"/>
                <w:lang w:val="en-US"/>
              </w:rPr>
            </w:pPr>
            <w:r>
              <w:rPr>
                <w:color w:val="000000"/>
                <w:lang w:val="en-US"/>
              </w:rPr>
              <w:t>0</w:t>
            </w:r>
          </w:p>
        </w:tc>
        <w:tc>
          <w:tcPr>
            <w:tcW w:w="1144" w:type="dxa"/>
            <w:tcBorders>
              <w:top w:val="single" w:sz="6" w:space="0" w:color="000000"/>
              <w:left w:val="single" w:sz="6" w:space="0" w:color="000000"/>
              <w:bottom w:val="single" w:sz="6" w:space="0" w:color="000000"/>
              <w:right w:val="single" w:sz="4" w:space="0" w:color="000000"/>
            </w:tcBorders>
            <w:shd w:val="clear" w:color="auto" w:fill="auto"/>
            <w:vAlign w:val="bottom"/>
          </w:tcPr>
          <w:p w14:paraId="355FA02F" w14:textId="77777777" w:rsidR="00EF684D" w:rsidRDefault="00EF684D">
            <w:pPr>
              <w:snapToGrid w:val="0"/>
              <w:spacing w:after="0" w:line="240" w:lineRule="auto"/>
              <w:rPr>
                <w:color w:val="000000"/>
                <w:lang w:val="en-US"/>
              </w:rPr>
            </w:pPr>
          </w:p>
        </w:tc>
      </w:tr>
      <w:tr w:rsidR="00EF684D" w14:paraId="3EBA0D77" w14:textId="77777777" w:rsidTr="000C6C5D">
        <w:trPr>
          <w:trHeight w:val="300"/>
        </w:trPr>
        <w:tc>
          <w:tcPr>
            <w:tcW w:w="1069" w:type="dxa"/>
            <w:tcBorders>
              <w:top w:val="single" w:sz="6" w:space="0" w:color="000000"/>
              <w:left w:val="single" w:sz="4" w:space="0" w:color="000000"/>
              <w:bottom w:val="single" w:sz="6" w:space="0" w:color="000000"/>
            </w:tcBorders>
            <w:shd w:val="clear" w:color="auto" w:fill="auto"/>
            <w:vAlign w:val="bottom"/>
          </w:tcPr>
          <w:p w14:paraId="436E3999" w14:textId="376BA66E" w:rsidR="00EF684D" w:rsidRDefault="00EF684D">
            <w:pPr>
              <w:snapToGrid w:val="0"/>
              <w:spacing w:after="0" w:line="240" w:lineRule="auto"/>
              <w:rPr>
                <w:rFonts w:ascii="Times New Roman" w:hAnsi="Times New Roman"/>
                <w:color w:val="000000"/>
                <w:lang w:val="en-US"/>
              </w:rPr>
            </w:pPr>
            <w:r>
              <w:rPr>
                <w:color w:val="000000"/>
                <w:lang w:val="en-US"/>
              </w:rPr>
              <w:t>Mean total</w:t>
            </w:r>
          </w:p>
        </w:tc>
        <w:tc>
          <w:tcPr>
            <w:tcW w:w="1200" w:type="dxa"/>
            <w:tcBorders>
              <w:top w:val="single" w:sz="6" w:space="0" w:color="000000"/>
              <w:left w:val="single" w:sz="6" w:space="0" w:color="000000"/>
              <w:bottom w:val="single" w:sz="6" w:space="0" w:color="000000"/>
            </w:tcBorders>
            <w:shd w:val="clear" w:color="auto" w:fill="auto"/>
            <w:vAlign w:val="bottom"/>
          </w:tcPr>
          <w:p w14:paraId="76A47C1E" w14:textId="558F1D71" w:rsidR="00EF684D" w:rsidRDefault="00A305D4" w:rsidP="00D42EDD">
            <w:pPr>
              <w:snapToGrid w:val="0"/>
              <w:spacing w:after="0" w:line="240" w:lineRule="auto"/>
              <w:rPr>
                <w:color w:val="000000"/>
                <w:lang w:val="en-US"/>
              </w:rPr>
            </w:pPr>
            <w:r>
              <w:rPr>
                <w:color w:val="000000"/>
                <w:lang w:val="en-US"/>
              </w:rPr>
              <w:t>10.1</w:t>
            </w:r>
          </w:p>
        </w:tc>
        <w:tc>
          <w:tcPr>
            <w:tcW w:w="1984" w:type="dxa"/>
            <w:tcBorders>
              <w:top w:val="single" w:sz="6" w:space="0" w:color="000000"/>
              <w:left w:val="single" w:sz="6" w:space="0" w:color="000000"/>
              <w:bottom w:val="single" w:sz="6" w:space="0" w:color="000000"/>
            </w:tcBorders>
            <w:shd w:val="clear" w:color="auto" w:fill="auto"/>
            <w:vAlign w:val="bottom"/>
          </w:tcPr>
          <w:p w14:paraId="1F3A8D6D" w14:textId="77777777" w:rsidR="00EF684D" w:rsidRDefault="00EF684D">
            <w:pPr>
              <w:snapToGrid w:val="0"/>
              <w:spacing w:after="0" w:line="240" w:lineRule="auto"/>
              <w:rPr>
                <w:color w:val="000000"/>
                <w:lang w:val="en-US"/>
              </w:rPr>
            </w:pPr>
          </w:p>
        </w:tc>
        <w:tc>
          <w:tcPr>
            <w:tcW w:w="992" w:type="dxa"/>
            <w:tcBorders>
              <w:top w:val="single" w:sz="6" w:space="0" w:color="000000"/>
              <w:left w:val="single" w:sz="6" w:space="0" w:color="000000"/>
              <w:bottom w:val="single" w:sz="6" w:space="0" w:color="000000"/>
            </w:tcBorders>
            <w:shd w:val="clear" w:color="auto" w:fill="auto"/>
            <w:vAlign w:val="bottom"/>
          </w:tcPr>
          <w:p w14:paraId="24505243" w14:textId="6E695FAD" w:rsidR="00EF684D" w:rsidRDefault="00A305D4" w:rsidP="00A7359E">
            <w:pPr>
              <w:snapToGrid w:val="0"/>
              <w:spacing w:after="0" w:line="240" w:lineRule="auto"/>
              <w:jc w:val="right"/>
              <w:rPr>
                <w:color w:val="000000"/>
                <w:lang w:val="en-US"/>
              </w:rPr>
            </w:pPr>
            <w:r>
              <w:rPr>
                <w:color w:val="000000"/>
                <w:lang w:val="en-US"/>
              </w:rPr>
              <w:t>3.6</w:t>
            </w:r>
          </w:p>
        </w:tc>
        <w:tc>
          <w:tcPr>
            <w:tcW w:w="851" w:type="dxa"/>
            <w:tcBorders>
              <w:top w:val="single" w:sz="6" w:space="0" w:color="000000"/>
              <w:left w:val="single" w:sz="6" w:space="0" w:color="000000"/>
              <w:bottom w:val="single" w:sz="6" w:space="0" w:color="000000"/>
            </w:tcBorders>
            <w:shd w:val="clear" w:color="auto" w:fill="auto"/>
            <w:vAlign w:val="bottom"/>
          </w:tcPr>
          <w:p w14:paraId="387088A4" w14:textId="0FD01D82" w:rsidR="00EF684D" w:rsidRDefault="00EF684D" w:rsidP="002C18DF">
            <w:pPr>
              <w:snapToGrid w:val="0"/>
              <w:spacing w:after="0" w:line="240" w:lineRule="auto"/>
              <w:jc w:val="right"/>
              <w:rPr>
                <w:color w:val="000000"/>
                <w:lang w:val="en-US"/>
              </w:rPr>
            </w:pPr>
            <w:r>
              <w:rPr>
                <w:color w:val="000000"/>
                <w:lang w:val="en-US"/>
              </w:rPr>
              <w:t>3</w:t>
            </w:r>
            <w:r w:rsidR="00A35030">
              <w:rPr>
                <w:color w:val="000000"/>
                <w:lang w:val="en-US"/>
              </w:rPr>
              <w:t>.25</w:t>
            </w:r>
          </w:p>
        </w:tc>
        <w:tc>
          <w:tcPr>
            <w:tcW w:w="850" w:type="dxa"/>
            <w:tcBorders>
              <w:top w:val="single" w:sz="6" w:space="0" w:color="000000"/>
              <w:left w:val="single" w:sz="6" w:space="0" w:color="000000"/>
              <w:bottom w:val="single" w:sz="6" w:space="0" w:color="000000"/>
            </w:tcBorders>
            <w:shd w:val="clear" w:color="auto" w:fill="auto"/>
            <w:vAlign w:val="bottom"/>
          </w:tcPr>
          <w:p w14:paraId="5036CD2D" w14:textId="5B8851B4" w:rsidR="00EF684D" w:rsidRDefault="00A35030" w:rsidP="002C18DF">
            <w:pPr>
              <w:snapToGrid w:val="0"/>
              <w:spacing w:after="0" w:line="240" w:lineRule="auto"/>
              <w:jc w:val="right"/>
              <w:rPr>
                <w:color w:val="000000"/>
                <w:lang w:val="en-US"/>
              </w:rPr>
            </w:pPr>
            <w:r>
              <w:rPr>
                <w:color w:val="000000"/>
                <w:lang w:val="en-US"/>
              </w:rPr>
              <w:t>1.5</w:t>
            </w:r>
          </w:p>
        </w:tc>
        <w:tc>
          <w:tcPr>
            <w:tcW w:w="993" w:type="dxa"/>
            <w:tcBorders>
              <w:top w:val="single" w:sz="6" w:space="0" w:color="000000"/>
              <w:left w:val="single" w:sz="6" w:space="0" w:color="000000"/>
              <w:bottom w:val="single" w:sz="6" w:space="0" w:color="000000"/>
            </w:tcBorders>
            <w:shd w:val="clear" w:color="auto" w:fill="auto"/>
            <w:vAlign w:val="bottom"/>
          </w:tcPr>
          <w:p w14:paraId="616A09C4" w14:textId="17B348ED" w:rsidR="00EF684D" w:rsidRDefault="00A35030" w:rsidP="002C18DF">
            <w:pPr>
              <w:snapToGrid w:val="0"/>
              <w:spacing w:after="0" w:line="240" w:lineRule="auto"/>
              <w:jc w:val="right"/>
              <w:rPr>
                <w:color w:val="000000"/>
                <w:lang w:val="en-US"/>
              </w:rPr>
            </w:pPr>
            <w:r>
              <w:rPr>
                <w:color w:val="000000"/>
                <w:lang w:val="en-US"/>
              </w:rPr>
              <w:t>1.25</w:t>
            </w:r>
          </w:p>
        </w:tc>
        <w:tc>
          <w:tcPr>
            <w:tcW w:w="850" w:type="dxa"/>
            <w:tcBorders>
              <w:top w:val="single" w:sz="6" w:space="0" w:color="000000"/>
              <w:left w:val="single" w:sz="6" w:space="0" w:color="000000"/>
              <w:bottom w:val="single" w:sz="6" w:space="0" w:color="000000"/>
            </w:tcBorders>
            <w:shd w:val="clear" w:color="auto" w:fill="auto"/>
            <w:vAlign w:val="bottom"/>
          </w:tcPr>
          <w:p w14:paraId="3C059CEA" w14:textId="54015A1A" w:rsidR="00EF684D" w:rsidRDefault="00A35030" w:rsidP="00285C57">
            <w:pPr>
              <w:snapToGrid w:val="0"/>
              <w:spacing w:after="0" w:line="240" w:lineRule="auto"/>
              <w:jc w:val="right"/>
              <w:rPr>
                <w:color w:val="000000"/>
                <w:lang w:val="en-US"/>
              </w:rPr>
            </w:pPr>
            <w:r>
              <w:rPr>
                <w:color w:val="000000"/>
                <w:lang w:val="en-US"/>
              </w:rPr>
              <w:t>0.4</w:t>
            </w:r>
          </w:p>
        </w:tc>
        <w:tc>
          <w:tcPr>
            <w:tcW w:w="1144" w:type="dxa"/>
            <w:tcBorders>
              <w:top w:val="single" w:sz="6" w:space="0" w:color="000000"/>
              <w:left w:val="single" w:sz="6" w:space="0" w:color="000000"/>
              <w:bottom w:val="single" w:sz="6" w:space="0" w:color="000000"/>
              <w:right w:val="single" w:sz="4" w:space="0" w:color="000000"/>
            </w:tcBorders>
            <w:shd w:val="clear" w:color="auto" w:fill="auto"/>
            <w:vAlign w:val="bottom"/>
          </w:tcPr>
          <w:p w14:paraId="3E618863" w14:textId="77777777" w:rsidR="00EF684D" w:rsidRDefault="00EF684D">
            <w:pPr>
              <w:snapToGrid w:val="0"/>
              <w:spacing w:after="0" w:line="240" w:lineRule="auto"/>
              <w:rPr>
                <w:color w:val="000000"/>
                <w:lang w:val="en-US"/>
              </w:rPr>
            </w:pPr>
          </w:p>
        </w:tc>
      </w:tr>
      <w:tr w:rsidR="00EF684D" w14:paraId="18140CFA" w14:textId="77777777" w:rsidTr="000C6C5D">
        <w:trPr>
          <w:trHeight w:val="300"/>
        </w:trPr>
        <w:tc>
          <w:tcPr>
            <w:tcW w:w="1069" w:type="dxa"/>
            <w:tcBorders>
              <w:top w:val="single" w:sz="6" w:space="0" w:color="000000"/>
              <w:left w:val="single" w:sz="4" w:space="0" w:color="000000"/>
              <w:bottom w:val="single" w:sz="6" w:space="0" w:color="000000"/>
            </w:tcBorders>
            <w:shd w:val="clear" w:color="auto" w:fill="auto"/>
            <w:vAlign w:val="bottom"/>
          </w:tcPr>
          <w:p w14:paraId="02A35D5C" w14:textId="77777777" w:rsidR="00EF684D" w:rsidRDefault="00EF684D">
            <w:pPr>
              <w:snapToGrid w:val="0"/>
              <w:spacing w:after="0" w:line="240" w:lineRule="auto"/>
              <w:rPr>
                <w:rFonts w:ascii="Times New Roman" w:hAnsi="Times New Roman"/>
                <w:color w:val="000000"/>
                <w:lang w:val="en-US"/>
              </w:rPr>
            </w:pPr>
          </w:p>
        </w:tc>
        <w:tc>
          <w:tcPr>
            <w:tcW w:w="1200" w:type="dxa"/>
            <w:tcBorders>
              <w:top w:val="single" w:sz="6" w:space="0" w:color="000000"/>
              <w:left w:val="single" w:sz="6" w:space="0" w:color="000000"/>
              <w:bottom w:val="single" w:sz="6" w:space="0" w:color="000000"/>
            </w:tcBorders>
            <w:shd w:val="clear" w:color="auto" w:fill="auto"/>
            <w:vAlign w:val="bottom"/>
          </w:tcPr>
          <w:p w14:paraId="50413EB4" w14:textId="77777777" w:rsidR="00EF684D" w:rsidRDefault="00EF684D">
            <w:pPr>
              <w:snapToGrid w:val="0"/>
              <w:spacing w:after="0" w:line="240" w:lineRule="auto"/>
              <w:rPr>
                <w:color w:val="000000"/>
                <w:lang w:val="en-US"/>
              </w:rPr>
            </w:pPr>
          </w:p>
        </w:tc>
        <w:tc>
          <w:tcPr>
            <w:tcW w:w="1984" w:type="dxa"/>
            <w:tcBorders>
              <w:top w:val="single" w:sz="6" w:space="0" w:color="000000"/>
              <w:left w:val="single" w:sz="6" w:space="0" w:color="000000"/>
              <w:bottom w:val="single" w:sz="6" w:space="0" w:color="000000"/>
            </w:tcBorders>
            <w:shd w:val="clear" w:color="auto" w:fill="auto"/>
            <w:vAlign w:val="bottom"/>
          </w:tcPr>
          <w:p w14:paraId="720F66A4" w14:textId="77777777" w:rsidR="00EF684D" w:rsidRDefault="00EF684D">
            <w:pPr>
              <w:snapToGrid w:val="0"/>
              <w:spacing w:after="0" w:line="240" w:lineRule="auto"/>
              <w:rPr>
                <w:color w:val="000000"/>
                <w:lang w:val="en-US"/>
              </w:rPr>
            </w:pPr>
          </w:p>
        </w:tc>
        <w:tc>
          <w:tcPr>
            <w:tcW w:w="992" w:type="dxa"/>
            <w:tcBorders>
              <w:top w:val="single" w:sz="6" w:space="0" w:color="000000"/>
              <w:left w:val="single" w:sz="6" w:space="0" w:color="000000"/>
              <w:bottom w:val="single" w:sz="6" w:space="0" w:color="000000"/>
            </w:tcBorders>
            <w:shd w:val="clear" w:color="auto" w:fill="auto"/>
            <w:vAlign w:val="bottom"/>
          </w:tcPr>
          <w:p w14:paraId="53E19DF5" w14:textId="77777777" w:rsidR="00EF684D" w:rsidRDefault="00EF684D" w:rsidP="002C18DF">
            <w:pPr>
              <w:snapToGrid w:val="0"/>
              <w:spacing w:after="0" w:line="240" w:lineRule="auto"/>
              <w:jc w:val="right"/>
              <w:rPr>
                <w:color w:val="000000"/>
                <w:lang w:val="en-US"/>
              </w:rPr>
            </w:pPr>
          </w:p>
        </w:tc>
        <w:tc>
          <w:tcPr>
            <w:tcW w:w="851" w:type="dxa"/>
            <w:tcBorders>
              <w:top w:val="single" w:sz="6" w:space="0" w:color="000000"/>
              <w:left w:val="single" w:sz="6" w:space="0" w:color="000000"/>
              <w:bottom w:val="single" w:sz="6" w:space="0" w:color="000000"/>
            </w:tcBorders>
            <w:shd w:val="clear" w:color="auto" w:fill="auto"/>
            <w:vAlign w:val="bottom"/>
          </w:tcPr>
          <w:p w14:paraId="1175ADED" w14:textId="77777777" w:rsidR="00EF684D" w:rsidRDefault="00EF684D" w:rsidP="002C18DF">
            <w:pPr>
              <w:snapToGrid w:val="0"/>
              <w:spacing w:after="0" w:line="240" w:lineRule="auto"/>
              <w:jc w:val="right"/>
              <w:rPr>
                <w:color w:val="000000"/>
                <w:lang w:val="en-US"/>
              </w:rPr>
            </w:pPr>
          </w:p>
        </w:tc>
        <w:tc>
          <w:tcPr>
            <w:tcW w:w="850" w:type="dxa"/>
            <w:tcBorders>
              <w:top w:val="single" w:sz="6" w:space="0" w:color="000000"/>
              <w:left w:val="single" w:sz="6" w:space="0" w:color="000000"/>
              <w:bottom w:val="single" w:sz="6" w:space="0" w:color="000000"/>
            </w:tcBorders>
            <w:shd w:val="clear" w:color="auto" w:fill="auto"/>
            <w:vAlign w:val="bottom"/>
          </w:tcPr>
          <w:p w14:paraId="6A9E227B" w14:textId="77777777" w:rsidR="00EF684D" w:rsidRDefault="00EF684D" w:rsidP="002C18DF">
            <w:pPr>
              <w:snapToGrid w:val="0"/>
              <w:spacing w:after="0" w:line="240" w:lineRule="auto"/>
              <w:jc w:val="right"/>
              <w:rPr>
                <w:color w:val="000000"/>
                <w:lang w:val="en-US"/>
              </w:rPr>
            </w:pPr>
          </w:p>
        </w:tc>
        <w:tc>
          <w:tcPr>
            <w:tcW w:w="993" w:type="dxa"/>
            <w:tcBorders>
              <w:top w:val="single" w:sz="6" w:space="0" w:color="000000"/>
              <w:left w:val="single" w:sz="6" w:space="0" w:color="000000"/>
              <w:bottom w:val="single" w:sz="6" w:space="0" w:color="000000"/>
            </w:tcBorders>
            <w:shd w:val="clear" w:color="auto" w:fill="auto"/>
            <w:vAlign w:val="bottom"/>
          </w:tcPr>
          <w:p w14:paraId="4F9DAA2A" w14:textId="77777777" w:rsidR="00EF684D" w:rsidRDefault="00EF684D" w:rsidP="002C18DF">
            <w:pPr>
              <w:snapToGrid w:val="0"/>
              <w:spacing w:after="0" w:line="240" w:lineRule="auto"/>
              <w:jc w:val="right"/>
              <w:rPr>
                <w:color w:val="000000"/>
                <w:lang w:val="en-US"/>
              </w:rPr>
            </w:pPr>
          </w:p>
        </w:tc>
        <w:tc>
          <w:tcPr>
            <w:tcW w:w="850" w:type="dxa"/>
            <w:tcBorders>
              <w:top w:val="single" w:sz="6" w:space="0" w:color="000000"/>
              <w:left w:val="single" w:sz="6" w:space="0" w:color="000000"/>
              <w:bottom w:val="single" w:sz="6" w:space="0" w:color="000000"/>
            </w:tcBorders>
            <w:shd w:val="clear" w:color="auto" w:fill="auto"/>
            <w:vAlign w:val="bottom"/>
          </w:tcPr>
          <w:p w14:paraId="6E95F328" w14:textId="77777777" w:rsidR="00EF684D" w:rsidRDefault="00EF684D" w:rsidP="002C18DF">
            <w:pPr>
              <w:snapToGrid w:val="0"/>
              <w:spacing w:after="0" w:line="240" w:lineRule="auto"/>
              <w:jc w:val="right"/>
              <w:rPr>
                <w:color w:val="000000"/>
                <w:lang w:val="en-US"/>
              </w:rPr>
            </w:pPr>
          </w:p>
        </w:tc>
        <w:tc>
          <w:tcPr>
            <w:tcW w:w="1144" w:type="dxa"/>
            <w:tcBorders>
              <w:top w:val="single" w:sz="6" w:space="0" w:color="000000"/>
              <w:left w:val="single" w:sz="6" w:space="0" w:color="000000"/>
              <w:bottom w:val="single" w:sz="6" w:space="0" w:color="000000"/>
              <w:right w:val="single" w:sz="4" w:space="0" w:color="000000"/>
            </w:tcBorders>
            <w:shd w:val="clear" w:color="auto" w:fill="auto"/>
            <w:vAlign w:val="bottom"/>
          </w:tcPr>
          <w:p w14:paraId="099E46F0" w14:textId="77777777" w:rsidR="00EF684D" w:rsidRDefault="00EF684D">
            <w:pPr>
              <w:snapToGrid w:val="0"/>
              <w:spacing w:after="0" w:line="240" w:lineRule="auto"/>
              <w:rPr>
                <w:color w:val="000000"/>
                <w:lang w:val="en-US"/>
              </w:rPr>
            </w:pPr>
          </w:p>
        </w:tc>
      </w:tr>
      <w:tr w:rsidR="00EF684D" w14:paraId="17F0899C" w14:textId="77777777" w:rsidTr="000C6C5D">
        <w:trPr>
          <w:trHeight w:val="300"/>
        </w:trPr>
        <w:tc>
          <w:tcPr>
            <w:tcW w:w="1069" w:type="dxa"/>
            <w:tcBorders>
              <w:top w:val="single" w:sz="6" w:space="0" w:color="000000"/>
              <w:left w:val="single" w:sz="4" w:space="0" w:color="000000"/>
              <w:bottom w:val="single" w:sz="4" w:space="0" w:color="000000"/>
            </w:tcBorders>
            <w:shd w:val="clear" w:color="auto" w:fill="auto"/>
            <w:vAlign w:val="bottom"/>
          </w:tcPr>
          <w:p w14:paraId="5442979B" w14:textId="77777777" w:rsidR="00EF684D" w:rsidRDefault="00EF684D">
            <w:pPr>
              <w:spacing w:after="0" w:line="240" w:lineRule="auto"/>
              <w:rPr>
                <w:color w:val="000000"/>
                <w:lang w:val="en-US"/>
              </w:rPr>
            </w:pPr>
            <w:r>
              <w:rPr>
                <w:color w:val="000000"/>
                <w:lang w:val="en-US"/>
              </w:rPr>
              <w:t>Rounded mean total</w:t>
            </w:r>
          </w:p>
        </w:tc>
        <w:tc>
          <w:tcPr>
            <w:tcW w:w="1200" w:type="dxa"/>
            <w:tcBorders>
              <w:top w:val="single" w:sz="6" w:space="0" w:color="000000"/>
              <w:left w:val="single" w:sz="6" w:space="0" w:color="000000"/>
              <w:bottom w:val="single" w:sz="4" w:space="0" w:color="000000"/>
            </w:tcBorders>
            <w:shd w:val="clear" w:color="auto" w:fill="auto"/>
            <w:vAlign w:val="bottom"/>
          </w:tcPr>
          <w:p w14:paraId="19BEE569" w14:textId="77777777" w:rsidR="00EF684D" w:rsidRDefault="00EF684D">
            <w:pPr>
              <w:spacing w:after="0" w:line="240" w:lineRule="auto"/>
              <w:rPr>
                <w:color w:val="000000"/>
                <w:lang w:val="en-US"/>
              </w:rPr>
            </w:pPr>
            <w:r>
              <w:rPr>
                <w:color w:val="000000"/>
                <w:lang w:val="en-US"/>
              </w:rPr>
              <w:t>10</w:t>
            </w:r>
          </w:p>
        </w:tc>
        <w:tc>
          <w:tcPr>
            <w:tcW w:w="1984" w:type="dxa"/>
            <w:tcBorders>
              <w:top w:val="single" w:sz="6" w:space="0" w:color="000000"/>
              <w:left w:val="single" w:sz="6" w:space="0" w:color="000000"/>
              <w:bottom w:val="single" w:sz="4" w:space="0" w:color="000000"/>
            </w:tcBorders>
            <w:shd w:val="clear" w:color="auto" w:fill="auto"/>
            <w:vAlign w:val="bottom"/>
          </w:tcPr>
          <w:p w14:paraId="4B73A74A" w14:textId="77777777" w:rsidR="00EF684D" w:rsidRDefault="00EF684D">
            <w:pPr>
              <w:snapToGrid w:val="0"/>
              <w:spacing w:after="0" w:line="240" w:lineRule="auto"/>
              <w:rPr>
                <w:color w:val="000000"/>
                <w:lang w:val="en-US"/>
              </w:rPr>
            </w:pPr>
          </w:p>
        </w:tc>
        <w:tc>
          <w:tcPr>
            <w:tcW w:w="992" w:type="dxa"/>
            <w:tcBorders>
              <w:top w:val="single" w:sz="6" w:space="0" w:color="000000"/>
              <w:left w:val="single" w:sz="6" w:space="0" w:color="000000"/>
              <w:bottom w:val="single" w:sz="4" w:space="0" w:color="000000"/>
            </w:tcBorders>
            <w:shd w:val="clear" w:color="auto" w:fill="auto"/>
            <w:vAlign w:val="bottom"/>
          </w:tcPr>
          <w:p w14:paraId="2EE599ED" w14:textId="52EA8584" w:rsidR="00EF684D" w:rsidRDefault="00A305D4" w:rsidP="002C18DF">
            <w:pPr>
              <w:spacing w:after="0" w:line="240" w:lineRule="auto"/>
              <w:jc w:val="right"/>
              <w:rPr>
                <w:color w:val="000000"/>
                <w:lang w:val="en-US"/>
              </w:rPr>
            </w:pPr>
            <w:r>
              <w:rPr>
                <w:color w:val="000000"/>
                <w:lang w:val="en-US"/>
              </w:rPr>
              <w:t>4</w:t>
            </w:r>
          </w:p>
        </w:tc>
        <w:tc>
          <w:tcPr>
            <w:tcW w:w="851" w:type="dxa"/>
            <w:tcBorders>
              <w:top w:val="single" w:sz="6" w:space="0" w:color="000000"/>
              <w:left w:val="single" w:sz="6" w:space="0" w:color="000000"/>
              <w:bottom w:val="single" w:sz="4" w:space="0" w:color="000000"/>
            </w:tcBorders>
            <w:shd w:val="clear" w:color="auto" w:fill="auto"/>
            <w:vAlign w:val="bottom"/>
          </w:tcPr>
          <w:p w14:paraId="394EDCFC" w14:textId="77777777" w:rsidR="00EF684D" w:rsidRDefault="00EF684D" w:rsidP="002C18DF">
            <w:pPr>
              <w:spacing w:after="0" w:line="240" w:lineRule="auto"/>
              <w:jc w:val="right"/>
              <w:rPr>
                <w:color w:val="000000"/>
                <w:lang w:val="en-US"/>
              </w:rPr>
            </w:pPr>
            <w:r>
              <w:rPr>
                <w:color w:val="000000"/>
                <w:lang w:val="en-US"/>
              </w:rPr>
              <w:t>3</w:t>
            </w:r>
          </w:p>
        </w:tc>
        <w:tc>
          <w:tcPr>
            <w:tcW w:w="850" w:type="dxa"/>
            <w:tcBorders>
              <w:top w:val="single" w:sz="6" w:space="0" w:color="000000"/>
              <w:left w:val="single" w:sz="6" w:space="0" w:color="000000"/>
              <w:bottom w:val="single" w:sz="4" w:space="0" w:color="000000"/>
            </w:tcBorders>
            <w:shd w:val="clear" w:color="auto" w:fill="auto"/>
            <w:vAlign w:val="bottom"/>
          </w:tcPr>
          <w:p w14:paraId="218078C1" w14:textId="0A10EC47" w:rsidR="00EF684D" w:rsidRDefault="00A35030" w:rsidP="002C18DF">
            <w:pPr>
              <w:spacing w:after="0" w:line="240" w:lineRule="auto"/>
              <w:jc w:val="right"/>
              <w:rPr>
                <w:color w:val="000000"/>
                <w:lang w:val="en-US"/>
              </w:rPr>
            </w:pPr>
            <w:r>
              <w:rPr>
                <w:color w:val="000000"/>
                <w:lang w:val="en-US"/>
              </w:rPr>
              <w:t>2</w:t>
            </w:r>
          </w:p>
        </w:tc>
        <w:tc>
          <w:tcPr>
            <w:tcW w:w="993" w:type="dxa"/>
            <w:tcBorders>
              <w:top w:val="single" w:sz="6" w:space="0" w:color="000000"/>
              <w:left w:val="single" w:sz="6" w:space="0" w:color="000000"/>
              <w:bottom w:val="single" w:sz="4" w:space="0" w:color="000000"/>
            </w:tcBorders>
            <w:shd w:val="clear" w:color="auto" w:fill="auto"/>
            <w:vAlign w:val="bottom"/>
          </w:tcPr>
          <w:p w14:paraId="58A54959" w14:textId="464512AB" w:rsidR="00EF684D" w:rsidRDefault="00A35030" w:rsidP="002C18DF">
            <w:pPr>
              <w:spacing w:after="0" w:line="240" w:lineRule="auto"/>
              <w:jc w:val="right"/>
              <w:rPr>
                <w:color w:val="000000"/>
                <w:lang w:val="en-US"/>
              </w:rPr>
            </w:pPr>
            <w:r>
              <w:rPr>
                <w:color w:val="000000"/>
                <w:lang w:val="en-US"/>
              </w:rPr>
              <w:t>1</w:t>
            </w:r>
          </w:p>
        </w:tc>
        <w:tc>
          <w:tcPr>
            <w:tcW w:w="850" w:type="dxa"/>
            <w:tcBorders>
              <w:top w:val="single" w:sz="6" w:space="0" w:color="000000"/>
              <w:left w:val="single" w:sz="6" w:space="0" w:color="000000"/>
              <w:bottom w:val="single" w:sz="4" w:space="0" w:color="000000"/>
            </w:tcBorders>
            <w:shd w:val="clear" w:color="auto" w:fill="auto"/>
            <w:vAlign w:val="bottom"/>
          </w:tcPr>
          <w:p w14:paraId="57FBAEE0" w14:textId="77777777" w:rsidR="00EF684D" w:rsidRDefault="00EF684D" w:rsidP="002C18DF">
            <w:pPr>
              <w:spacing w:after="0" w:line="240" w:lineRule="auto"/>
              <w:jc w:val="right"/>
              <w:rPr>
                <w:color w:val="000000"/>
                <w:lang w:val="en-US"/>
              </w:rPr>
            </w:pPr>
            <w:r>
              <w:rPr>
                <w:color w:val="000000"/>
                <w:lang w:val="en-US"/>
              </w:rPr>
              <w:t>0</w:t>
            </w:r>
          </w:p>
        </w:tc>
        <w:tc>
          <w:tcPr>
            <w:tcW w:w="1144" w:type="dxa"/>
            <w:tcBorders>
              <w:top w:val="single" w:sz="6" w:space="0" w:color="000000"/>
              <w:left w:val="single" w:sz="6" w:space="0" w:color="000000"/>
              <w:bottom w:val="single" w:sz="4" w:space="0" w:color="000000"/>
              <w:right w:val="single" w:sz="4" w:space="0" w:color="000000"/>
            </w:tcBorders>
            <w:shd w:val="clear" w:color="auto" w:fill="auto"/>
            <w:vAlign w:val="bottom"/>
          </w:tcPr>
          <w:p w14:paraId="6D70B584" w14:textId="77777777" w:rsidR="00EF684D" w:rsidRDefault="00EF684D">
            <w:pPr>
              <w:snapToGrid w:val="0"/>
              <w:spacing w:after="0" w:line="240" w:lineRule="auto"/>
              <w:rPr>
                <w:color w:val="000000"/>
                <w:lang w:val="en-US"/>
              </w:rPr>
            </w:pPr>
          </w:p>
        </w:tc>
      </w:tr>
    </w:tbl>
    <w:p w14:paraId="01DBD482" w14:textId="77777777" w:rsidR="00137364" w:rsidRDefault="00137364">
      <w:pPr>
        <w:jc w:val="both"/>
      </w:pPr>
    </w:p>
    <w:p w14:paraId="6974207E" w14:textId="77777777" w:rsidR="00137364" w:rsidRDefault="00137364">
      <w:pPr>
        <w:jc w:val="both"/>
      </w:pPr>
      <w:r>
        <w:rPr>
          <w:b/>
          <w:sz w:val="24"/>
          <w:szCs w:val="24"/>
        </w:rPr>
        <w:t xml:space="preserve">Analog guidance summary: </w:t>
      </w:r>
    </w:p>
    <w:p w14:paraId="270F747E" w14:textId="48924FED" w:rsidR="00137364" w:rsidRDefault="00C17F87">
      <w:pPr>
        <w:jc w:val="both"/>
      </w:pPr>
      <w:r>
        <w:t>8</w:t>
      </w:r>
      <w:r w:rsidR="00137364">
        <w:t xml:space="preserve">-12 </w:t>
      </w:r>
      <w:r w:rsidR="00A14D08">
        <w:t xml:space="preserve">named </w:t>
      </w:r>
      <w:r w:rsidR="008861DC">
        <w:t>TC</w:t>
      </w:r>
      <w:r w:rsidR="00186CA5">
        <w:t>s</w:t>
      </w:r>
      <w:r w:rsidR="00137364">
        <w:t xml:space="preserve"> are expected for the </w:t>
      </w:r>
      <w:r w:rsidR="0063732D">
        <w:t>2014</w:t>
      </w:r>
      <w:r w:rsidR="00137364">
        <w:t>-</w:t>
      </w:r>
      <w:r w:rsidR="0063732D">
        <w:t xml:space="preserve">15 </w:t>
      </w:r>
      <w:r w:rsidR="00137364">
        <w:t xml:space="preserve">season for the </w:t>
      </w:r>
      <w:r w:rsidR="00186CA5">
        <w:t xml:space="preserve"> </w:t>
      </w:r>
      <w:r w:rsidR="00A14D08">
        <w:t>Southwest</w:t>
      </w:r>
      <w:r w:rsidR="00137364">
        <w:t xml:space="preserve"> Pacific basin (135</w:t>
      </w:r>
      <w:r w:rsidR="005B3910" w:rsidRPr="00617CF3">
        <w:rPr>
          <w:rFonts w:ascii="Lucida Grande" w:hAnsi="Lucida Grande"/>
          <w:b/>
          <w:color w:val="000000"/>
        </w:rPr>
        <w:t>°</w:t>
      </w:r>
      <w:r w:rsidR="005B3910">
        <w:t xml:space="preserve"> </w:t>
      </w:r>
      <w:r w:rsidR="00137364">
        <w:t>E – 120</w:t>
      </w:r>
      <w:r w:rsidR="005B3910" w:rsidRPr="00C934E8">
        <w:rPr>
          <w:rFonts w:ascii="Lucida Grande" w:hAnsi="Lucida Grande"/>
          <w:b/>
          <w:color w:val="000000"/>
        </w:rPr>
        <w:t>°</w:t>
      </w:r>
      <w:r w:rsidR="005B3910">
        <w:t xml:space="preserve"> </w:t>
      </w:r>
      <w:r w:rsidR="00137364">
        <w:t>W)</w:t>
      </w:r>
      <w:r w:rsidR="00DB6A79">
        <w:t xml:space="preserve">, with a mean of 10 </w:t>
      </w:r>
      <w:r w:rsidR="00186CA5">
        <w:t>implied</w:t>
      </w:r>
      <w:r w:rsidR="00A14D08">
        <w:t xml:space="preserve"> </w:t>
      </w:r>
      <w:r w:rsidR="00186CA5">
        <w:t xml:space="preserve">by </w:t>
      </w:r>
      <w:r w:rsidR="00DB6A79">
        <w:t>the selected analogs. The historic average is</w:t>
      </w:r>
      <w:r w:rsidR="009325F2">
        <w:t xml:space="preserve"> just over</w:t>
      </w:r>
      <w:r w:rsidR="00DB6A79">
        <w:t xml:space="preserve"> 10 </w:t>
      </w:r>
      <w:r w:rsidR="00A14D08">
        <w:t xml:space="preserve">named </w:t>
      </w:r>
      <w:r w:rsidR="00186CA5">
        <w:t>cyclones</w:t>
      </w:r>
      <w:r w:rsidR="009325F2">
        <w:t xml:space="preserve"> per season</w:t>
      </w:r>
      <w:r w:rsidR="00DB6A79">
        <w:t xml:space="preserve"> for the basin.</w:t>
      </w:r>
    </w:p>
    <w:p w14:paraId="16F4D3C7" w14:textId="27116A58" w:rsidR="00137364" w:rsidRDefault="00186CA5">
      <w:pPr>
        <w:jc w:val="both"/>
      </w:pPr>
      <w:r>
        <w:t xml:space="preserve">Potentially, </w:t>
      </w:r>
      <w:r w:rsidR="00A35030">
        <w:t xml:space="preserve">three </w:t>
      </w:r>
      <w:r>
        <w:t xml:space="preserve">cyclones may </w:t>
      </w:r>
      <w:r w:rsidR="00137364">
        <w:t xml:space="preserve">reach category 3 </w:t>
      </w:r>
      <w:r>
        <w:t xml:space="preserve">or 4 </w:t>
      </w:r>
      <w:r w:rsidR="00137364">
        <w:t>status</w:t>
      </w:r>
      <w:r>
        <w:t>.</w:t>
      </w:r>
      <w:r w:rsidR="00137364">
        <w:t xml:space="preserve"> The </w:t>
      </w:r>
      <w:r w:rsidR="00C17F87">
        <w:t>long</w:t>
      </w:r>
      <w:r w:rsidR="00137364">
        <w:t xml:space="preserve"> term </w:t>
      </w:r>
      <w:r w:rsidR="008861DC">
        <w:t>TC</w:t>
      </w:r>
      <w:r w:rsidR="00137364">
        <w:t xml:space="preserve"> climatology (last </w:t>
      </w:r>
      <w:r w:rsidR="00C17F87">
        <w:t>4</w:t>
      </w:r>
      <w:r w:rsidR="00C72624">
        <w:t>4 seasons</w:t>
      </w:r>
      <w:r w:rsidR="00137364">
        <w:t xml:space="preserve">) suggests the occurrence of </w:t>
      </w:r>
      <w:r>
        <w:t>a</w:t>
      </w:r>
      <w:r w:rsidR="00137364">
        <w:t xml:space="preserve"> Category 5 s</w:t>
      </w:r>
      <w:r>
        <w:t>ystem</w:t>
      </w:r>
      <w:r w:rsidR="00137364">
        <w:t xml:space="preserve"> is </w:t>
      </w:r>
      <w:r>
        <w:t xml:space="preserve">very </w:t>
      </w:r>
      <w:r w:rsidR="00137364">
        <w:t>low</w:t>
      </w:r>
      <w:r w:rsidR="00E816B3">
        <w:t>; however the occurrence of those types of storm systems have occurred in the past and cannot be ruled out</w:t>
      </w:r>
      <w:r w:rsidR="005B3910">
        <w:t xml:space="preserve">. </w:t>
      </w:r>
    </w:p>
    <w:p w14:paraId="496D3024" w14:textId="094A38BD" w:rsidR="006B5967" w:rsidRDefault="00137364" w:rsidP="006B5967">
      <w:pPr>
        <w:jc w:val="both"/>
      </w:pPr>
      <w:r>
        <w:t xml:space="preserve">In most of the analog seasons, at least one (if not more than one) ex-tropical cyclone came within 550 km of New Zealand during </w:t>
      </w:r>
      <w:r w:rsidR="00C17F87">
        <w:t>ENSO-neutral seasons</w:t>
      </w:r>
      <w:r>
        <w:t>. Some of these storms even made landfall. The</w:t>
      </w:r>
      <w:r w:rsidR="00C17F87">
        <w:t>re is</w:t>
      </w:r>
      <w:r>
        <w:t xml:space="preserve"> </w:t>
      </w:r>
      <w:r w:rsidR="00C17F87">
        <w:t>a</w:t>
      </w:r>
      <w:r>
        <w:t xml:space="preserve"> normal likelihood of an interaction for New Zealand (at least one</w:t>
      </w:r>
      <w:r w:rsidR="00C17F87">
        <w:t xml:space="preserve"> storm</w:t>
      </w:r>
      <w:r>
        <w:t xml:space="preserve"> coming within 550km of the country)</w:t>
      </w:r>
      <w:r w:rsidR="00C17F87">
        <w:t xml:space="preserve"> for the </w:t>
      </w:r>
      <w:r w:rsidR="00E816B3">
        <w:t>2014</w:t>
      </w:r>
      <w:r w:rsidR="00C17F87">
        <w:t>-</w:t>
      </w:r>
      <w:r w:rsidR="00E816B3">
        <w:t xml:space="preserve">15 </w:t>
      </w:r>
      <w:r w:rsidR="00C17F87">
        <w:t>season</w:t>
      </w:r>
      <w:r>
        <w:t xml:space="preserve">. The probability of a </w:t>
      </w:r>
      <w:r w:rsidR="002161DD">
        <w:t>cyclone</w:t>
      </w:r>
      <w:r>
        <w:t xml:space="preserve"> tracking to t</w:t>
      </w:r>
      <w:r w:rsidR="00C17F87">
        <w:t>he east of Auckland during ENSO-</w:t>
      </w:r>
      <w:r>
        <w:t xml:space="preserve">neutral conditions is twice </w:t>
      </w:r>
      <w:r w:rsidR="002161DD">
        <w:t xml:space="preserve">as likely </w:t>
      </w:r>
      <w:r>
        <w:t xml:space="preserve">as </w:t>
      </w:r>
      <w:r w:rsidR="002161DD">
        <w:t xml:space="preserve">those </w:t>
      </w:r>
      <w:r>
        <w:t>tracking to the west of Auckland</w:t>
      </w:r>
      <w:r w:rsidR="00C17F87">
        <w:t xml:space="preserve"> city</w:t>
      </w:r>
      <w:r>
        <w:t>.</w:t>
      </w:r>
    </w:p>
    <w:p w14:paraId="7CDCAD6A" w14:textId="6CFA07B7" w:rsidR="00137364" w:rsidRDefault="006B5967" w:rsidP="006B5967">
      <w:pPr>
        <w:jc w:val="both"/>
        <w:rPr>
          <w:b/>
          <w:sz w:val="24"/>
          <w:szCs w:val="24"/>
        </w:rPr>
      </w:pPr>
      <w:r>
        <w:br w:type="column"/>
      </w:r>
      <w:r w:rsidR="00137364">
        <w:rPr>
          <w:b/>
          <w:sz w:val="24"/>
          <w:szCs w:val="24"/>
        </w:rPr>
        <w:lastRenderedPageBreak/>
        <w:t xml:space="preserve">Figure 2: Plots of </w:t>
      </w:r>
      <w:r w:rsidR="008861DC">
        <w:rPr>
          <w:b/>
          <w:sz w:val="24"/>
          <w:szCs w:val="24"/>
        </w:rPr>
        <w:t>TC</w:t>
      </w:r>
      <w:r w:rsidR="00137364">
        <w:rPr>
          <w:b/>
          <w:sz w:val="24"/>
          <w:szCs w:val="24"/>
        </w:rPr>
        <w:t xml:space="preserve"> tracks </w:t>
      </w:r>
      <w:r w:rsidR="0094658F">
        <w:rPr>
          <w:b/>
          <w:sz w:val="24"/>
          <w:szCs w:val="24"/>
        </w:rPr>
        <w:t xml:space="preserve">and major storms </w:t>
      </w:r>
      <w:r w:rsidR="00137364">
        <w:rPr>
          <w:b/>
          <w:sz w:val="24"/>
          <w:szCs w:val="24"/>
        </w:rPr>
        <w:t xml:space="preserve">that were monitored for analog seasons used in the </w:t>
      </w:r>
      <w:r w:rsidR="0063732D">
        <w:rPr>
          <w:b/>
          <w:sz w:val="24"/>
          <w:szCs w:val="24"/>
        </w:rPr>
        <w:t>2014</w:t>
      </w:r>
      <w:r w:rsidR="00137364">
        <w:rPr>
          <w:b/>
          <w:sz w:val="24"/>
          <w:szCs w:val="24"/>
        </w:rPr>
        <w:t>-</w:t>
      </w:r>
      <w:r w:rsidR="0063732D">
        <w:rPr>
          <w:b/>
          <w:sz w:val="24"/>
          <w:szCs w:val="24"/>
        </w:rPr>
        <w:t xml:space="preserve">15 </w:t>
      </w:r>
      <w:r w:rsidR="00137364">
        <w:rPr>
          <w:b/>
          <w:sz w:val="24"/>
          <w:szCs w:val="24"/>
        </w:rPr>
        <w:t>seasonal forecast for the full season (November</w:t>
      </w:r>
      <w:r w:rsidR="00D70E04">
        <w:rPr>
          <w:b/>
          <w:sz w:val="24"/>
          <w:szCs w:val="24"/>
        </w:rPr>
        <w:t xml:space="preserve"> - </w:t>
      </w:r>
      <w:r w:rsidR="00137364">
        <w:rPr>
          <w:b/>
          <w:sz w:val="24"/>
          <w:szCs w:val="24"/>
        </w:rPr>
        <w:t>April)</w:t>
      </w:r>
      <w:r w:rsidR="008F5F81">
        <w:rPr>
          <w:b/>
          <w:sz w:val="24"/>
          <w:szCs w:val="24"/>
        </w:rPr>
        <w:t xml:space="preserve">. Track data are courtesy of the </w:t>
      </w:r>
      <w:r w:rsidR="0063732D">
        <w:rPr>
          <w:b/>
          <w:sz w:val="24"/>
          <w:szCs w:val="24"/>
        </w:rPr>
        <w:t xml:space="preserve">South Pacific Enhanced Archive for </w:t>
      </w:r>
      <w:r w:rsidR="008861DC">
        <w:rPr>
          <w:b/>
          <w:sz w:val="24"/>
          <w:szCs w:val="24"/>
        </w:rPr>
        <w:t>TC</w:t>
      </w:r>
      <w:r w:rsidR="0063732D">
        <w:rPr>
          <w:b/>
          <w:sz w:val="24"/>
          <w:szCs w:val="24"/>
        </w:rPr>
        <w:t xml:space="preserve"> research (SPEArTC)</w:t>
      </w:r>
      <w:r w:rsidR="00137364">
        <w:rPr>
          <w:b/>
          <w:sz w:val="24"/>
          <w:szCs w:val="24"/>
        </w:rPr>
        <w:t>.</w:t>
      </w:r>
      <w:r w:rsidR="00DB36DE">
        <w:rPr>
          <w:lang w:val="en-US" w:eastAsia="en-US"/>
        </w:rPr>
        <w:t xml:space="preserve"> </w:t>
      </w:r>
    </w:p>
    <w:p w14:paraId="38F5C1A1" w14:textId="122CFD49" w:rsidR="00137364" w:rsidRDefault="00115E17">
      <w:pPr>
        <w:jc w:val="both"/>
        <w:rPr>
          <w:b/>
          <w:sz w:val="24"/>
          <w:szCs w:val="24"/>
        </w:rPr>
      </w:pPr>
      <w:r>
        <w:rPr>
          <w:b/>
          <w:noProof/>
          <w:sz w:val="24"/>
          <w:szCs w:val="24"/>
          <w:lang w:val="en-US" w:eastAsia="en-US"/>
        </w:rPr>
        <w:drawing>
          <wp:inline distT="0" distB="0" distL="0" distR="0" wp14:anchorId="62FD9396" wp14:editId="3297C09E">
            <wp:extent cx="5731509" cy="3270265"/>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_Full_Season_Plot_year_1978.png"/>
                    <pic:cNvPicPr/>
                  </pic:nvPicPr>
                  <pic:blipFill>
                    <a:blip r:embed="rId11">
                      <a:extLst>
                        <a:ext uri="{28A0092B-C50C-407E-A947-70E740481C1C}">
                          <a14:useLocalDpi xmlns:a14="http://schemas.microsoft.com/office/drawing/2010/main" val="0"/>
                        </a:ext>
                      </a:extLst>
                    </a:blip>
                    <a:stretch>
                      <a:fillRect/>
                    </a:stretch>
                  </pic:blipFill>
                  <pic:spPr>
                    <a:xfrm>
                      <a:off x="0" y="0"/>
                      <a:ext cx="5731509" cy="3270265"/>
                    </a:xfrm>
                    <a:prstGeom prst="rect">
                      <a:avLst/>
                    </a:prstGeom>
                  </pic:spPr>
                </pic:pic>
              </a:graphicData>
            </a:graphic>
          </wp:inline>
        </w:drawing>
      </w:r>
    </w:p>
    <w:p w14:paraId="47121CB9" w14:textId="5572B088" w:rsidR="00CC1512" w:rsidRDefault="00115E17">
      <w:pPr>
        <w:jc w:val="both"/>
        <w:rPr>
          <w:b/>
          <w:sz w:val="24"/>
          <w:szCs w:val="24"/>
        </w:rPr>
      </w:pPr>
      <w:r>
        <w:rPr>
          <w:b/>
          <w:noProof/>
          <w:sz w:val="24"/>
          <w:szCs w:val="24"/>
          <w:lang w:val="en-US" w:eastAsia="en-US"/>
        </w:rPr>
        <w:drawing>
          <wp:inline distT="0" distB="0" distL="0" distR="0" wp14:anchorId="2BEB2F38" wp14:editId="1F79E8DD">
            <wp:extent cx="5731509" cy="3270265"/>
            <wp:effectExtent l="0" t="0" r="952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_Full_Season_Plot_year_1979.png"/>
                    <pic:cNvPicPr/>
                  </pic:nvPicPr>
                  <pic:blipFill>
                    <a:blip r:embed="rId12">
                      <a:extLst>
                        <a:ext uri="{28A0092B-C50C-407E-A947-70E740481C1C}">
                          <a14:useLocalDpi xmlns:a14="http://schemas.microsoft.com/office/drawing/2010/main" val="0"/>
                        </a:ext>
                      </a:extLst>
                    </a:blip>
                    <a:stretch>
                      <a:fillRect/>
                    </a:stretch>
                  </pic:blipFill>
                  <pic:spPr>
                    <a:xfrm>
                      <a:off x="0" y="0"/>
                      <a:ext cx="5731509" cy="3270265"/>
                    </a:xfrm>
                    <a:prstGeom prst="rect">
                      <a:avLst/>
                    </a:prstGeom>
                  </pic:spPr>
                </pic:pic>
              </a:graphicData>
            </a:graphic>
          </wp:inline>
        </w:drawing>
      </w:r>
    </w:p>
    <w:p w14:paraId="686B4C6D" w14:textId="368CD9FE" w:rsidR="00115E17" w:rsidRDefault="00115E17">
      <w:pPr>
        <w:jc w:val="both"/>
        <w:rPr>
          <w:b/>
          <w:sz w:val="24"/>
          <w:szCs w:val="24"/>
        </w:rPr>
      </w:pPr>
      <w:r>
        <w:rPr>
          <w:b/>
          <w:noProof/>
          <w:sz w:val="24"/>
          <w:szCs w:val="24"/>
          <w:lang w:val="en-US" w:eastAsia="en-US"/>
        </w:rPr>
        <w:lastRenderedPageBreak/>
        <w:drawing>
          <wp:inline distT="0" distB="0" distL="0" distR="0" wp14:anchorId="5493A63C" wp14:editId="07A759D7">
            <wp:extent cx="5731509" cy="3270265"/>
            <wp:effectExtent l="0" t="0" r="952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_Full_Season_Plot_year_1980.png"/>
                    <pic:cNvPicPr/>
                  </pic:nvPicPr>
                  <pic:blipFill>
                    <a:blip r:embed="rId13">
                      <a:extLst>
                        <a:ext uri="{28A0092B-C50C-407E-A947-70E740481C1C}">
                          <a14:useLocalDpi xmlns:a14="http://schemas.microsoft.com/office/drawing/2010/main" val="0"/>
                        </a:ext>
                      </a:extLst>
                    </a:blip>
                    <a:stretch>
                      <a:fillRect/>
                    </a:stretch>
                  </pic:blipFill>
                  <pic:spPr>
                    <a:xfrm>
                      <a:off x="0" y="0"/>
                      <a:ext cx="5731509" cy="3270265"/>
                    </a:xfrm>
                    <a:prstGeom prst="rect">
                      <a:avLst/>
                    </a:prstGeom>
                  </pic:spPr>
                </pic:pic>
              </a:graphicData>
            </a:graphic>
          </wp:inline>
        </w:drawing>
      </w:r>
    </w:p>
    <w:p w14:paraId="3060B1DE" w14:textId="40B00ECC" w:rsidR="00115E17" w:rsidRDefault="00115E17">
      <w:pPr>
        <w:jc w:val="both"/>
        <w:rPr>
          <w:b/>
          <w:sz w:val="24"/>
          <w:szCs w:val="24"/>
        </w:rPr>
      </w:pPr>
      <w:r>
        <w:rPr>
          <w:b/>
          <w:noProof/>
          <w:sz w:val="24"/>
          <w:szCs w:val="24"/>
          <w:lang w:val="en-US" w:eastAsia="en-US"/>
        </w:rPr>
        <w:drawing>
          <wp:inline distT="0" distB="0" distL="0" distR="0" wp14:anchorId="3D348B51" wp14:editId="5C5ACBB1">
            <wp:extent cx="5731509" cy="3270264"/>
            <wp:effectExtent l="0" t="0" r="952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_Full_Season_Plot_year_1981.png"/>
                    <pic:cNvPicPr/>
                  </pic:nvPicPr>
                  <pic:blipFill>
                    <a:blip r:embed="rId14">
                      <a:extLst>
                        <a:ext uri="{28A0092B-C50C-407E-A947-70E740481C1C}">
                          <a14:useLocalDpi xmlns:a14="http://schemas.microsoft.com/office/drawing/2010/main" val="0"/>
                        </a:ext>
                      </a:extLst>
                    </a:blip>
                    <a:stretch>
                      <a:fillRect/>
                    </a:stretch>
                  </pic:blipFill>
                  <pic:spPr>
                    <a:xfrm>
                      <a:off x="0" y="0"/>
                      <a:ext cx="5731509" cy="3270264"/>
                    </a:xfrm>
                    <a:prstGeom prst="rect">
                      <a:avLst/>
                    </a:prstGeom>
                  </pic:spPr>
                </pic:pic>
              </a:graphicData>
            </a:graphic>
          </wp:inline>
        </w:drawing>
      </w:r>
    </w:p>
    <w:p w14:paraId="1CE4B9E1" w14:textId="1901F84E" w:rsidR="00CC1512" w:rsidRDefault="00115E17">
      <w:pPr>
        <w:jc w:val="both"/>
        <w:rPr>
          <w:b/>
          <w:sz w:val="24"/>
          <w:szCs w:val="24"/>
        </w:rPr>
      </w:pPr>
      <w:r>
        <w:rPr>
          <w:b/>
          <w:noProof/>
          <w:sz w:val="24"/>
          <w:szCs w:val="24"/>
          <w:lang w:val="en-US" w:eastAsia="en-US"/>
        </w:rPr>
        <w:lastRenderedPageBreak/>
        <w:drawing>
          <wp:inline distT="0" distB="0" distL="0" distR="0" wp14:anchorId="7B9F7A03" wp14:editId="2F189600">
            <wp:extent cx="5731510" cy="3270265"/>
            <wp:effectExtent l="0" t="0" r="889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_Full_Season_Plot_year_1990.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270265"/>
                    </a:xfrm>
                    <a:prstGeom prst="rect">
                      <a:avLst/>
                    </a:prstGeom>
                  </pic:spPr>
                </pic:pic>
              </a:graphicData>
            </a:graphic>
          </wp:inline>
        </w:drawing>
      </w:r>
    </w:p>
    <w:p w14:paraId="0DBBA9F5" w14:textId="2350AF38" w:rsidR="00CC1512" w:rsidRDefault="00115E17">
      <w:pPr>
        <w:jc w:val="both"/>
        <w:rPr>
          <w:b/>
          <w:sz w:val="24"/>
          <w:szCs w:val="24"/>
        </w:rPr>
      </w:pPr>
      <w:r>
        <w:rPr>
          <w:b/>
          <w:noProof/>
          <w:sz w:val="24"/>
          <w:szCs w:val="24"/>
          <w:lang w:val="en-US" w:eastAsia="en-US"/>
        </w:rPr>
        <w:drawing>
          <wp:inline distT="0" distB="0" distL="0" distR="0" wp14:anchorId="695ECA96" wp14:editId="6B9968C5">
            <wp:extent cx="5731509" cy="3270265"/>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_Full_Season_Plot_year_1996.png"/>
                    <pic:cNvPicPr/>
                  </pic:nvPicPr>
                  <pic:blipFill>
                    <a:blip r:embed="rId16">
                      <a:extLst>
                        <a:ext uri="{28A0092B-C50C-407E-A947-70E740481C1C}">
                          <a14:useLocalDpi xmlns:a14="http://schemas.microsoft.com/office/drawing/2010/main" val="0"/>
                        </a:ext>
                      </a:extLst>
                    </a:blip>
                    <a:stretch>
                      <a:fillRect/>
                    </a:stretch>
                  </pic:blipFill>
                  <pic:spPr>
                    <a:xfrm>
                      <a:off x="0" y="0"/>
                      <a:ext cx="5731509" cy="3270265"/>
                    </a:xfrm>
                    <a:prstGeom prst="rect">
                      <a:avLst/>
                    </a:prstGeom>
                  </pic:spPr>
                </pic:pic>
              </a:graphicData>
            </a:graphic>
          </wp:inline>
        </w:drawing>
      </w:r>
    </w:p>
    <w:p w14:paraId="7373DED6" w14:textId="33D38BA4" w:rsidR="00CC1512" w:rsidRDefault="00115E17">
      <w:pPr>
        <w:jc w:val="both"/>
        <w:rPr>
          <w:b/>
          <w:sz w:val="24"/>
          <w:szCs w:val="24"/>
        </w:rPr>
      </w:pPr>
      <w:r>
        <w:rPr>
          <w:b/>
          <w:noProof/>
          <w:sz w:val="24"/>
          <w:szCs w:val="24"/>
          <w:lang w:val="en-US" w:eastAsia="en-US"/>
        </w:rPr>
        <w:lastRenderedPageBreak/>
        <w:drawing>
          <wp:inline distT="0" distB="0" distL="0" distR="0" wp14:anchorId="55A0E872" wp14:editId="2AB8F0B4">
            <wp:extent cx="5731509" cy="3270265"/>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_Full_Season_Plot_year_2001.png"/>
                    <pic:cNvPicPr/>
                  </pic:nvPicPr>
                  <pic:blipFill>
                    <a:blip r:embed="rId17">
                      <a:extLst>
                        <a:ext uri="{28A0092B-C50C-407E-A947-70E740481C1C}">
                          <a14:useLocalDpi xmlns:a14="http://schemas.microsoft.com/office/drawing/2010/main" val="0"/>
                        </a:ext>
                      </a:extLst>
                    </a:blip>
                    <a:stretch>
                      <a:fillRect/>
                    </a:stretch>
                  </pic:blipFill>
                  <pic:spPr>
                    <a:xfrm>
                      <a:off x="0" y="0"/>
                      <a:ext cx="5731509" cy="3270265"/>
                    </a:xfrm>
                    <a:prstGeom prst="rect">
                      <a:avLst/>
                    </a:prstGeom>
                  </pic:spPr>
                </pic:pic>
              </a:graphicData>
            </a:graphic>
          </wp:inline>
        </w:drawing>
      </w:r>
    </w:p>
    <w:p w14:paraId="3F38B8D8" w14:textId="03607608" w:rsidR="00CC1512" w:rsidRDefault="00CC1512">
      <w:pPr>
        <w:jc w:val="both"/>
        <w:rPr>
          <w:b/>
          <w:sz w:val="24"/>
          <w:szCs w:val="24"/>
        </w:rPr>
      </w:pPr>
    </w:p>
    <w:p w14:paraId="7E180F1B" w14:textId="269CB94C" w:rsidR="00CC1512" w:rsidRDefault="00CC1512">
      <w:pPr>
        <w:jc w:val="both"/>
        <w:rPr>
          <w:b/>
          <w:sz w:val="24"/>
          <w:szCs w:val="24"/>
        </w:rPr>
      </w:pPr>
    </w:p>
    <w:p w14:paraId="7C087A70" w14:textId="27350AEE" w:rsidR="00DB36DE" w:rsidRDefault="00975E02">
      <w:pPr>
        <w:jc w:val="both"/>
        <w:rPr>
          <w:b/>
          <w:sz w:val="24"/>
          <w:szCs w:val="24"/>
        </w:rPr>
      </w:pPr>
      <w:r>
        <w:rPr>
          <w:b/>
          <w:noProof/>
          <w:sz w:val="24"/>
          <w:szCs w:val="24"/>
          <w:lang w:val="en-US" w:eastAsia="en-US"/>
        </w:rPr>
        <w:drawing>
          <wp:inline distT="0" distB="0" distL="0" distR="0" wp14:anchorId="38F12195" wp14:editId="367E6655">
            <wp:extent cx="5731510" cy="327025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TC_Full_Season_Plot_year_2012.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3270250"/>
                    </a:xfrm>
                    <a:prstGeom prst="rect">
                      <a:avLst/>
                    </a:prstGeom>
                  </pic:spPr>
                </pic:pic>
              </a:graphicData>
            </a:graphic>
          </wp:inline>
        </w:drawing>
      </w:r>
    </w:p>
    <w:p w14:paraId="6C4E0FCC" w14:textId="77777777" w:rsidR="00DB36DE" w:rsidRDefault="00DB36DE">
      <w:pPr>
        <w:jc w:val="both"/>
        <w:rPr>
          <w:b/>
          <w:sz w:val="24"/>
          <w:szCs w:val="24"/>
        </w:rPr>
      </w:pPr>
    </w:p>
    <w:p w14:paraId="09C101B8" w14:textId="77777777" w:rsidR="00DB36DE" w:rsidRDefault="00DB36DE">
      <w:pPr>
        <w:jc w:val="both"/>
        <w:rPr>
          <w:b/>
          <w:sz w:val="24"/>
          <w:szCs w:val="24"/>
        </w:rPr>
      </w:pPr>
    </w:p>
    <w:p w14:paraId="4C6BA604" w14:textId="77777777" w:rsidR="00DB36DE" w:rsidRDefault="00DB36DE">
      <w:pPr>
        <w:jc w:val="both"/>
        <w:rPr>
          <w:b/>
          <w:sz w:val="24"/>
          <w:szCs w:val="24"/>
        </w:rPr>
      </w:pPr>
    </w:p>
    <w:p w14:paraId="58CCCDCE" w14:textId="77777777" w:rsidR="00DB36DE" w:rsidRDefault="00DB36DE">
      <w:pPr>
        <w:jc w:val="both"/>
        <w:rPr>
          <w:b/>
          <w:sz w:val="24"/>
          <w:szCs w:val="24"/>
        </w:rPr>
      </w:pPr>
    </w:p>
    <w:p w14:paraId="5730C380" w14:textId="4F06E001" w:rsidR="00137364" w:rsidRDefault="00137364">
      <w:pPr>
        <w:pageBreakBefore/>
        <w:jc w:val="both"/>
        <w:rPr>
          <w:b/>
          <w:sz w:val="24"/>
          <w:szCs w:val="24"/>
        </w:rPr>
      </w:pPr>
      <w:r>
        <w:rPr>
          <w:b/>
          <w:sz w:val="24"/>
          <w:szCs w:val="24"/>
        </w:rPr>
        <w:lastRenderedPageBreak/>
        <w:t xml:space="preserve">Figure </w:t>
      </w:r>
      <w:r w:rsidR="006B5967">
        <w:rPr>
          <w:b/>
          <w:sz w:val="24"/>
          <w:szCs w:val="24"/>
        </w:rPr>
        <w:t>3</w:t>
      </w:r>
      <w:r>
        <w:rPr>
          <w:b/>
          <w:sz w:val="24"/>
          <w:szCs w:val="24"/>
        </w:rPr>
        <w:t xml:space="preserve">: Early season (November to January) and late season (February to April) anomaly plots for selected </w:t>
      </w:r>
      <w:r w:rsidR="008861DC">
        <w:rPr>
          <w:b/>
          <w:sz w:val="24"/>
          <w:szCs w:val="24"/>
        </w:rPr>
        <w:t>TC</w:t>
      </w:r>
      <w:r>
        <w:rPr>
          <w:b/>
          <w:sz w:val="24"/>
          <w:szCs w:val="24"/>
        </w:rPr>
        <w:t xml:space="preserve"> analog seasons (</w:t>
      </w:r>
      <w:r w:rsidR="006B5967">
        <w:rPr>
          <w:b/>
          <w:sz w:val="24"/>
          <w:szCs w:val="24"/>
        </w:rPr>
        <w:t xml:space="preserve">data </w:t>
      </w:r>
      <w:r>
        <w:rPr>
          <w:b/>
          <w:sz w:val="24"/>
          <w:szCs w:val="24"/>
        </w:rPr>
        <w:t xml:space="preserve">courtesy </w:t>
      </w:r>
      <w:r w:rsidR="006B5967">
        <w:rPr>
          <w:b/>
          <w:sz w:val="24"/>
          <w:szCs w:val="24"/>
        </w:rPr>
        <w:t xml:space="preserve">of </w:t>
      </w:r>
      <w:r w:rsidR="009A060C">
        <w:rPr>
          <w:b/>
          <w:sz w:val="24"/>
          <w:szCs w:val="24"/>
        </w:rPr>
        <w:t>South Pacific Enhanced Archive for Tropical Cyclone research (SPEArTC)</w:t>
      </w:r>
      <w:r>
        <w:rPr>
          <w:b/>
          <w:sz w:val="24"/>
          <w:szCs w:val="24"/>
        </w:rPr>
        <w:t>).</w:t>
      </w:r>
    </w:p>
    <w:p w14:paraId="04C8EBEE" w14:textId="77777777" w:rsidR="00137364" w:rsidRDefault="001B6C23">
      <w:pPr>
        <w:jc w:val="both"/>
      </w:pPr>
      <w:r>
        <w:rPr>
          <w:noProof/>
          <w:lang w:val="en-US" w:eastAsia="en-US"/>
        </w:rPr>
        <w:drawing>
          <wp:inline distT="0" distB="0" distL="0" distR="0" wp14:anchorId="30D5866E" wp14:editId="580B538B">
            <wp:extent cx="5727700" cy="31497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M_TC_density_anomalies_early_season"/>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27700" cy="3149778"/>
                    </a:xfrm>
                    <a:prstGeom prst="rect">
                      <a:avLst/>
                    </a:prstGeom>
                    <a:noFill/>
                    <a:ln>
                      <a:noFill/>
                    </a:ln>
                  </pic:spPr>
                </pic:pic>
              </a:graphicData>
            </a:graphic>
          </wp:inline>
        </w:drawing>
      </w:r>
    </w:p>
    <w:p w14:paraId="2B0FC88D" w14:textId="77777777" w:rsidR="006B5967" w:rsidRDefault="001B6C23">
      <w:pPr>
        <w:jc w:val="both"/>
      </w:pPr>
      <w:r>
        <w:rPr>
          <w:noProof/>
          <w:lang w:val="en-US" w:eastAsia="en-US"/>
        </w:rPr>
        <w:drawing>
          <wp:inline distT="0" distB="0" distL="0" distR="0" wp14:anchorId="42C6BB03" wp14:editId="238A0EE2">
            <wp:extent cx="5727700" cy="31497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M_TC_density_anomalies_late_season"/>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27700" cy="3149778"/>
                    </a:xfrm>
                    <a:prstGeom prst="rect">
                      <a:avLst/>
                    </a:prstGeom>
                    <a:noFill/>
                    <a:ln>
                      <a:noFill/>
                    </a:ln>
                  </pic:spPr>
                </pic:pic>
              </a:graphicData>
            </a:graphic>
          </wp:inline>
        </w:drawing>
      </w:r>
    </w:p>
    <w:p w14:paraId="178DA0D1" w14:textId="77777777" w:rsidR="00137364" w:rsidRDefault="00137364">
      <w:pPr>
        <w:jc w:val="both"/>
      </w:pPr>
    </w:p>
    <w:sectPr w:rsidR="00137364">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160627" w15:done="0"/>
  <w15:commentEx w15:paraId="0889E33B" w15:done="0"/>
  <w15:commentEx w15:paraId="4673449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195FDF" w14:textId="77777777" w:rsidR="00573D2E" w:rsidRDefault="00573D2E">
      <w:pPr>
        <w:spacing w:after="0" w:line="240" w:lineRule="auto"/>
      </w:pPr>
      <w:r>
        <w:separator/>
      </w:r>
    </w:p>
  </w:endnote>
  <w:endnote w:type="continuationSeparator" w:id="0">
    <w:p w14:paraId="7E234A65" w14:textId="77777777" w:rsidR="00573D2E" w:rsidRDefault="00573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Liberation Sans">
    <w:altName w:val="Arial"/>
    <w:charset w:val="80"/>
    <w:family w:val="swiss"/>
    <w:pitch w:val="variable"/>
  </w:font>
  <w:font w:name="DejaVu Sans">
    <w:charset w:val="80"/>
    <w:family w:val="auto"/>
    <w:pitch w:val="variable"/>
  </w:font>
  <w:font w:name="Lohit Hindi">
    <w:altName w:val="MS Mincho"/>
    <w:charset w:val="80"/>
    <w:family w:val="auto"/>
    <w:pitch w:val="variable"/>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90317" w14:textId="77777777" w:rsidR="00573D2E" w:rsidRDefault="00573D2E"/>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0BCE6" w14:textId="77777777" w:rsidR="00573D2E" w:rsidRDefault="00573D2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18199" w14:textId="77777777" w:rsidR="00573D2E" w:rsidRDefault="00573D2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1AD6C" w14:textId="77777777" w:rsidR="00573D2E" w:rsidRDefault="00573D2E">
      <w:pPr>
        <w:spacing w:after="0" w:line="240" w:lineRule="auto"/>
      </w:pPr>
      <w:r>
        <w:separator/>
      </w:r>
    </w:p>
  </w:footnote>
  <w:footnote w:type="continuationSeparator" w:id="0">
    <w:p w14:paraId="6062EACC" w14:textId="77777777" w:rsidR="00573D2E" w:rsidRDefault="00573D2E">
      <w:pPr>
        <w:spacing w:after="0" w:line="240" w:lineRule="auto"/>
      </w:pPr>
      <w:r>
        <w:continuationSeparator/>
      </w:r>
    </w:p>
  </w:footnote>
  <w:footnote w:id="1">
    <w:p w14:paraId="6BC5050D" w14:textId="33ABCC10" w:rsidR="00573D2E" w:rsidRPr="00CC2371" w:rsidRDefault="00573D2E">
      <w:pPr>
        <w:pStyle w:val="FootnoteText"/>
        <w:rPr>
          <w:rFonts w:ascii="Times New Roman" w:hAnsi="Times New Roman"/>
          <w:sz w:val="18"/>
          <w:szCs w:val="18"/>
          <w:lang w:val="en-US"/>
        </w:rPr>
      </w:pPr>
      <w:r>
        <w:rPr>
          <w:rStyle w:val="FootnoteReference"/>
        </w:rPr>
        <w:footnoteRef/>
      </w:r>
      <w:r>
        <w:t xml:space="preserve"> </w:t>
      </w:r>
      <w:r w:rsidRPr="00CC2371">
        <w:rPr>
          <w:rFonts w:ascii="Times New Roman" w:hAnsi="Times New Roman"/>
          <w:sz w:val="18"/>
          <w:szCs w:val="18"/>
        </w:rPr>
        <w:t>between 135°E (mid-Gulf of Carpentaria) and 120°W (French Polynesia)</w:t>
      </w:r>
    </w:p>
  </w:footnote>
  <w:footnote w:id="2">
    <w:p w14:paraId="20BFFA20" w14:textId="77777777" w:rsidR="00573D2E" w:rsidRDefault="00573D2E">
      <w:pPr>
        <w:pStyle w:val="FootnoteText"/>
      </w:pPr>
      <w:r>
        <w:rPr>
          <w:rStyle w:val="FootnoteCharacters"/>
          <w:rFonts w:ascii="Times New Roman" w:hAnsi="Times New Roman"/>
        </w:rPr>
        <w:footnoteRef/>
      </w:r>
      <w:r>
        <w:rPr>
          <w:rFonts w:eastAsia="Calibri" w:cs="Calibri"/>
        </w:rPr>
        <w:tab/>
        <w:t xml:space="preserve"> </w:t>
      </w:r>
      <w:r>
        <w:rPr>
          <w:rFonts w:ascii="Times New Roman" w:hAnsi="Times New Roman"/>
          <w:sz w:val="18"/>
        </w:rPr>
        <w:t>See http://www.bom.gov.au/cyclone/about/intensity.shtml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A1E1D" w14:textId="67EDB8D1" w:rsidR="00573D2E" w:rsidRDefault="00573D2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63F88" w14:textId="77B7F98E" w:rsidR="00573D2E" w:rsidRDefault="00573D2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69EFE" w14:textId="25D80A10" w:rsidR="00573D2E" w:rsidRDefault="00573D2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Mullan">
    <w15:presenceInfo w15:providerId="AD" w15:userId="S-1-5-21-2128874236-2655112392-2474587192-2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trackRevision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364"/>
    <w:rsid w:val="00030A2F"/>
    <w:rsid w:val="00060169"/>
    <w:rsid w:val="00064083"/>
    <w:rsid w:val="00065ECB"/>
    <w:rsid w:val="00067EC1"/>
    <w:rsid w:val="00077DF4"/>
    <w:rsid w:val="000B2185"/>
    <w:rsid w:val="000C6C5D"/>
    <w:rsid w:val="000F6462"/>
    <w:rsid w:val="00105C0D"/>
    <w:rsid w:val="00115E17"/>
    <w:rsid w:val="00137364"/>
    <w:rsid w:val="00152613"/>
    <w:rsid w:val="00157CE5"/>
    <w:rsid w:val="0016456E"/>
    <w:rsid w:val="00186CA5"/>
    <w:rsid w:val="001A65FA"/>
    <w:rsid w:val="001B1529"/>
    <w:rsid w:val="001B2918"/>
    <w:rsid w:val="001B3EDB"/>
    <w:rsid w:val="001B6C23"/>
    <w:rsid w:val="00204336"/>
    <w:rsid w:val="002161DD"/>
    <w:rsid w:val="00216D9E"/>
    <w:rsid w:val="0023143A"/>
    <w:rsid w:val="00236C13"/>
    <w:rsid w:val="0024769B"/>
    <w:rsid w:val="00253EC3"/>
    <w:rsid w:val="00275CD8"/>
    <w:rsid w:val="00280EEF"/>
    <w:rsid w:val="00284780"/>
    <w:rsid w:val="00285C57"/>
    <w:rsid w:val="00286969"/>
    <w:rsid w:val="00287A88"/>
    <w:rsid w:val="002A208F"/>
    <w:rsid w:val="002C18DF"/>
    <w:rsid w:val="00300B62"/>
    <w:rsid w:val="00332B16"/>
    <w:rsid w:val="00342F91"/>
    <w:rsid w:val="00370E91"/>
    <w:rsid w:val="00371C4E"/>
    <w:rsid w:val="0038230F"/>
    <w:rsid w:val="00393A37"/>
    <w:rsid w:val="003C0CB6"/>
    <w:rsid w:val="00415A9A"/>
    <w:rsid w:val="00444670"/>
    <w:rsid w:val="00451918"/>
    <w:rsid w:val="004536DA"/>
    <w:rsid w:val="00454A17"/>
    <w:rsid w:val="00460086"/>
    <w:rsid w:val="00467123"/>
    <w:rsid w:val="00482C56"/>
    <w:rsid w:val="0048784F"/>
    <w:rsid w:val="00497BD1"/>
    <w:rsid w:val="004C0ADC"/>
    <w:rsid w:val="004C7FDF"/>
    <w:rsid w:val="00513165"/>
    <w:rsid w:val="00536700"/>
    <w:rsid w:val="00541D2D"/>
    <w:rsid w:val="005447F2"/>
    <w:rsid w:val="005604A3"/>
    <w:rsid w:val="00562244"/>
    <w:rsid w:val="005675CD"/>
    <w:rsid w:val="00571F99"/>
    <w:rsid w:val="00573D2E"/>
    <w:rsid w:val="00583624"/>
    <w:rsid w:val="005A6A7D"/>
    <w:rsid w:val="005B3910"/>
    <w:rsid w:val="005D4D43"/>
    <w:rsid w:val="00612A3C"/>
    <w:rsid w:val="00626B95"/>
    <w:rsid w:val="0063030D"/>
    <w:rsid w:val="00636A2A"/>
    <w:rsid w:val="0063732D"/>
    <w:rsid w:val="006504E1"/>
    <w:rsid w:val="006650AB"/>
    <w:rsid w:val="00666B33"/>
    <w:rsid w:val="00680A54"/>
    <w:rsid w:val="00692F9B"/>
    <w:rsid w:val="006A3AD7"/>
    <w:rsid w:val="006A4C41"/>
    <w:rsid w:val="006A5855"/>
    <w:rsid w:val="006A6C88"/>
    <w:rsid w:val="006B5967"/>
    <w:rsid w:val="006C6ABE"/>
    <w:rsid w:val="00714428"/>
    <w:rsid w:val="00724D6A"/>
    <w:rsid w:val="00746263"/>
    <w:rsid w:val="007462D8"/>
    <w:rsid w:val="0075321B"/>
    <w:rsid w:val="00757DF3"/>
    <w:rsid w:val="0079236F"/>
    <w:rsid w:val="007B2B23"/>
    <w:rsid w:val="007B3777"/>
    <w:rsid w:val="007B61F1"/>
    <w:rsid w:val="007D2C46"/>
    <w:rsid w:val="00801B52"/>
    <w:rsid w:val="008165D3"/>
    <w:rsid w:val="00834E03"/>
    <w:rsid w:val="0085286A"/>
    <w:rsid w:val="008861DC"/>
    <w:rsid w:val="00886C60"/>
    <w:rsid w:val="008B1A8D"/>
    <w:rsid w:val="008D2C15"/>
    <w:rsid w:val="008D412C"/>
    <w:rsid w:val="008F5F81"/>
    <w:rsid w:val="00913C1A"/>
    <w:rsid w:val="009202FB"/>
    <w:rsid w:val="00922FD6"/>
    <w:rsid w:val="00931223"/>
    <w:rsid w:val="009325F2"/>
    <w:rsid w:val="0093311D"/>
    <w:rsid w:val="0094658F"/>
    <w:rsid w:val="009509CF"/>
    <w:rsid w:val="00970B3B"/>
    <w:rsid w:val="00975E02"/>
    <w:rsid w:val="00987005"/>
    <w:rsid w:val="00997538"/>
    <w:rsid w:val="009A060C"/>
    <w:rsid w:val="009B028A"/>
    <w:rsid w:val="009D2FC4"/>
    <w:rsid w:val="009E5AAF"/>
    <w:rsid w:val="00A14D08"/>
    <w:rsid w:val="00A305D4"/>
    <w:rsid w:val="00A35030"/>
    <w:rsid w:val="00A43488"/>
    <w:rsid w:val="00A57E1A"/>
    <w:rsid w:val="00A7359E"/>
    <w:rsid w:val="00A743AC"/>
    <w:rsid w:val="00A8469C"/>
    <w:rsid w:val="00A84A1B"/>
    <w:rsid w:val="00A96120"/>
    <w:rsid w:val="00AC39D0"/>
    <w:rsid w:val="00B006AF"/>
    <w:rsid w:val="00B07228"/>
    <w:rsid w:val="00B34D13"/>
    <w:rsid w:val="00B42DD3"/>
    <w:rsid w:val="00B47326"/>
    <w:rsid w:val="00B5644F"/>
    <w:rsid w:val="00B61205"/>
    <w:rsid w:val="00B64097"/>
    <w:rsid w:val="00B67FB4"/>
    <w:rsid w:val="00B72595"/>
    <w:rsid w:val="00B8129D"/>
    <w:rsid w:val="00B84AF7"/>
    <w:rsid w:val="00B92817"/>
    <w:rsid w:val="00BB61BD"/>
    <w:rsid w:val="00BC736A"/>
    <w:rsid w:val="00BE662E"/>
    <w:rsid w:val="00C00332"/>
    <w:rsid w:val="00C17F87"/>
    <w:rsid w:val="00C65666"/>
    <w:rsid w:val="00C673D7"/>
    <w:rsid w:val="00C67A18"/>
    <w:rsid w:val="00C72624"/>
    <w:rsid w:val="00C74FF4"/>
    <w:rsid w:val="00C9782B"/>
    <w:rsid w:val="00CB3F59"/>
    <w:rsid w:val="00CC1512"/>
    <w:rsid w:val="00CC2371"/>
    <w:rsid w:val="00CD23BC"/>
    <w:rsid w:val="00CD5491"/>
    <w:rsid w:val="00D10EEF"/>
    <w:rsid w:val="00D3674C"/>
    <w:rsid w:val="00D42C4D"/>
    <w:rsid w:val="00D42EDD"/>
    <w:rsid w:val="00D67871"/>
    <w:rsid w:val="00D70E04"/>
    <w:rsid w:val="00D84B21"/>
    <w:rsid w:val="00D934F7"/>
    <w:rsid w:val="00D94AD5"/>
    <w:rsid w:val="00DB36DE"/>
    <w:rsid w:val="00DB3E46"/>
    <w:rsid w:val="00DB594A"/>
    <w:rsid w:val="00DB6A79"/>
    <w:rsid w:val="00DC777A"/>
    <w:rsid w:val="00DE39B0"/>
    <w:rsid w:val="00E01E32"/>
    <w:rsid w:val="00E128E7"/>
    <w:rsid w:val="00E31051"/>
    <w:rsid w:val="00E51EDC"/>
    <w:rsid w:val="00E65D3D"/>
    <w:rsid w:val="00E7312A"/>
    <w:rsid w:val="00E769AB"/>
    <w:rsid w:val="00E816B3"/>
    <w:rsid w:val="00E839FD"/>
    <w:rsid w:val="00E861F4"/>
    <w:rsid w:val="00EA0FAB"/>
    <w:rsid w:val="00EC5B43"/>
    <w:rsid w:val="00ED102A"/>
    <w:rsid w:val="00EF3D55"/>
    <w:rsid w:val="00EF684D"/>
    <w:rsid w:val="00F133E6"/>
    <w:rsid w:val="00F15473"/>
    <w:rsid w:val="00F43422"/>
    <w:rsid w:val="00F43455"/>
    <w:rsid w:val="00F503BF"/>
    <w:rsid w:val="00F74A08"/>
    <w:rsid w:val="00F97536"/>
    <w:rsid w:val="00FF77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oNotEmbedSmartTags/>
  <w:decimalSymbol w:val="."/>
  <w:listSeparator w:val=","/>
  <w14:docId w14:val="39EB11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hAnsi="Calibri"/>
      <w:sz w:val="22"/>
      <w:szCs w:val="22"/>
      <w:lang w:val="en-NZ" w:eastAsia="zh-CN"/>
    </w:rPr>
  </w:style>
  <w:style w:type="paragraph" w:styleId="Heading2">
    <w:name w:val="heading 2"/>
    <w:basedOn w:val="Normal"/>
    <w:next w:val="BodyText"/>
    <w:qFormat/>
    <w:pPr>
      <w:numPr>
        <w:ilvl w:val="1"/>
        <w:numId w:val="1"/>
      </w:numPr>
      <w:spacing w:before="280" w:after="280" w:line="240" w:lineRule="auto"/>
      <w:outlineLvl w:val="1"/>
    </w:pPr>
    <w:rPr>
      <w:rFonts w:ascii="Times New Roman" w:eastAsia="Calibri" w:hAnsi="Times New Roman"/>
      <w:b/>
      <w:bCs/>
      <w:sz w:val="36"/>
      <w:szCs w:val="36"/>
    </w:rPr>
  </w:style>
  <w:style w:type="paragraph" w:styleId="Heading4">
    <w:name w:val="heading 4"/>
    <w:basedOn w:val="Normal"/>
    <w:next w:val="Normal"/>
    <w:qFormat/>
    <w:pPr>
      <w:keepNext/>
      <w:keepLines/>
      <w:numPr>
        <w:ilvl w:val="3"/>
        <w:numId w:val="1"/>
      </w:numPr>
      <w:spacing w:before="200" w:after="0"/>
      <w:outlineLvl w:val="3"/>
    </w:pPr>
    <w:rPr>
      <w:rFonts w:ascii="Cambria" w:eastAsia="Calibri"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Heading2Char">
    <w:name w:val="Heading 2 Char"/>
    <w:rPr>
      <w:rFonts w:ascii="Times New Roman" w:hAnsi="Times New Roman" w:cs="Times New Roman"/>
      <w:b/>
      <w:bCs/>
      <w:sz w:val="36"/>
      <w:szCs w:val="36"/>
      <w:lang w:val="x-none"/>
    </w:rPr>
  </w:style>
  <w:style w:type="character" w:customStyle="1" w:styleId="Heading4Char">
    <w:name w:val="Heading 4 Char"/>
    <w:rPr>
      <w:rFonts w:ascii="Cambria" w:hAnsi="Cambria" w:cs="Times New Roman"/>
      <w:b/>
      <w:bCs/>
      <w:i/>
      <w:iCs/>
      <w:color w:val="4F81BD"/>
    </w:rPr>
  </w:style>
  <w:style w:type="character" w:styleId="Hyperlink">
    <w:name w:val="Hyperlink"/>
    <w:rPr>
      <w:rFonts w:cs="Times New Roman"/>
      <w:color w:val="0000FF"/>
      <w:u w:val="single"/>
    </w:rPr>
  </w:style>
  <w:style w:type="character" w:customStyle="1" w:styleId="BalloonTextChar">
    <w:name w:val="Balloon Text Char"/>
    <w:rPr>
      <w:rFonts w:ascii="Tahoma" w:hAnsi="Tahoma" w:cs="Tahoma"/>
      <w:sz w:val="16"/>
      <w:szCs w:val="16"/>
    </w:rPr>
  </w:style>
  <w:style w:type="character" w:customStyle="1" w:styleId="HeaderChar">
    <w:name w:val="Header Char"/>
    <w:rPr>
      <w:rFonts w:cs="Times New Roman"/>
    </w:rPr>
  </w:style>
  <w:style w:type="character" w:customStyle="1" w:styleId="FooterChar">
    <w:name w:val="Footer Char"/>
    <w:rPr>
      <w:rFonts w:cs="Times New Roman"/>
    </w:rPr>
  </w:style>
  <w:style w:type="character" w:customStyle="1" w:styleId="DocumentMapChar">
    <w:name w:val="Document Map Char"/>
    <w:rPr>
      <w:rFonts w:ascii="Times New Roman" w:hAnsi="Times New Roman" w:cs="Times New Roman"/>
      <w:sz w:val="2"/>
      <w:lang w:val="x-none"/>
    </w:rPr>
  </w:style>
  <w:style w:type="character" w:styleId="CommentReference">
    <w:name w:val="annotation reference"/>
    <w:rPr>
      <w:sz w:val="16"/>
      <w:szCs w:val="16"/>
    </w:rPr>
  </w:style>
  <w:style w:type="character" w:customStyle="1" w:styleId="FootnoteTextChar">
    <w:name w:val="Footnote Text Char"/>
    <w:rPr>
      <w:rFonts w:eastAsia="Times New Roman"/>
      <w:sz w:val="24"/>
      <w:szCs w:val="24"/>
      <w:lang w:val="en-NZ"/>
    </w:rPr>
  </w:style>
  <w:style w:type="character" w:customStyle="1" w:styleId="FootnoteCharacters">
    <w:name w:val="Footnote Characters"/>
    <w:rPr>
      <w:vertAlign w:val="superscript"/>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EndnoteCharacters">
    <w:name w:val="Endnote Characters"/>
  </w:style>
  <w:style w:type="paragraph" w:customStyle="1" w:styleId="Heading">
    <w:name w:val="Heading"/>
    <w:basedOn w:val="Normal"/>
    <w:next w:val="BodyText"/>
    <w:pPr>
      <w:keepNext/>
      <w:spacing w:before="240" w:after="120"/>
    </w:pPr>
    <w:rPr>
      <w:rFonts w:ascii="Liberation Sans" w:eastAsia="DejaVu Sans" w:hAnsi="Liberation Sans" w:cs="Lohit Hindi"/>
      <w:sz w:val="28"/>
      <w:szCs w:val="28"/>
    </w:rPr>
  </w:style>
  <w:style w:type="paragraph" w:styleId="BodyText">
    <w:name w:val="Body Text"/>
    <w:basedOn w:val="Normal"/>
    <w:pPr>
      <w:spacing w:after="120"/>
    </w:p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sz w:val="24"/>
      <w:szCs w:val="24"/>
    </w:rPr>
  </w:style>
  <w:style w:type="paragraph" w:customStyle="1" w:styleId="Index">
    <w:name w:val="Index"/>
    <w:basedOn w:val="Normal"/>
    <w:pPr>
      <w:suppressLineNumbers/>
    </w:pPr>
    <w:rPr>
      <w:rFonts w:cs="Lohit Hindi"/>
    </w:rPr>
  </w:style>
  <w:style w:type="paragraph" w:customStyle="1" w:styleId="intro">
    <w:name w:val="intro"/>
    <w:basedOn w:val="Normal"/>
    <w:pPr>
      <w:spacing w:before="280" w:after="280" w:line="240" w:lineRule="auto"/>
    </w:pPr>
    <w:rPr>
      <w:rFonts w:ascii="Times New Roman" w:eastAsia="Calibri" w:hAnsi="Times New Roman"/>
      <w:sz w:val="24"/>
      <w:szCs w:val="24"/>
    </w:rPr>
  </w:style>
  <w:style w:type="paragraph" w:styleId="NormalWeb">
    <w:name w:val="Normal (Web)"/>
    <w:basedOn w:val="Normal"/>
    <w:pPr>
      <w:spacing w:before="280" w:after="280" w:line="240" w:lineRule="auto"/>
    </w:pPr>
    <w:rPr>
      <w:rFonts w:ascii="Times New Roman" w:eastAsia="Calibri" w:hAnsi="Times New Roman"/>
      <w:sz w:val="24"/>
      <w:szCs w:val="24"/>
    </w:rPr>
  </w:style>
  <w:style w:type="paragraph" w:styleId="BalloonText">
    <w:name w:val="Balloon Text"/>
    <w:basedOn w:val="Normal"/>
    <w:pPr>
      <w:spacing w:after="0" w:line="240" w:lineRule="auto"/>
    </w:pPr>
    <w:rPr>
      <w:rFonts w:ascii="Tahoma" w:hAnsi="Tahoma" w:cs="Tahoma"/>
      <w:sz w:val="16"/>
      <w:szCs w:val="16"/>
    </w:rPr>
  </w:style>
  <w:style w:type="paragraph" w:styleId="Header">
    <w:name w:val="header"/>
    <w:basedOn w:val="Normal"/>
    <w:pPr>
      <w:tabs>
        <w:tab w:val="center" w:pos="4513"/>
        <w:tab w:val="right" w:pos="9026"/>
      </w:tabs>
      <w:spacing w:after="0" w:line="240" w:lineRule="auto"/>
    </w:pPr>
  </w:style>
  <w:style w:type="paragraph" w:styleId="Footer">
    <w:name w:val="footer"/>
    <w:basedOn w:val="Normal"/>
    <w:pPr>
      <w:tabs>
        <w:tab w:val="center" w:pos="4513"/>
        <w:tab w:val="right" w:pos="9026"/>
      </w:tabs>
      <w:spacing w:after="0" w:line="240" w:lineRule="auto"/>
    </w:pPr>
  </w:style>
  <w:style w:type="paragraph" w:styleId="DocumentMap">
    <w:name w:val="Document Map"/>
    <w:basedOn w:val="Normal"/>
    <w:pPr>
      <w:shd w:val="clear" w:color="auto" w:fill="000080"/>
    </w:pPr>
    <w:rPr>
      <w:rFonts w:ascii="Tahoma" w:hAnsi="Tahoma" w:cs="Tahoma"/>
      <w:sz w:val="20"/>
      <w:szCs w:val="20"/>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FootnoteText">
    <w:name w:val="footnote text"/>
    <w:basedOn w:val="Normal"/>
    <w:rPr>
      <w:sz w:val="24"/>
      <w:szCs w:val="24"/>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Revision">
    <w:name w:val="Revision"/>
    <w:hidden/>
    <w:uiPriority w:val="99"/>
    <w:semiHidden/>
    <w:rsid w:val="00724D6A"/>
    <w:rPr>
      <w:rFonts w:ascii="Calibri" w:hAnsi="Calibri"/>
      <w:sz w:val="22"/>
      <w:szCs w:val="22"/>
      <w:lang w:val="en-NZ"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hAnsi="Calibri"/>
      <w:sz w:val="22"/>
      <w:szCs w:val="22"/>
      <w:lang w:val="en-NZ" w:eastAsia="zh-CN"/>
    </w:rPr>
  </w:style>
  <w:style w:type="paragraph" w:styleId="Heading2">
    <w:name w:val="heading 2"/>
    <w:basedOn w:val="Normal"/>
    <w:next w:val="BodyText"/>
    <w:qFormat/>
    <w:pPr>
      <w:numPr>
        <w:ilvl w:val="1"/>
        <w:numId w:val="1"/>
      </w:numPr>
      <w:spacing w:before="280" w:after="280" w:line="240" w:lineRule="auto"/>
      <w:outlineLvl w:val="1"/>
    </w:pPr>
    <w:rPr>
      <w:rFonts w:ascii="Times New Roman" w:eastAsia="Calibri" w:hAnsi="Times New Roman"/>
      <w:b/>
      <w:bCs/>
      <w:sz w:val="36"/>
      <w:szCs w:val="36"/>
    </w:rPr>
  </w:style>
  <w:style w:type="paragraph" w:styleId="Heading4">
    <w:name w:val="heading 4"/>
    <w:basedOn w:val="Normal"/>
    <w:next w:val="Normal"/>
    <w:qFormat/>
    <w:pPr>
      <w:keepNext/>
      <w:keepLines/>
      <w:numPr>
        <w:ilvl w:val="3"/>
        <w:numId w:val="1"/>
      </w:numPr>
      <w:spacing w:before="200" w:after="0"/>
      <w:outlineLvl w:val="3"/>
    </w:pPr>
    <w:rPr>
      <w:rFonts w:ascii="Cambria" w:eastAsia="Calibri" w:hAnsi="Cambria" w:cs="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Heading2Char">
    <w:name w:val="Heading 2 Char"/>
    <w:rPr>
      <w:rFonts w:ascii="Times New Roman" w:hAnsi="Times New Roman" w:cs="Times New Roman"/>
      <w:b/>
      <w:bCs/>
      <w:sz w:val="36"/>
      <w:szCs w:val="36"/>
      <w:lang w:val="x-none"/>
    </w:rPr>
  </w:style>
  <w:style w:type="character" w:customStyle="1" w:styleId="Heading4Char">
    <w:name w:val="Heading 4 Char"/>
    <w:rPr>
      <w:rFonts w:ascii="Cambria" w:hAnsi="Cambria" w:cs="Times New Roman"/>
      <w:b/>
      <w:bCs/>
      <w:i/>
      <w:iCs/>
      <w:color w:val="4F81BD"/>
    </w:rPr>
  </w:style>
  <w:style w:type="character" w:styleId="Hyperlink">
    <w:name w:val="Hyperlink"/>
    <w:rPr>
      <w:rFonts w:cs="Times New Roman"/>
      <w:color w:val="0000FF"/>
      <w:u w:val="single"/>
    </w:rPr>
  </w:style>
  <w:style w:type="character" w:customStyle="1" w:styleId="BalloonTextChar">
    <w:name w:val="Balloon Text Char"/>
    <w:rPr>
      <w:rFonts w:ascii="Tahoma" w:hAnsi="Tahoma" w:cs="Tahoma"/>
      <w:sz w:val="16"/>
      <w:szCs w:val="16"/>
    </w:rPr>
  </w:style>
  <w:style w:type="character" w:customStyle="1" w:styleId="HeaderChar">
    <w:name w:val="Header Char"/>
    <w:rPr>
      <w:rFonts w:cs="Times New Roman"/>
    </w:rPr>
  </w:style>
  <w:style w:type="character" w:customStyle="1" w:styleId="FooterChar">
    <w:name w:val="Footer Char"/>
    <w:rPr>
      <w:rFonts w:cs="Times New Roman"/>
    </w:rPr>
  </w:style>
  <w:style w:type="character" w:customStyle="1" w:styleId="DocumentMapChar">
    <w:name w:val="Document Map Char"/>
    <w:rPr>
      <w:rFonts w:ascii="Times New Roman" w:hAnsi="Times New Roman" w:cs="Times New Roman"/>
      <w:sz w:val="2"/>
      <w:lang w:val="x-none"/>
    </w:rPr>
  </w:style>
  <w:style w:type="character" w:styleId="CommentReference">
    <w:name w:val="annotation reference"/>
    <w:rPr>
      <w:sz w:val="16"/>
      <w:szCs w:val="16"/>
    </w:rPr>
  </w:style>
  <w:style w:type="character" w:customStyle="1" w:styleId="FootnoteTextChar">
    <w:name w:val="Footnote Text Char"/>
    <w:rPr>
      <w:rFonts w:eastAsia="Times New Roman"/>
      <w:sz w:val="24"/>
      <w:szCs w:val="24"/>
      <w:lang w:val="en-NZ"/>
    </w:rPr>
  </w:style>
  <w:style w:type="character" w:customStyle="1" w:styleId="FootnoteCharacters">
    <w:name w:val="Footnote Characters"/>
    <w:rPr>
      <w:vertAlign w:val="superscript"/>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EndnoteCharacters">
    <w:name w:val="Endnote Characters"/>
  </w:style>
  <w:style w:type="paragraph" w:customStyle="1" w:styleId="Heading">
    <w:name w:val="Heading"/>
    <w:basedOn w:val="Normal"/>
    <w:next w:val="BodyText"/>
    <w:pPr>
      <w:keepNext/>
      <w:spacing w:before="240" w:after="120"/>
    </w:pPr>
    <w:rPr>
      <w:rFonts w:ascii="Liberation Sans" w:eastAsia="DejaVu Sans" w:hAnsi="Liberation Sans" w:cs="Lohit Hindi"/>
      <w:sz w:val="28"/>
      <w:szCs w:val="28"/>
    </w:rPr>
  </w:style>
  <w:style w:type="paragraph" w:styleId="BodyText">
    <w:name w:val="Body Text"/>
    <w:basedOn w:val="Normal"/>
    <w:pPr>
      <w:spacing w:after="120"/>
    </w:p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sz w:val="24"/>
      <w:szCs w:val="24"/>
    </w:rPr>
  </w:style>
  <w:style w:type="paragraph" w:customStyle="1" w:styleId="Index">
    <w:name w:val="Index"/>
    <w:basedOn w:val="Normal"/>
    <w:pPr>
      <w:suppressLineNumbers/>
    </w:pPr>
    <w:rPr>
      <w:rFonts w:cs="Lohit Hindi"/>
    </w:rPr>
  </w:style>
  <w:style w:type="paragraph" w:customStyle="1" w:styleId="intro">
    <w:name w:val="intro"/>
    <w:basedOn w:val="Normal"/>
    <w:pPr>
      <w:spacing w:before="280" w:after="280" w:line="240" w:lineRule="auto"/>
    </w:pPr>
    <w:rPr>
      <w:rFonts w:ascii="Times New Roman" w:eastAsia="Calibri" w:hAnsi="Times New Roman"/>
      <w:sz w:val="24"/>
      <w:szCs w:val="24"/>
    </w:rPr>
  </w:style>
  <w:style w:type="paragraph" w:styleId="NormalWeb">
    <w:name w:val="Normal (Web)"/>
    <w:basedOn w:val="Normal"/>
    <w:pPr>
      <w:spacing w:before="280" w:after="280" w:line="240" w:lineRule="auto"/>
    </w:pPr>
    <w:rPr>
      <w:rFonts w:ascii="Times New Roman" w:eastAsia="Calibri" w:hAnsi="Times New Roman"/>
      <w:sz w:val="24"/>
      <w:szCs w:val="24"/>
    </w:rPr>
  </w:style>
  <w:style w:type="paragraph" w:styleId="BalloonText">
    <w:name w:val="Balloon Text"/>
    <w:basedOn w:val="Normal"/>
    <w:pPr>
      <w:spacing w:after="0" w:line="240" w:lineRule="auto"/>
    </w:pPr>
    <w:rPr>
      <w:rFonts w:ascii="Tahoma" w:hAnsi="Tahoma" w:cs="Tahoma"/>
      <w:sz w:val="16"/>
      <w:szCs w:val="16"/>
    </w:rPr>
  </w:style>
  <w:style w:type="paragraph" w:styleId="Header">
    <w:name w:val="header"/>
    <w:basedOn w:val="Normal"/>
    <w:pPr>
      <w:tabs>
        <w:tab w:val="center" w:pos="4513"/>
        <w:tab w:val="right" w:pos="9026"/>
      </w:tabs>
      <w:spacing w:after="0" w:line="240" w:lineRule="auto"/>
    </w:pPr>
  </w:style>
  <w:style w:type="paragraph" w:styleId="Footer">
    <w:name w:val="footer"/>
    <w:basedOn w:val="Normal"/>
    <w:pPr>
      <w:tabs>
        <w:tab w:val="center" w:pos="4513"/>
        <w:tab w:val="right" w:pos="9026"/>
      </w:tabs>
      <w:spacing w:after="0" w:line="240" w:lineRule="auto"/>
    </w:pPr>
  </w:style>
  <w:style w:type="paragraph" w:styleId="DocumentMap">
    <w:name w:val="Document Map"/>
    <w:basedOn w:val="Normal"/>
    <w:pPr>
      <w:shd w:val="clear" w:color="auto" w:fill="000080"/>
    </w:pPr>
    <w:rPr>
      <w:rFonts w:ascii="Tahoma" w:hAnsi="Tahoma" w:cs="Tahoma"/>
      <w:sz w:val="20"/>
      <w:szCs w:val="20"/>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FootnoteText">
    <w:name w:val="footnote text"/>
    <w:basedOn w:val="Normal"/>
    <w:rPr>
      <w:sz w:val="24"/>
      <w:szCs w:val="24"/>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Revision">
    <w:name w:val="Revision"/>
    <w:hidden/>
    <w:uiPriority w:val="99"/>
    <w:semiHidden/>
    <w:rsid w:val="00724D6A"/>
    <w:rPr>
      <w:rFonts w:ascii="Calibri" w:hAnsi="Calibri"/>
      <w:sz w:val="22"/>
      <w:szCs w:val="22"/>
      <w:lang w:val="en-NZ"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860382">
      <w:bodyDiv w:val="1"/>
      <w:marLeft w:val="0"/>
      <w:marRight w:val="0"/>
      <w:marTop w:val="0"/>
      <w:marBottom w:val="0"/>
      <w:divBdr>
        <w:top w:val="none" w:sz="0" w:space="0" w:color="auto"/>
        <w:left w:val="none" w:sz="0" w:space="0" w:color="auto"/>
        <w:bottom w:val="none" w:sz="0" w:space="0" w:color="auto"/>
        <w:right w:val="none" w:sz="0" w:space="0" w:color="auto"/>
      </w:divBdr>
    </w:div>
    <w:div w:id="1236430610">
      <w:bodyDiv w:val="1"/>
      <w:marLeft w:val="0"/>
      <w:marRight w:val="0"/>
      <w:marTop w:val="0"/>
      <w:marBottom w:val="0"/>
      <w:divBdr>
        <w:top w:val="none" w:sz="0" w:space="0" w:color="auto"/>
        <w:left w:val="none" w:sz="0" w:space="0" w:color="auto"/>
        <w:bottom w:val="none" w:sz="0" w:space="0" w:color="auto"/>
        <w:right w:val="none" w:sz="0" w:space="0" w:color="auto"/>
      </w:divBdr>
    </w:div>
    <w:div w:id="21130892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commentsExtended" Target="commentsExtended.xml"/><Relationship Id="rId30" Type="http://schemas.microsoft.com/office/2011/relationships/people" Target="peop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2785</Words>
  <Characters>15879</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Climate and weather organisations across the Pacific are predicting average or above average tropical cyclone activity for the 2010-11 season</vt:lpstr>
    </vt:vector>
  </TitlesOfParts>
  <Company>NIWA</Company>
  <LinksUpToDate>false</LinksUpToDate>
  <CharactersWithSpaces>18627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and weather organisations across the Pacific are predicting average or above average tropical cyclone activity for the 2010-11 season</dc:title>
  <dc:creator>Andrew Lorrey</dc:creator>
  <cp:lastModifiedBy>Drew Lorrey</cp:lastModifiedBy>
  <cp:revision>2</cp:revision>
  <cp:lastPrinted>2011-10-17T02:25:00Z</cp:lastPrinted>
  <dcterms:created xsi:type="dcterms:W3CDTF">2014-10-12T21:15:00Z</dcterms:created>
  <dcterms:modified xsi:type="dcterms:W3CDTF">2014-10-12T21:15:00Z</dcterms:modified>
</cp:coreProperties>
</file>