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5D" w:rsidRDefault="0044383F" w:rsidP="00B06AFD">
      <w:pPr>
        <w:pStyle w:val="Heading1"/>
      </w:pPr>
      <w:r>
        <w:t xml:space="preserve">Fact Sheet – </w:t>
      </w:r>
      <w:r w:rsidR="00A27677">
        <w:t>Capital Guarantees for KiwiSaver</w:t>
      </w:r>
      <w:r w:rsidR="00FE66E5">
        <w:t>s</w:t>
      </w:r>
      <w:r w:rsidR="00A27677">
        <w:t xml:space="preserve"> </w:t>
      </w:r>
      <w:r w:rsidR="00FA1E09">
        <w:t>Accounts</w:t>
      </w:r>
    </w:p>
    <w:p w:rsidR="007007B2" w:rsidRPr="007007B2" w:rsidRDefault="007007B2" w:rsidP="007007B2">
      <w:pPr>
        <w:pStyle w:val="BodyTex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134"/>
        <w:gridCol w:w="1134"/>
      </w:tblGrid>
      <w:tr w:rsidR="00B06AFD" w:rsidRPr="00B06AFD" w:rsidTr="003774E7">
        <w:tc>
          <w:tcPr>
            <w:tcW w:w="5098" w:type="dxa"/>
          </w:tcPr>
          <w:p w:rsidR="00B06AFD" w:rsidRPr="00B06AFD" w:rsidRDefault="00B06AFD" w:rsidP="00B06AFD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06AFD" w:rsidRPr="00B06AFD" w:rsidRDefault="00B06AFD" w:rsidP="00B06AFD">
            <w:pPr>
              <w:pStyle w:val="BodyText"/>
              <w:jc w:val="center"/>
              <w:rPr>
                <w:b/>
              </w:rPr>
            </w:pPr>
            <w:r w:rsidRPr="00B06AFD">
              <w:rPr>
                <w:b/>
              </w:rPr>
              <w:t>Conservative Fund</w:t>
            </w:r>
          </w:p>
        </w:tc>
        <w:tc>
          <w:tcPr>
            <w:tcW w:w="1134" w:type="dxa"/>
          </w:tcPr>
          <w:p w:rsidR="00B06AFD" w:rsidRPr="00B06AFD" w:rsidRDefault="00B06AFD" w:rsidP="00B06AFD">
            <w:pPr>
              <w:pStyle w:val="BodyText"/>
              <w:jc w:val="center"/>
              <w:rPr>
                <w:b/>
              </w:rPr>
            </w:pPr>
            <w:r w:rsidRPr="00B06AFD">
              <w:rPr>
                <w:b/>
              </w:rPr>
              <w:t>Balanced Fund</w:t>
            </w:r>
          </w:p>
        </w:tc>
        <w:tc>
          <w:tcPr>
            <w:tcW w:w="1134" w:type="dxa"/>
          </w:tcPr>
          <w:p w:rsidR="00B06AFD" w:rsidRPr="00B06AFD" w:rsidRDefault="00B06AFD" w:rsidP="00B06AFD">
            <w:pPr>
              <w:pStyle w:val="BodyText"/>
              <w:jc w:val="center"/>
              <w:rPr>
                <w:b/>
              </w:rPr>
            </w:pPr>
            <w:r w:rsidRPr="00B06AFD">
              <w:rPr>
                <w:b/>
              </w:rPr>
              <w:t>Growth Fund</w:t>
            </w:r>
          </w:p>
        </w:tc>
      </w:tr>
      <w:tr w:rsidR="00B06AFD" w:rsidTr="003774E7">
        <w:tc>
          <w:tcPr>
            <w:tcW w:w="5098" w:type="dxa"/>
          </w:tcPr>
          <w:p w:rsidR="00B06AFD" w:rsidRDefault="00B06AFD" w:rsidP="00B06AFD">
            <w:pPr>
              <w:pStyle w:val="BodyText"/>
            </w:pPr>
            <w:r>
              <w:t xml:space="preserve">Morningstar average </w:t>
            </w:r>
            <w:r w:rsidR="006A2BBE">
              <w:t xml:space="preserve">annual </w:t>
            </w:r>
            <w:r>
              <w:t>earnings projections after tax and fees (2013)</w:t>
            </w:r>
          </w:p>
        </w:tc>
        <w:tc>
          <w:tcPr>
            <w:tcW w:w="1418" w:type="dxa"/>
          </w:tcPr>
          <w:p w:rsidR="00B06AFD" w:rsidRDefault="00B06AFD" w:rsidP="00B06AFD">
            <w:pPr>
              <w:pStyle w:val="BodyText"/>
              <w:jc w:val="right"/>
            </w:pPr>
            <w:r>
              <w:t>4.0%</w:t>
            </w:r>
          </w:p>
        </w:tc>
        <w:tc>
          <w:tcPr>
            <w:tcW w:w="1134" w:type="dxa"/>
          </w:tcPr>
          <w:p w:rsidR="00B06AFD" w:rsidRDefault="00B06AFD" w:rsidP="00B06AFD">
            <w:pPr>
              <w:pStyle w:val="BodyText"/>
              <w:jc w:val="right"/>
            </w:pPr>
            <w:r>
              <w:t>6.0%</w:t>
            </w:r>
          </w:p>
        </w:tc>
        <w:tc>
          <w:tcPr>
            <w:tcW w:w="1134" w:type="dxa"/>
          </w:tcPr>
          <w:p w:rsidR="00B06AFD" w:rsidRDefault="00B06AFD" w:rsidP="00B06AFD">
            <w:pPr>
              <w:pStyle w:val="BodyText"/>
              <w:jc w:val="right"/>
            </w:pPr>
            <w:r>
              <w:t>6.6%</w:t>
            </w:r>
          </w:p>
        </w:tc>
      </w:tr>
      <w:tr w:rsidR="00B06AFD" w:rsidTr="003774E7">
        <w:tc>
          <w:tcPr>
            <w:tcW w:w="5098" w:type="dxa"/>
          </w:tcPr>
          <w:p w:rsidR="00B06AFD" w:rsidRDefault="00B06AFD" w:rsidP="00B06AFD">
            <w:pPr>
              <w:pStyle w:val="BodyText"/>
            </w:pPr>
            <w:r>
              <w:t>Contribution rate required to fund a comfortable retirement at 2 times NZ Super for someone at the top end of decile 2 for annual income ($3</w:t>
            </w:r>
            <w:r w:rsidR="006A2BBE">
              <w:t>0</w:t>
            </w:r>
            <w:r>
              <w:t>,300 in 2013 a little more than the minimum wage at $28,200 in 2013) with FSC proposed KiwiSaver fund tax rates in place.</w:t>
            </w:r>
            <w:r w:rsidR="0044383F">
              <w:t xml:space="preserve">  Average wage (mean in 2013) $56,400</w:t>
            </w:r>
          </w:p>
        </w:tc>
        <w:tc>
          <w:tcPr>
            <w:tcW w:w="1418" w:type="dxa"/>
          </w:tcPr>
          <w:p w:rsidR="00B06AFD" w:rsidRDefault="00B06AFD" w:rsidP="00B06AFD">
            <w:pPr>
              <w:pStyle w:val="BodyText"/>
              <w:jc w:val="right"/>
            </w:pPr>
            <w:r>
              <w:t>13.1%</w:t>
            </w:r>
            <w:r w:rsidR="003D5E57">
              <w:t>*</w:t>
            </w:r>
          </w:p>
        </w:tc>
        <w:tc>
          <w:tcPr>
            <w:tcW w:w="1134" w:type="dxa"/>
          </w:tcPr>
          <w:p w:rsidR="00B06AFD" w:rsidRDefault="00B06AFD" w:rsidP="00B06AFD">
            <w:pPr>
              <w:pStyle w:val="BodyText"/>
              <w:jc w:val="right"/>
            </w:pPr>
            <w:r>
              <w:t>7.6%</w:t>
            </w:r>
          </w:p>
        </w:tc>
        <w:tc>
          <w:tcPr>
            <w:tcW w:w="1134" w:type="dxa"/>
          </w:tcPr>
          <w:p w:rsidR="00B06AFD" w:rsidRDefault="00B06AFD" w:rsidP="00B06AFD">
            <w:pPr>
              <w:pStyle w:val="BodyText"/>
              <w:jc w:val="right"/>
            </w:pPr>
            <w:r>
              <w:t>6.1%</w:t>
            </w:r>
          </w:p>
        </w:tc>
      </w:tr>
    </w:tbl>
    <w:p w:rsidR="00B06AFD" w:rsidRDefault="006A2BBE" w:rsidP="00B06AFD">
      <w:pPr>
        <w:pStyle w:val="BodyText"/>
      </w:pPr>
      <w:r>
        <w:t>* With current KiwiSaver fund tax rates.</w:t>
      </w:r>
    </w:p>
    <w:p w:rsidR="006A2BBE" w:rsidRDefault="006A2BBE" w:rsidP="00B06AFD">
      <w:pPr>
        <w:pStyle w:val="BodyText"/>
      </w:pPr>
    </w:p>
    <w:p w:rsidR="0044383F" w:rsidRDefault="0044383F" w:rsidP="00B06AFD">
      <w:pPr>
        <w:pStyle w:val="BodyText"/>
        <w:rPr>
          <w:b/>
        </w:rPr>
      </w:pPr>
      <w:r>
        <w:rPr>
          <w:b/>
        </w:rPr>
        <w:t>C</w:t>
      </w:r>
      <w:r w:rsidRPr="0044383F">
        <w:rPr>
          <w:b/>
        </w:rPr>
        <w:t>ost and benefits of guarantees and moving to higher earning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007B2" w:rsidTr="007007B2">
        <w:tc>
          <w:tcPr>
            <w:tcW w:w="2254" w:type="dxa"/>
          </w:tcPr>
          <w:p w:rsidR="007007B2" w:rsidRDefault="007007B2" w:rsidP="00B06AFD">
            <w:pPr>
              <w:pStyle w:val="BodyText"/>
              <w:rPr>
                <w:b/>
              </w:rPr>
            </w:pPr>
            <w:r>
              <w:t>Additional savings at age 65 by being in a balanced rather than conservative KiwiSaver fund for someone on the average (mean) wage contributing 7.6% of income</w:t>
            </w:r>
          </w:p>
        </w:tc>
        <w:tc>
          <w:tcPr>
            <w:tcW w:w="2254" w:type="dxa"/>
          </w:tcPr>
          <w:p w:rsidR="007007B2" w:rsidRDefault="007007B2" w:rsidP="00B06AFD">
            <w:pPr>
              <w:pStyle w:val="BodyText"/>
              <w:rPr>
                <w:b/>
              </w:rPr>
            </w:pPr>
          </w:p>
          <w:p w:rsidR="007007B2" w:rsidRDefault="007007B2" w:rsidP="00B06AFD">
            <w:pPr>
              <w:pStyle w:val="BodyText"/>
              <w:rPr>
                <w:b/>
              </w:rPr>
            </w:pPr>
          </w:p>
          <w:p w:rsidR="007007B2" w:rsidRPr="007007B2" w:rsidRDefault="007007B2" w:rsidP="007007B2">
            <w:pPr>
              <w:pStyle w:val="BodyText"/>
              <w:jc w:val="center"/>
            </w:pPr>
            <w:r>
              <w:t>$170,1</w:t>
            </w:r>
            <w:r w:rsidRPr="007007B2">
              <w:t>00</w:t>
            </w:r>
          </w:p>
        </w:tc>
        <w:tc>
          <w:tcPr>
            <w:tcW w:w="2254" w:type="dxa"/>
          </w:tcPr>
          <w:p w:rsidR="007007B2" w:rsidRDefault="007007B2" w:rsidP="007007B2">
            <w:pPr>
              <w:pStyle w:val="BodyText"/>
              <w:jc w:val="center"/>
            </w:pPr>
            <w:r w:rsidRPr="007007B2">
              <w:t xml:space="preserve">Lump sum cost of a </w:t>
            </w:r>
            <w:r w:rsidR="006A2BBE">
              <w:t xml:space="preserve">KiwiSaver </w:t>
            </w:r>
            <w:r w:rsidRPr="007007B2">
              <w:t>retirement guarantee for a balanced fund</w:t>
            </w:r>
          </w:p>
          <w:p w:rsidR="007007B2" w:rsidRDefault="007007B2" w:rsidP="007007B2">
            <w:pPr>
              <w:pStyle w:val="BodyText"/>
              <w:jc w:val="center"/>
            </w:pPr>
          </w:p>
          <w:p w:rsidR="007007B2" w:rsidRDefault="007007B2" w:rsidP="007007B2">
            <w:pPr>
              <w:pStyle w:val="BodyText"/>
              <w:jc w:val="center"/>
            </w:pPr>
            <w:r>
              <w:t>$2099</w:t>
            </w:r>
          </w:p>
          <w:p w:rsidR="007007B2" w:rsidRDefault="007007B2" w:rsidP="007007B2">
            <w:pPr>
              <w:pStyle w:val="BodyText"/>
              <w:jc w:val="center"/>
            </w:pPr>
          </w:p>
          <w:p w:rsidR="007007B2" w:rsidRDefault="007007B2" w:rsidP="007007B2">
            <w:pPr>
              <w:pStyle w:val="BodyText"/>
              <w:jc w:val="center"/>
            </w:pPr>
            <w:r>
              <w:t>Cost expressed or an additional annual contribution rate paid over 40 years</w:t>
            </w:r>
          </w:p>
          <w:p w:rsidR="007007B2" w:rsidRDefault="007007B2" w:rsidP="007007B2">
            <w:pPr>
              <w:pStyle w:val="BodyText"/>
              <w:jc w:val="center"/>
            </w:pPr>
          </w:p>
          <w:p w:rsidR="007007B2" w:rsidRPr="007007B2" w:rsidRDefault="007007B2" w:rsidP="007007B2">
            <w:pPr>
              <w:pStyle w:val="BodyText"/>
              <w:jc w:val="center"/>
            </w:pPr>
            <w:r>
              <w:t>0.114%</w:t>
            </w:r>
          </w:p>
        </w:tc>
        <w:tc>
          <w:tcPr>
            <w:tcW w:w="2254" w:type="dxa"/>
          </w:tcPr>
          <w:p w:rsidR="007007B2" w:rsidRDefault="007007B2" w:rsidP="007007B2">
            <w:pPr>
              <w:pStyle w:val="BodyText"/>
              <w:jc w:val="center"/>
            </w:pPr>
            <w:r>
              <w:t xml:space="preserve">Lump sum cost of a </w:t>
            </w:r>
            <w:r w:rsidR="006A2BBE">
              <w:t xml:space="preserve">KiwiSaver </w:t>
            </w:r>
            <w:r>
              <w:t>First Home Deposit Guarantee for a balanced fund</w:t>
            </w:r>
          </w:p>
          <w:p w:rsidR="006A2BBE" w:rsidRDefault="006A2BBE" w:rsidP="007007B2">
            <w:pPr>
              <w:pStyle w:val="BodyText"/>
              <w:jc w:val="center"/>
            </w:pPr>
          </w:p>
          <w:p w:rsidR="007007B2" w:rsidRDefault="007007B2" w:rsidP="007007B2">
            <w:pPr>
              <w:pStyle w:val="BodyText"/>
              <w:jc w:val="center"/>
            </w:pPr>
            <w:r>
              <w:t>$700</w:t>
            </w:r>
          </w:p>
          <w:p w:rsidR="007007B2" w:rsidRDefault="007007B2" w:rsidP="007007B2">
            <w:pPr>
              <w:pStyle w:val="BodyText"/>
              <w:jc w:val="center"/>
            </w:pPr>
          </w:p>
          <w:p w:rsidR="007007B2" w:rsidRDefault="007007B2" w:rsidP="007007B2">
            <w:pPr>
              <w:pStyle w:val="BodyText"/>
              <w:jc w:val="center"/>
            </w:pPr>
            <w:r>
              <w:t>Cost expressed as an additional annual contribution rate paid over 20 years</w:t>
            </w:r>
          </w:p>
          <w:p w:rsidR="007007B2" w:rsidRDefault="007007B2" w:rsidP="007007B2">
            <w:pPr>
              <w:pStyle w:val="BodyText"/>
              <w:jc w:val="center"/>
            </w:pPr>
          </w:p>
          <w:p w:rsidR="007007B2" w:rsidRDefault="007007B2" w:rsidP="007007B2">
            <w:pPr>
              <w:pStyle w:val="BodyText"/>
              <w:jc w:val="center"/>
              <w:rPr>
                <w:b/>
              </w:rPr>
            </w:pPr>
            <w:r>
              <w:t>0.05%</w:t>
            </w:r>
          </w:p>
        </w:tc>
      </w:tr>
      <w:tr w:rsidR="007007B2" w:rsidTr="007007B2">
        <w:tc>
          <w:tcPr>
            <w:tcW w:w="2254" w:type="dxa"/>
          </w:tcPr>
          <w:p w:rsidR="007007B2" w:rsidRDefault="007007B2" w:rsidP="00B06AFD">
            <w:pPr>
              <w:pStyle w:val="BodyText"/>
              <w:rPr>
                <w:b/>
              </w:rPr>
            </w:pPr>
            <w:r>
              <w:t>Additional savings at age 65 by being in a growth rather than conservative fund for someone on the average (mean) wage contributing 6.1% of income</w:t>
            </w:r>
          </w:p>
        </w:tc>
        <w:tc>
          <w:tcPr>
            <w:tcW w:w="2254" w:type="dxa"/>
          </w:tcPr>
          <w:p w:rsidR="007007B2" w:rsidRDefault="007007B2" w:rsidP="00B06AFD">
            <w:pPr>
              <w:pStyle w:val="BodyText"/>
            </w:pPr>
          </w:p>
          <w:p w:rsidR="007007B2" w:rsidRDefault="007007B2" w:rsidP="00B06AFD">
            <w:pPr>
              <w:pStyle w:val="BodyText"/>
            </w:pPr>
          </w:p>
          <w:p w:rsidR="007007B2" w:rsidRDefault="007007B2" w:rsidP="007007B2">
            <w:pPr>
              <w:pStyle w:val="BodyText"/>
              <w:jc w:val="center"/>
              <w:rPr>
                <w:b/>
              </w:rPr>
            </w:pPr>
            <w:r>
              <w:t>$222,500</w:t>
            </w:r>
          </w:p>
        </w:tc>
        <w:tc>
          <w:tcPr>
            <w:tcW w:w="2254" w:type="dxa"/>
          </w:tcPr>
          <w:p w:rsidR="007007B2" w:rsidRDefault="007007B2" w:rsidP="007007B2">
            <w:pPr>
              <w:pStyle w:val="BodyText"/>
              <w:jc w:val="center"/>
            </w:pPr>
            <w:r>
              <w:t xml:space="preserve">Lump sum cost of a </w:t>
            </w:r>
            <w:r w:rsidR="006A2BBE">
              <w:t xml:space="preserve">KiwiSaver </w:t>
            </w:r>
            <w:r>
              <w:t>Retirement Guarantee for a growth fund</w:t>
            </w:r>
          </w:p>
          <w:p w:rsidR="007007B2" w:rsidRDefault="007007B2" w:rsidP="007007B2">
            <w:pPr>
              <w:pStyle w:val="BodyText"/>
              <w:jc w:val="center"/>
            </w:pPr>
          </w:p>
          <w:p w:rsidR="007007B2" w:rsidRDefault="007007B2" w:rsidP="007007B2">
            <w:pPr>
              <w:pStyle w:val="BodyText"/>
              <w:jc w:val="center"/>
            </w:pPr>
            <w:r>
              <w:t>$2395</w:t>
            </w:r>
          </w:p>
          <w:p w:rsidR="007007B2" w:rsidRDefault="007007B2" w:rsidP="007007B2">
            <w:pPr>
              <w:pStyle w:val="BodyText"/>
              <w:jc w:val="center"/>
            </w:pPr>
          </w:p>
          <w:p w:rsidR="007007B2" w:rsidRDefault="007007B2" w:rsidP="007007B2">
            <w:pPr>
              <w:pStyle w:val="BodyText"/>
              <w:jc w:val="center"/>
            </w:pPr>
            <w:r>
              <w:t xml:space="preserve">Cost expressed as an additional </w:t>
            </w:r>
            <w:r w:rsidR="006A2BBE">
              <w:t xml:space="preserve">annual </w:t>
            </w:r>
            <w:r>
              <w:t>contribution rate</w:t>
            </w:r>
            <w:r w:rsidR="006A2BBE">
              <w:t xml:space="preserve"> over 40 years</w:t>
            </w:r>
          </w:p>
          <w:p w:rsidR="007007B2" w:rsidRDefault="007007B2" w:rsidP="007007B2">
            <w:pPr>
              <w:pStyle w:val="BodyText"/>
              <w:jc w:val="center"/>
            </w:pPr>
          </w:p>
          <w:p w:rsidR="007007B2" w:rsidRDefault="007007B2" w:rsidP="007007B2">
            <w:pPr>
              <w:pStyle w:val="BodyText"/>
              <w:jc w:val="center"/>
              <w:rPr>
                <w:b/>
              </w:rPr>
            </w:pPr>
            <w:r>
              <w:t>0.122%</w:t>
            </w:r>
          </w:p>
        </w:tc>
        <w:tc>
          <w:tcPr>
            <w:tcW w:w="2254" w:type="dxa"/>
          </w:tcPr>
          <w:p w:rsidR="007007B2" w:rsidRDefault="007007B2" w:rsidP="007007B2">
            <w:pPr>
              <w:pStyle w:val="BodyText"/>
              <w:jc w:val="center"/>
            </w:pPr>
            <w:r>
              <w:t xml:space="preserve">Lump sum cost of a </w:t>
            </w:r>
            <w:r w:rsidR="006A2BBE">
              <w:t xml:space="preserve">KiwiSaver </w:t>
            </w:r>
            <w:r>
              <w:t>First Home Deposit Guarantee for a growth fund</w:t>
            </w:r>
          </w:p>
          <w:p w:rsidR="003D5E57" w:rsidRDefault="003D5E57" w:rsidP="007007B2">
            <w:pPr>
              <w:pStyle w:val="BodyText"/>
              <w:jc w:val="center"/>
            </w:pPr>
          </w:p>
          <w:p w:rsidR="007007B2" w:rsidRDefault="007007B2" w:rsidP="007007B2">
            <w:pPr>
              <w:pStyle w:val="BodyText"/>
              <w:jc w:val="center"/>
            </w:pPr>
            <w:r>
              <w:t>$1,070</w:t>
            </w:r>
          </w:p>
          <w:p w:rsidR="007007B2" w:rsidRDefault="007007B2" w:rsidP="00B06AFD">
            <w:pPr>
              <w:pStyle w:val="BodyText"/>
              <w:rPr>
                <w:b/>
              </w:rPr>
            </w:pPr>
          </w:p>
          <w:p w:rsidR="006A2BBE" w:rsidRDefault="007007B2" w:rsidP="007007B2">
            <w:pPr>
              <w:pStyle w:val="BodyText"/>
              <w:jc w:val="center"/>
            </w:pPr>
            <w:r w:rsidRPr="00565998">
              <w:t xml:space="preserve">Cost expressed as an additional </w:t>
            </w:r>
            <w:r w:rsidR="006A2BBE">
              <w:t xml:space="preserve">annual </w:t>
            </w:r>
            <w:r w:rsidRPr="00565998">
              <w:t xml:space="preserve">contribution rate </w:t>
            </w:r>
            <w:r w:rsidR="006A2BBE">
              <w:t>over 20 years</w:t>
            </w:r>
          </w:p>
          <w:p w:rsidR="006A2BBE" w:rsidRDefault="006A2BBE" w:rsidP="007007B2">
            <w:pPr>
              <w:pStyle w:val="BodyText"/>
              <w:jc w:val="center"/>
            </w:pPr>
          </w:p>
          <w:p w:rsidR="007007B2" w:rsidRPr="00565998" w:rsidRDefault="007007B2" w:rsidP="007007B2">
            <w:pPr>
              <w:pStyle w:val="BodyText"/>
              <w:jc w:val="center"/>
            </w:pPr>
            <w:r w:rsidRPr="00565998">
              <w:t>0.08%</w:t>
            </w:r>
          </w:p>
        </w:tc>
      </w:tr>
      <w:tr w:rsidR="007007B2" w:rsidTr="006A2BBE">
        <w:trPr>
          <w:trHeight w:val="1501"/>
        </w:trPr>
        <w:tc>
          <w:tcPr>
            <w:tcW w:w="2254" w:type="dxa"/>
          </w:tcPr>
          <w:p w:rsidR="007007B2" w:rsidRDefault="007007B2" w:rsidP="00B06AFD">
            <w:pPr>
              <w:pStyle w:val="BodyText"/>
              <w:rPr>
                <w:b/>
              </w:rPr>
            </w:pPr>
            <w:r>
              <w:t>Cost of a retirement guarantee required for a conservative fund KiwiSaver</w:t>
            </w:r>
          </w:p>
        </w:tc>
        <w:tc>
          <w:tcPr>
            <w:tcW w:w="2254" w:type="dxa"/>
          </w:tcPr>
          <w:p w:rsidR="007007B2" w:rsidRDefault="007007B2" w:rsidP="00B06AFD">
            <w:pPr>
              <w:pStyle w:val="BodyText"/>
              <w:rPr>
                <w:b/>
              </w:rPr>
            </w:pPr>
          </w:p>
        </w:tc>
        <w:tc>
          <w:tcPr>
            <w:tcW w:w="2254" w:type="dxa"/>
          </w:tcPr>
          <w:p w:rsidR="007007B2" w:rsidRDefault="006A2BBE" w:rsidP="007007B2">
            <w:pPr>
              <w:pStyle w:val="BodyText"/>
              <w:jc w:val="center"/>
            </w:pPr>
            <w:r>
              <w:t>Lump sum cost o</w:t>
            </w:r>
            <w:r w:rsidR="00A27677">
              <w:t>r</w:t>
            </w:r>
            <w:r>
              <w:t xml:space="preserve"> annual contribution </w:t>
            </w:r>
            <w:r w:rsidR="00A839AB">
              <w:t xml:space="preserve">rate </w:t>
            </w:r>
            <w:bookmarkStart w:id="0" w:name="_GoBack"/>
            <w:bookmarkEnd w:id="0"/>
            <w:r>
              <w:t>over 40 years</w:t>
            </w:r>
          </w:p>
          <w:p w:rsidR="006A2BBE" w:rsidRDefault="006A2BBE" w:rsidP="007007B2">
            <w:pPr>
              <w:pStyle w:val="BodyText"/>
              <w:jc w:val="center"/>
            </w:pPr>
          </w:p>
          <w:p w:rsidR="007007B2" w:rsidRDefault="007007B2" w:rsidP="007007B2">
            <w:pPr>
              <w:pStyle w:val="BodyText"/>
              <w:jc w:val="center"/>
            </w:pPr>
            <w:r>
              <w:t>$2035</w:t>
            </w:r>
          </w:p>
          <w:p w:rsidR="007007B2" w:rsidRDefault="007007B2" w:rsidP="007007B2">
            <w:pPr>
              <w:pStyle w:val="BodyText"/>
              <w:jc w:val="center"/>
              <w:rPr>
                <w:b/>
              </w:rPr>
            </w:pPr>
            <w:r>
              <w:t>or 0.125%</w:t>
            </w:r>
          </w:p>
        </w:tc>
        <w:tc>
          <w:tcPr>
            <w:tcW w:w="2254" w:type="dxa"/>
          </w:tcPr>
          <w:p w:rsidR="007007B2" w:rsidRPr="007007B2" w:rsidRDefault="007007B2" w:rsidP="007007B2">
            <w:pPr>
              <w:pStyle w:val="BodyText"/>
              <w:jc w:val="center"/>
            </w:pPr>
          </w:p>
          <w:p w:rsidR="007007B2" w:rsidRDefault="0088350D" w:rsidP="007007B2">
            <w:pPr>
              <w:pStyle w:val="BodyText"/>
              <w:jc w:val="center"/>
              <w:rPr>
                <w:b/>
              </w:rPr>
            </w:pPr>
            <w:r>
              <w:t>Not needed</w:t>
            </w:r>
          </w:p>
        </w:tc>
      </w:tr>
    </w:tbl>
    <w:p w:rsidR="007007B2" w:rsidRDefault="007007B2" w:rsidP="00B06AFD">
      <w:pPr>
        <w:pStyle w:val="BodyText"/>
        <w:rPr>
          <w:b/>
        </w:rPr>
      </w:pPr>
    </w:p>
    <w:p w:rsidR="00866A7F" w:rsidRDefault="00866A7F" w:rsidP="00B06AFD">
      <w:pPr>
        <w:pStyle w:val="BodyText"/>
      </w:pPr>
      <w:r>
        <w:t>Note: these are the “pure costs” of providing the Guarantee, a commercial provider would also seek a fee for the backup provided by their balance sheet.  A</w:t>
      </w:r>
      <w:r w:rsidR="003774E7">
        <w:t>lthough either the one off cost</w:t>
      </w:r>
      <w:r>
        <w:t xml:space="preserve"> fee or the increased contribution rate would cover the cost of the estimated losses in a bad year for financial markets</w:t>
      </w:r>
      <w:r w:rsidR="003774E7">
        <w:t>,</w:t>
      </w:r>
      <w:r>
        <w:t xml:space="preserve"> the guarantee provider cannot be sure whether the bad year will occur next year or in twenty</w:t>
      </w:r>
      <w:r w:rsidR="00083267">
        <w:t xml:space="preserve"> years time:</w:t>
      </w:r>
    </w:p>
    <w:p w:rsidR="00083267" w:rsidRDefault="00083267" w:rsidP="00083267">
      <w:pPr>
        <w:pStyle w:val="Bullet1"/>
      </w:pPr>
      <w:r>
        <w:t>The Retirement Capital Guarantee would guarantee the value of your retirement nest egg at the level it was a year prior to your retirement.</w:t>
      </w:r>
    </w:p>
    <w:p w:rsidR="00083267" w:rsidRDefault="003774E7" w:rsidP="00083267">
      <w:pPr>
        <w:pStyle w:val="Bullet1"/>
      </w:pPr>
      <w:r>
        <w:t>The F</w:t>
      </w:r>
      <w:r w:rsidR="00083267">
        <w:t>i</w:t>
      </w:r>
      <w:r>
        <w:t>r</w:t>
      </w:r>
      <w:r w:rsidR="00083267">
        <w:t>st Home Deposit Capital Guarantee would guarantee the value of your savings over the three years prior to your withdrawal to make a deposit on your first home.  To be eligible to make a withdrawal from KiwiSaver you need to have been saving in KiwiSaver for at least three years.</w:t>
      </w:r>
    </w:p>
    <w:p w:rsidR="006A2BBE" w:rsidRDefault="006A2BBE" w:rsidP="006A2BBE">
      <w:pPr>
        <w:pStyle w:val="Numbering"/>
        <w:numPr>
          <w:ilvl w:val="0"/>
          <w:numId w:val="0"/>
        </w:numPr>
      </w:pPr>
      <w:r>
        <w:t>The FSC estimates First Home Deposit withdrawals for more than 15,000 first homes had been purchased with the assistance of KiwiSaver savings by the end of 2013:</w:t>
      </w:r>
    </w:p>
    <w:p w:rsidR="00083267" w:rsidRDefault="00083267" w:rsidP="00083267">
      <w:pPr>
        <w:pStyle w:val="Heading2"/>
      </w:pPr>
      <w:r>
        <w:t>Horizon Research Polling, December 2012</w:t>
      </w:r>
    </w:p>
    <w:p w:rsidR="006A2BBE" w:rsidRDefault="006A2BBE" w:rsidP="006A2BBE">
      <w:pPr>
        <w:pStyle w:val="Bullet1"/>
      </w:pPr>
      <w:r>
        <w:t>50% of adult KiwiSavers had already purchased their first home.</w:t>
      </w:r>
    </w:p>
    <w:p w:rsidR="00083267" w:rsidRDefault="00083267" w:rsidP="00083267">
      <w:pPr>
        <w:pStyle w:val="Bullet1"/>
      </w:pPr>
      <w:r>
        <w:t xml:space="preserve">80% of those who had used KiwiSaver </w:t>
      </w:r>
      <w:r w:rsidR="006A2BBE">
        <w:t xml:space="preserve">to help purchase a home </w:t>
      </w:r>
      <w:r>
        <w:t>said it made saving for their first home deposit easier.</w:t>
      </w:r>
    </w:p>
    <w:p w:rsidR="00083267" w:rsidRDefault="00083267" w:rsidP="00083267">
      <w:pPr>
        <w:pStyle w:val="Bullet1"/>
      </w:pPr>
      <w:r>
        <w:t>60% of KiwiSavers that had yet to purchase a first home planned to use KiwiSaver to help them do that.</w:t>
      </w:r>
    </w:p>
    <w:p w:rsidR="00083267" w:rsidRDefault="00083267" w:rsidP="00083267">
      <w:pPr>
        <w:pStyle w:val="Bullet1"/>
      </w:pPr>
      <w:r>
        <w:t>If KiwiSavers were made compulsory 349,000 adult New Zealanders said they would definitely use KiwiSaver to fund a deposit on</w:t>
      </w:r>
      <w:r w:rsidR="006C0386">
        <w:t xml:space="preserve"> their first home and another 41</w:t>
      </w:r>
      <w:r>
        <w:t>9,000 said they were likely to do so.</w:t>
      </w:r>
    </w:p>
    <w:p w:rsidR="00083267" w:rsidRDefault="00083267" w:rsidP="00083267">
      <w:pPr>
        <w:pStyle w:val="Heading2"/>
      </w:pPr>
      <w:r>
        <w:t>Horizon Research Polling, November 2013</w:t>
      </w:r>
    </w:p>
    <w:p w:rsidR="00083267" w:rsidRDefault="00083267" w:rsidP="00083267">
      <w:pPr>
        <w:pStyle w:val="Bullet1"/>
      </w:pPr>
      <w:r>
        <w:t xml:space="preserve">61% of KiwiSavers either don’t know or </w:t>
      </w:r>
      <w:r w:rsidR="006A2BBE">
        <w:t xml:space="preserve">were </w:t>
      </w:r>
      <w:r>
        <w:t xml:space="preserve">not sure what style of KiwiSaver fund they </w:t>
      </w:r>
      <w:r w:rsidR="006A2BBE">
        <w:t xml:space="preserve">were </w:t>
      </w:r>
      <w:r>
        <w:t>invested in (conservative, balanced or growth).</w:t>
      </w:r>
    </w:p>
    <w:p w:rsidR="00083267" w:rsidRDefault="00083267" w:rsidP="00083267">
      <w:pPr>
        <w:pStyle w:val="Bullet1"/>
      </w:pPr>
      <w:r>
        <w:t xml:space="preserve">The KiwiSavers who did not want to take </w:t>
      </w:r>
      <w:r w:rsidR="006A2BBE">
        <w:t xml:space="preserve">any </w:t>
      </w:r>
      <w:r>
        <w:t xml:space="preserve">risk (without guarantees) </w:t>
      </w:r>
      <w:r w:rsidR="006A2BBE">
        <w:t xml:space="preserve">with </w:t>
      </w:r>
      <w:r>
        <w:t>their KiwiSaver</w:t>
      </w:r>
      <w:r w:rsidR="006A2BBE">
        <w:t xml:space="preserve"> investments</w:t>
      </w:r>
      <w:r>
        <w:t xml:space="preserve"> were more likely to be female, 45 years of age or more and had </w:t>
      </w:r>
      <w:proofErr w:type="gramStart"/>
      <w:r>
        <w:t>households</w:t>
      </w:r>
      <w:proofErr w:type="gramEnd"/>
      <w:r>
        <w:t xml:space="preserve"> incomes under $70,000.</w:t>
      </w:r>
    </w:p>
    <w:p w:rsidR="00083267" w:rsidRDefault="00083267" w:rsidP="00083267">
      <w:pPr>
        <w:pStyle w:val="Bullet1"/>
      </w:pPr>
      <w:r>
        <w:t>With guarantees in place people said if they knew they were currently in a conservative fund</w:t>
      </w:r>
      <w:r w:rsidR="00E61527">
        <w:t xml:space="preserve"> 10.7% would stay where they were whereas 60</w:t>
      </w:r>
      <w:r w:rsidR="006C0386">
        <w:t>.2% would move</w:t>
      </w:r>
      <w:r w:rsidR="006A2BBE">
        <w:t>,</w:t>
      </w:r>
      <w:r w:rsidR="006C0386">
        <w:t xml:space="preserve"> to </w:t>
      </w:r>
      <w:r w:rsidR="006A2BBE">
        <w:t xml:space="preserve">either </w:t>
      </w:r>
      <w:r w:rsidR="006C0386">
        <w:t>a balanced (27</w:t>
      </w:r>
      <w:r w:rsidR="00E61527">
        <w:t>.5%) or growth (32.7%) fund.</w:t>
      </w:r>
    </w:p>
    <w:p w:rsidR="00E61527" w:rsidRDefault="00E61527" w:rsidP="00083267">
      <w:pPr>
        <w:pStyle w:val="Bullet1"/>
      </w:pPr>
      <w:r>
        <w:t>When asked if they could advise the Government on which type of fund people should be defaulted into</w:t>
      </w:r>
      <w:r w:rsidR="00EE367E">
        <w:t>,</w:t>
      </w:r>
      <w:r>
        <w:t xml:space="preserve"> when a person first joins KiwiSaver</w:t>
      </w:r>
      <w:r w:rsidR="006C0386">
        <w:t>,</w:t>
      </w:r>
      <w:r>
        <w:t xml:space="preserve"> with the prop</w:t>
      </w:r>
      <w:r w:rsidR="00EE367E">
        <w:t>os</w:t>
      </w:r>
      <w:r>
        <w:t>ed guarantees in place, only</w:t>
      </w:r>
      <w:r w:rsidR="006C0386">
        <w:t xml:space="preserve"> 13.7% said a conservative fund</w:t>
      </w:r>
      <w:r>
        <w:t xml:space="preserve"> and 56.6% said </w:t>
      </w:r>
      <w:r w:rsidR="006A2BBE">
        <w:t xml:space="preserve">either </w:t>
      </w:r>
      <w:r>
        <w:t xml:space="preserve">a growth (21%) or </w:t>
      </w:r>
      <w:r w:rsidR="006A2BBE">
        <w:t xml:space="preserve">a </w:t>
      </w:r>
      <w:r>
        <w:t>balanced (35.6%) fund.</w:t>
      </w:r>
    </w:p>
    <w:p w:rsidR="00E61527" w:rsidRDefault="00E61527" w:rsidP="00E61527">
      <w:pPr>
        <w:pStyle w:val="Heading2"/>
      </w:pPr>
      <w:r>
        <w:t>KiwiSaver June 30, 2013 FMA Report</w:t>
      </w:r>
    </w:p>
    <w:p w:rsidR="00E61527" w:rsidRPr="00E61527" w:rsidRDefault="00E61527" w:rsidP="00E61527">
      <w:pPr>
        <w:pStyle w:val="BodyText"/>
      </w:pPr>
      <w:r>
        <w:t>As at June 30, 2013, there was $3.388 billion in KiwiSaver default funds and $3.100 billion was invested in conservative funds.</w:t>
      </w:r>
    </w:p>
    <w:sectPr w:rsidR="00E61527" w:rsidRPr="00E61527" w:rsidSect="006A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7B" w:rsidRDefault="00717D7B" w:rsidP="00717D7B">
      <w:pPr>
        <w:spacing w:after="0" w:line="240" w:lineRule="auto"/>
      </w:pPr>
      <w:r>
        <w:separator/>
      </w:r>
    </w:p>
  </w:endnote>
  <w:endnote w:type="continuationSeparator" w:id="0">
    <w:p w:rsidR="00717D7B" w:rsidRDefault="00717D7B" w:rsidP="0071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7B" w:rsidRDefault="00717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7B" w:rsidRDefault="00717D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7B" w:rsidRDefault="00717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7B" w:rsidRDefault="00717D7B" w:rsidP="00717D7B">
      <w:pPr>
        <w:spacing w:after="0" w:line="240" w:lineRule="auto"/>
      </w:pPr>
      <w:r>
        <w:separator/>
      </w:r>
    </w:p>
  </w:footnote>
  <w:footnote w:type="continuationSeparator" w:id="0">
    <w:p w:rsidR="00717D7B" w:rsidRDefault="00717D7B" w:rsidP="0071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7B" w:rsidRDefault="00717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7B" w:rsidRPr="00717D7B" w:rsidRDefault="00717D7B" w:rsidP="00717D7B">
    <w:pPr>
      <w:pStyle w:val="Header"/>
      <w:jc w:val="right"/>
      <w:rPr>
        <w:b/>
        <w:color w:val="FF0000"/>
      </w:rPr>
    </w:pPr>
    <w:r w:rsidRPr="00717D7B">
      <w:rPr>
        <w:b/>
        <w:color w:val="FF0000"/>
      </w:rPr>
      <w:t>EMBARGOED Until 6am, Monday 21 July 2014</w:t>
    </w:r>
  </w:p>
  <w:p w:rsidR="00717D7B" w:rsidRDefault="00717D7B" w:rsidP="00717D7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7B" w:rsidRDefault="00717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D04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F27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607D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EED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96A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0F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C20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D23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16F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62B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721954"/>
    <w:multiLevelType w:val="hybridMultilevel"/>
    <w:tmpl w:val="984E76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41253"/>
    <w:multiLevelType w:val="multilevel"/>
    <w:tmpl w:val="715441A6"/>
    <w:lvl w:ilvl="0">
      <w:start w:val="1"/>
      <w:numFmt w:val="decimal"/>
      <w:pStyle w:val="Numbering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pStyle w:val="Bullet2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lowerLetter"/>
      <w:pStyle w:val="Alpha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Roman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27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7C05DD"/>
    <w:multiLevelType w:val="hybridMultilevel"/>
    <w:tmpl w:val="42A4E7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FD"/>
    <w:rsid w:val="00055E45"/>
    <w:rsid w:val="00083267"/>
    <w:rsid w:val="000876C6"/>
    <w:rsid w:val="000B2A2F"/>
    <w:rsid w:val="000F381A"/>
    <w:rsid w:val="001C70CC"/>
    <w:rsid w:val="002D735D"/>
    <w:rsid w:val="003648BD"/>
    <w:rsid w:val="003774E7"/>
    <w:rsid w:val="00380868"/>
    <w:rsid w:val="003D5E57"/>
    <w:rsid w:val="00425942"/>
    <w:rsid w:val="00431085"/>
    <w:rsid w:val="0044383F"/>
    <w:rsid w:val="004A2AB4"/>
    <w:rsid w:val="00512970"/>
    <w:rsid w:val="00565998"/>
    <w:rsid w:val="006809C5"/>
    <w:rsid w:val="006A2BBE"/>
    <w:rsid w:val="006C0386"/>
    <w:rsid w:val="007007B2"/>
    <w:rsid w:val="00717D7B"/>
    <w:rsid w:val="0076414B"/>
    <w:rsid w:val="007808D4"/>
    <w:rsid w:val="007C079B"/>
    <w:rsid w:val="007F15E3"/>
    <w:rsid w:val="00866A7F"/>
    <w:rsid w:val="0088350D"/>
    <w:rsid w:val="00986653"/>
    <w:rsid w:val="00A27677"/>
    <w:rsid w:val="00A839AB"/>
    <w:rsid w:val="00B06AFD"/>
    <w:rsid w:val="00C024DB"/>
    <w:rsid w:val="00C8709C"/>
    <w:rsid w:val="00CE3071"/>
    <w:rsid w:val="00E61527"/>
    <w:rsid w:val="00EE367E"/>
    <w:rsid w:val="00EF197D"/>
    <w:rsid w:val="00F461F4"/>
    <w:rsid w:val="00FA1E09"/>
    <w:rsid w:val="00FB1F38"/>
    <w:rsid w:val="00FC3824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342B2-AB65-4970-988A-A5E1E796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7F15E3"/>
    <w:pPr>
      <w:spacing w:line="280" w:lineRule="atLeast"/>
    </w:pPr>
    <w:rPr>
      <w:rFonts w:ascii="Calibri" w:hAnsi="Calibri"/>
      <w:sz w:val="22"/>
    </w:rPr>
  </w:style>
  <w:style w:type="paragraph" w:styleId="Heading1">
    <w:name w:val="heading 1"/>
    <w:basedOn w:val="Normal"/>
    <w:next w:val="BodyText"/>
    <w:link w:val="Heading1Char"/>
    <w:qFormat/>
    <w:rsid w:val="00F461F4"/>
    <w:pPr>
      <w:keepNext/>
      <w:keepLines/>
      <w:spacing w:before="320" w:line="300" w:lineRule="atLeast"/>
      <w:outlineLvl w:val="0"/>
    </w:pPr>
    <w:rPr>
      <w:rFonts w:eastAsiaTheme="majorEastAsia" w:cstheme="majorBidi"/>
      <w:b/>
      <w:sz w:val="28"/>
      <w:szCs w:val="30"/>
    </w:rPr>
  </w:style>
  <w:style w:type="paragraph" w:styleId="Heading2">
    <w:name w:val="heading 2"/>
    <w:basedOn w:val="Normal"/>
    <w:next w:val="BodyText"/>
    <w:link w:val="Heading2Char"/>
    <w:qFormat/>
    <w:rsid w:val="007C079B"/>
    <w:pPr>
      <w:keepNext/>
      <w:keepLines/>
      <w:spacing w:before="240" w:after="80" w:line="260" w:lineRule="atLeast"/>
      <w:outlineLvl w:val="1"/>
    </w:pPr>
    <w:rPr>
      <w:rFonts w:eastAsiaTheme="majorEastAsia" w:cstheme="majorBidi"/>
      <w:b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7C079B"/>
    <w:pPr>
      <w:keepNext/>
      <w:keepLines/>
      <w:spacing w:before="160" w:after="0" w:line="240" w:lineRule="atLeast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5E3"/>
    <w:rPr>
      <w:rFonts w:ascii="Calibri" w:eastAsiaTheme="majorEastAsia" w:hAnsi="Calibri" w:cstheme="majorBidi"/>
      <w:b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F461F4"/>
    <w:rPr>
      <w:rFonts w:ascii="Calibri" w:eastAsiaTheme="majorEastAsia" w:hAnsi="Calibri" w:cstheme="majorBidi"/>
      <w:b/>
      <w:sz w:val="28"/>
      <w:szCs w:val="30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641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F15E3"/>
    <w:rPr>
      <w:rFonts w:asciiTheme="majorHAnsi" w:eastAsiaTheme="majorEastAsia" w:hAnsiTheme="majorHAnsi" w:cstheme="majorBidi"/>
      <w:color w:val="ED7D31" w:themeColor="accent2"/>
      <w:spacing w:val="-10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41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D7D31" w:themeColor="accent2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15E3"/>
    <w:rPr>
      <w:rFonts w:asciiTheme="majorHAnsi" w:eastAsiaTheme="majorEastAsia" w:hAnsiTheme="majorHAnsi" w:cstheme="majorBidi"/>
      <w:color w:val="ED7D31" w:themeColor="accent2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809C5"/>
  </w:style>
  <w:style w:type="character" w:customStyle="1" w:styleId="BodyTextChar">
    <w:name w:val="Body Text Char"/>
    <w:basedOn w:val="DefaultParagraphFont"/>
    <w:link w:val="BodyText"/>
    <w:uiPriority w:val="1"/>
    <w:rsid w:val="007F15E3"/>
    <w:rPr>
      <w:rFonts w:ascii="Calibri" w:hAnsi="Calibri"/>
      <w:sz w:val="22"/>
    </w:rPr>
  </w:style>
  <w:style w:type="paragraph" w:customStyle="1" w:styleId="Indent1">
    <w:name w:val="Indent 1"/>
    <w:basedOn w:val="Normal"/>
    <w:uiPriority w:val="7"/>
    <w:qFormat/>
    <w:rsid w:val="002D735D"/>
    <w:pPr>
      <w:ind w:left="425"/>
    </w:pPr>
  </w:style>
  <w:style w:type="character" w:customStyle="1" w:styleId="Heading3Char">
    <w:name w:val="Heading 3 Char"/>
    <w:basedOn w:val="DefaultParagraphFont"/>
    <w:link w:val="Heading3"/>
    <w:rsid w:val="007F15E3"/>
    <w:rPr>
      <w:rFonts w:ascii="Calibri" w:eastAsiaTheme="majorEastAsia" w:hAnsi="Calibri" w:cstheme="majorBidi"/>
      <w:b/>
      <w:sz w:val="22"/>
      <w:szCs w:val="24"/>
    </w:rPr>
  </w:style>
  <w:style w:type="paragraph" w:customStyle="1" w:styleId="Numbering">
    <w:name w:val="Numbering"/>
    <w:basedOn w:val="Normal"/>
    <w:uiPriority w:val="2"/>
    <w:qFormat/>
    <w:rsid w:val="007C079B"/>
    <w:pPr>
      <w:numPr>
        <w:numId w:val="11"/>
      </w:numPr>
    </w:pPr>
  </w:style>
  <w:style w:type="paragraph" w:customStyle="1" w:styleId="Bullet1">
    <w:name w:val="Bullet 1"/>
    <w:basedOn w:val="Normal"/>
    <w:uiPriority w:val="3"/>
    <w:qFormat/>
    <w:rsid w:val="00512970"/>
    <w:pPr>
      <w:numPr>
        <w:ilvl w:val="1"/>
        <w:numId w:val="11"/>
      </w:numPr>
    </w:pPr>
  </w:style>
  <w:style w:type="paragraph" w:customStyle="1" w:styleId="Bullet2">
    <w:name w:val="Bullet 2"/>
    <w:basedOn w:val="Normal"/>
    <w:uiPriority w:val="4"/>
    <w:qFormat/>
    <w:rsid w:val="00512970"/>
    <w:pPr>
      <w:numPr>
        <w:ilvl w:val="2"/>
        <w:numId w:val="11"/>
      </w:numPr>
    </w:pPr>
  </w:style>
  <w:style w:type="paragraph" w:customStyle="1" w:styleId="Alpha">
    <w:name w:val="Alpha"/>
    <w:basedOn w:val="Normal"/>
    <w:uiPriority w:val="5"/>
    <w:qFormat/>
    <w:rsid w:val="00512970"/>
    <w:pPr>
      <w:numPr>
        <w:ilvl w:val="3"/>
        <w:numId w:val="11"/>
      </w:numPr>
    </w:pPr>
  </w:style>
  <w:style w:type="paragraph" w:customStyle="1" w:styleId="Roman">
    <w:name w:val="Roman"/>
    <w:basedOn w:val="Normal"/>
    <w:uiPriority w:val="6"/>
    <w:qFormat/>
    <w:rsid w:val="00512970"/>
    <w:pPr>
      <w:numPr>
        <w:ilvl w:val="4"/>
        <w:numId w:val="11"/>
      </w:numPr>
    </w:pPr>
  </w:style>
  <w:style w:type="paragraph" w:customStyle="1" w:styleId="Indent2">
    <w:name w:val="Indent 2"/>
    <w:basedOn w:val="Normal"/>
    <w:uiPriority w:val="7"/>
    <w:qFormat/>
    <w:rsid w:val="00512970"/>
    <w:pPr>
      <w:ind w:left="851"/>
    </w:pPr>
  </w:style>
  <w:style w:type="paragraph" w:customStyle="1" w:styleId="Indent3">
    <w:name w:val="Indent 3"/>
    <w:basedOn w:val="Normal"/>
    <w:uiPriority w:val="7"/>
    <w:qFormat/>
    <w:rsid w:val="00C024DB"/>
    <w:pPr>
      <w:ind w:left="1276"/>
    </w:pPr>
  </w:style>
  <w:style w:type="table" w:styleId="TableGrid">
    <w:name w:val="Table Grid"/>
    <w:basedOn w:val="TableNormal"/>
    <w:uiPriority w:val="39"/>
    <w:rsid w:val="00B0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1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D7B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semiHidden/>
    <w:rsid w:val="0071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D7B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FSC%20General-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FSC General-2</Template>
  <TotalTime>20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Fact Sheet – V32-176.7.14</vt:lpstr>
      <vt:lpstr>    Horizon Research Polling, December 2012</vt:lpstr>
      <vt:lpstr>    Horizon Research Polling, November 2013</vt:lpstr>
      <vt:lpstr>    KiwiSaver June 30, 2013 FMA Report</vt:lpstr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14</cp:revision>
  <cp:lastPrinted>2014-07-16T21:31:00Z</cp:lastPrinted>
  <dcterms:created xsi:type="dcterms:W3CDTF">2014-07-16T21:22:00Z</dcterms:created>
  <dcterms:modified xsi:type="dcterms:W3CDTF">2014-07-17T01:21:00Z</dcterms:modified>
</cp:coreProperties>
</file>