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FA" w:rsidRDefault="005C7B90" w:rsidP="00ED79FA">
      <w:pPr>
        <w:spacing w:before="600" w:after="600"/>
      </w:pPr>
      <w:r>
        <w:t>1</w:t>
      </w:r>
      <w:r w:rsidR="00ED5FB2">
        <w:t>8</w:t>
      </w:r>
      <w:r>
        <w:t xml:space="preserve"> June 2014 </w:t>
      </w:r>
    </w:p>
    <w:p w:rsidR="00EB625D" w:rsidRPr="00EB625D" w:rsidRDefault="0050240E" w:rsidP="00EB625D">
      <w:pPr>
        <w:pStyle w:val="AddressBlock"/>
        <w:rPr>
          <w:rFonts w:ascii="HelveticaNeue-Light" w:eastAsiaTheme="minorHAnsi" w:hAnsi="HelveticaNeue-Light" w:cs="HelveticaNeue-Light"/>
          <w:color w:val="9A9A9A"/>
          <w:sz w:val="36"/>
          <w:szCs w:val="36"/>
          <w:lang w:val="en-US" w:eastAsia="en-US"/>
        </w:rPr>
      </w:pPr>
      <w:r w:rsidRPr="00EB625D">
        <w:rPr>
          <w:rFonts w:ascii="HelveticaNeue-Light" w:eastAsiaTheme="minorHAnsi" w:hAnsi="HelveticaNeue-Light" w:cs="HelveticaNeue-Light"/>
          <w:color w:val="9A9A9A"/>
          <w:sz w:val="36"/>
          <w:szCs w:val="36"/>
          <w:lang w:val="en-US" w:eastAsia="en-US"/>
        </w:rPr>
        <w:fldChar w:fldCharType="begin"/>
      </w:r>
      <w:r w:rsidR="007135ED" w:rsidRPr="00EB625D">
        <w:rPr>
          <w:rFonts w:ascii="HelveticaNeue-Light" w:eastAsiaTheme="minorHAnsi" w:hAnsi="HelveticaNeue-Light" w:cs="HelveticaNeue-Light"/>
          <w:color w:val="9A9A9A"/>
          <w:sz w:val="36"/>
          <w:szCs w:val="36"/>
          <w:lang w:val="en-US" w:eastAsia="en-US"/>
        </w:rPr>
        <w:instrText xml:space="preserve"> ASK   \* MERGEFORMAT </w:instrText>
      </w:r>
      <w:r w:rsidRPr="00EB625D">
        <w:rPr>
          <w:rFonts w:ascii="HelveticaNeue-Light" w:eastAsiaTheme="minorHAnsi" w:hAnsi="HelveticaNeue-Light" w:cs="HelveticaNeue-Light"/>
          <w:color w:val="9A9A9A"/>
          <w:sz w:val="36"/>
          <w:szCs w:val="36"/>
          <w:lang w:val="en-US" w:eastAsia="en-US"/>
        </w:rPr>
        <w:fldChar w:fldCharType="end"/>
      </w:r>
      <w:r w:rsidRPr="00EB625D">
        <w:rPr>
          <w:rFonts w:ascii="HelveticaNeue-Light" w:eastAsiaTheme="minorHAnsi" w:hAnsi="HelveticaNeue-Light" w:cs="HelveticaNeue-Light"/>
          <w:color w:val="9A9A9A"/>
          <w:sz w:val="36"/>
          <w:szCs w:val="36"/>
          <w:lang w:val="en-US" w:eastAsia="en-US"/>
        </w:rPr>
        <w:fldChar w:fldCharType="begin"/>
      </w:r>
      <w:r w:rsidR="007135ED" w:rsidRPr="00EB625D">
        <w:rPr>
          <w:rFonts w:ascii="HelveticaNeue-Light" w:eastAsiaTheme="minorHAnsi" w:hAnsi="HelveticaNeue-Light" w:cs="HelveticaNeue-Light"/>
          <w:color w:val="9A9A9A"/>
          <w:sz w:val="36"/>
          <w:szCs w:val="36"/>
          <w:lang w:val="en-US" w:eastAsia="en-US"/>
        </w:rPr>
        <w:instrText xml:space="preserve"> ASK  Address "Insert Address" \o  \* MERGEFORMAT </w:instrText>
      </w:r>
      <w:r w:rsidRPr="00EB625D">
        <w:rPr>
          <w:rFonts w:ascii="HelveticaNeue-Light" w:eastAsiaTheme="minorHAnsi" w:hAnsi="HelveticaNeue-Light" w:cs="HelveticaNeue-Light"/>
          <w:color w:val="9A9A9A"/>
          <w:sz w:val="36"/>
          <w:szCs w:val="36"/>
          <w:lang w:val="en-US" w:eastAsia="en-US"/>
        </w:rPr>
        <w:fldChar w:fldCharType="end"/>
      </w:r>
      <w:r w:rsidR="00EB625D" w:rsidRPr="00EB625D">
        <w:rPr>
          <w:rFonts w:ascii="HelveticaNeue-Light" w:eastAsiaTheme="minorHAnsi" w:hAnsi="HelveticaNeue-Light" w:cs="HelveticaNeue-Light"/>
          <w:color w:val="9A9A9A"/>
          <w:sz w:val="36"/>
          <w:szCs w:val="36"/>
          <w:lang w:val="en-US" w:eastAsia="en-US"/>
        </w:rPr>
        <w:t xml:space="preserve">Questions </w:t>
      </w:r>
      <w:r w:rsidR="00EB625D">
        <w:rPr>
          <w:rFonts w:ascii="HelveticaNeue-Light" w:eastAsiaTheme="minorHAnsi" w:hAnsi="HelveticaNeue-Light" w:cs="HelveticaNeue-Light"/>
          <w:color w:val="9A9A9A"/>
          <w:sz w:val="36"/>
          <w:szCs w:val="36"/>
          <w:lang w:val="en-US" w:eastAsia="en-US"/>
        </w:rPr>
        <w:t>and</w:t>
      </w:r>
      <w:r w:rsidR="00EB625D" w:rsidRPr="00EB625D">
        <w:rPr>
          <w:rFonts w:ascii="HelveticaNeue-Light" w:eastAsiaTheme="minorHAnsi" w:hAnsi="HelveticaNeue-Light" w:cs="HelveticaNeue-Light"/>
          <w:color w:val="9A9A9A"/>
          <w:sz w:val="36"/>
          <w:szCs w:val="36"/>
          <w:lang w:val="en-US" w:eastAsia="en-US"/>
        </w:rPr>
        <w:t xml:space="preserve"> Answers</w:t>
      </w:r>
    </w:p>
    <w:p w:rsidR="00EB625D" w:rsidRPr="00C03D91" w:rsidRDefault="00EB625D" w:rsidP="00EB625D">
      <w:pPr>
        <w:pStyle w:val="Heading"/>
      </w:pPr>
      <w:r w:rsidRPr="00C03D91">
        <w:t>Trans</w:t>
      </w:r>
      <w:r>
        <w:t>-</w:t>
      </w:r>
      <w:r w:rsidRPr="00C03D91">
        <w:t xml:space="preserve">Tasman Resources South </w:t>
      </w:r>
      <w:proofErr w:type="spellStart"/>
      <w:r w:rsidRPr="00C03D91">
        <w:t>Taranaki</w:t>
      </w:r>
      <w:proofErr w:type="spellEnd"/>
      <w:r w:rsidRPr="00C03D91">
        <w:t xml:space="preserve"> Bight Project</w:t>
      </w:r>
    </w:p>
    <w:p w:rsidR="002F5518" w:rsidRDefault="002F5518" w:rsidP="002F5518">
      <w:pPr>
        <w:pStyle w:val="AddressBlock"/>
        <w:rPr>
          <w:rFonts w:ascii="HelveticaNeue-Light" w:eastAsiaTheme="minorHAnsi" w:hAnsi="HelveticaNeue-Light" w:cs="HelveticaNeue-Light"/>
          <w:color w:val="9A9A9A"/>
          <w:sz w:val="36"/>
          <w:szCs w:val="36"/>
          <w:lang w:val="en-US" w:eastAsia="en-US"/>
        </w:rPr>
      </w:pPr>
    </w:p>
    <w:p w:rsidR="00EB625D" w:rsidRPr="00EB625D" w:rsidRDefault="00EB625D" w:rsidP="00EB625D">
      <w:pPr>
        <w:spacing w:after="240"/>
        <w:rPr>
          <w:rFonts w:ascii="HelveticaNeue-Light" w:eastAsiaTheme="minorHAnsi" w:hAnsi="HelveticaNeue-Light" w:cs="HelveticaNeue-Light"/>
          <w:color w:val="9A9A9A"/>
          <w:sz w:val="36"/>
          <w:szCs w:val="36"/>
          <w:lang w:val="en-US" w:eastAsia="en-US"/>
        </w:rPr>
      </w:pPr>
      <w:r w:rsidRPr="00EB625D">
        <w:rPr>
          <w:rFonts w:ascii="HelveticaNeue-Light" w:eastAsiaTheme="minorHAnsi" w:hAnsi="HelveticaNeue-Light" w:cs="HelveticaNeue-Light"/>
          <w:color w:val="9A9A9A"/>
          <w:sz w:val="36"/>
          <w:szCs w:val="36"/>
          <w:lang w:val="en-US" w:eastAsia="en-US"/>
        </w:rPr>
        <w:t>Background Information</w:t>
      </w:r>
    </w:p>
    <w:p w:rsidR="00EB625D" w:rsidRPr="00ED50F7" w:rsidRDefault="00EB625D" w:rsidP="00EB625D">
      <w:pPr>
        <w:spacing w:after="240"/>
        <w:rPr>
          <w:rFonts w:cs="Arial"/>
          <w:b/>
          <w:i/>
          <w:sz w:val="21"/>
          <w:szCs w:val="21"/>
        </w:rPr>
      </w:pPr>
      <w:r w:rsidRPr="00ED50F7">
        <w:rPr>
          <w:rFonts w:cs="Arial"/>
          <w:b/>
          <w:i/>
          <w:sz w:val="21"/>
          <w:szCs w:val="21"/>
        </w:rPr>
        <w:t>What is TTR?</w:t>
      </w:r>
    </w:p>
    <w:p w:rsidR="00EB625D" w:rsidRDefault="00EB625D" w:rsidP="00EB625D">
      <w:pPr>
        <w:pStyle w:val="ListParagraph"/>
        <w:numPr>
          <w:ilvl w:val="0"/>
          <w:numId w:val="5"/>
        </w:numPr>
        <w:spacing w:after="120" w:line="240" w:lineRule="auto"/>
        <w:contextualSpacing w:val="0"/>
        <w:rPr>
          <w:rFonts w:cs="Arial"/>
          <w:sz w:val="21"/>
          <w:szCs w:val="21"/>
        </w:rPr>
      </w:pPr>
      <w:r w:rsidRPr="00ED50F7">
        <w:rPr>
          <w:rFonts w:cs="Arial"/>
          <w:sz w:val="21"/>
          <w:szCs w:val="21"/>
        </w:rPr>
        <w:t xml:space="preserve">Trans-Tasman Resources Limited (TTR) is a New Zealand company that was established in 2007 to explore the North Island’s west coast iron sand deposits. TTR is headquartered in Wellington New Zealand and is funded by New Zealand and international investment.  </w:t>
      </w:r>
    </w:p>
    <w:p w:rsidR="00EB625D" w:rsidRDefault="00EB625D" w:rsidP="00EB625D">
      <w:pPr>
        <w:pStyle w:val="ListParagraph"/>
        <w:numPr>
          <w:ilvl w:val="0"/>
          <w:numId w:val="5"/>
        </w:numPr>
        <w:spacing w:after="0" w:line="240" w:lineRule="auto"/>
        <w:contextualSpacing w:val="0"/>
        <w:rPr>
          <w:sz w:val="21"/>
          <w:szCs w:val="21"/>
        </w:rPr>
      </w:pPr>
      <w:r w:rsidRPr="00ED50F7">
        <w:rPr>
          <w:sz w:val="21"/>
          <w:szCs w:val="21"/>
        </w:rPr>
        <w:t>Since inception TTR has spent more than $</w:t>
      </w:r>
      <w:r>
        <w:rPr>
          <w:sz w:val="21"/>
          <w:szCs w:val="21"/>
        </w:rPr>
        <w:t>6</w:t>
      </w:r>
      <w:r w:rsidR="007150D4">
        <w:rPr>
          <w:sz w:val="21"/>
          <w:szCs w:val="21"/>
        </w:rPr>
        <w:t>0</w:t>
      </w:r>
      <w:r w:rsidRPr="00ED50F7">
        <w:rPr>
          <w:sz w:val="21"/>
          <w:szCs w:val="21"/>
        </w:rPr>
        <w:t xml:space="preserve">million to investigate the resource, and on engineering, marketing, studying the existing physical and ecological environment and identifying potential impacts. </w:t>
      </w:r>
    </w:p>
    <w:p w:rsidR="00457635" w:rsidRDefault="00457635" w:rsidP="00457635">
      <w:pPr>
        <w:pStyle w:val="ListParagraph"/>
        <w:spacing w:after="0" w:line="240" w:lineRule="auto"/>
        <w:contextualSpacing w:val="0"/>
        <w:rPr>
          <w:sz w:val="21"/>
          <w:szCs w:val="21"/>
        </w:rPr>
      </w:pPr>
    </w:p>
    <w:p w:rsidR="00EB625D" w:rsidRDefault="00EB625D" w:rsidP="00EB625D">
      <w:pPr>
        <w:pStyle w:val="ListParagraph"/>
        <w:numPr>
          <w:ilvl w:val="0"/>
          <w:numId w:val="5"/>
        </w:numPr>
        <w:spacing w:after="0" w:line="240" w:lineRule="auto"/>
        <w:contextualSpacing w:val="0"/>
        <w:rPr>
          <w:sz w:val="21"/>
          <w:szCs w:val="21"/>
        </w:rPr>
      </w:pPr>
      <w:r w:rsidRPr="00ED50F7">
        <w:rPr>
          <w:sz w:val="21"/>
          <w:szCs w:val="21"/>
        </w:rPr>
        <w:t xml:space="preserve">TTR’s objective is to develop an iron sands extraction project which achieves substantial economic development while protecting the environment. </w:t>
      </w:r>
    </w:p>
    <w:p w:rsidR="00EB625D" w:rsidRPr="00ED50F7" w:rsidRDefault="00EB625D" w:rsidP="00EB625D">
      <w:pPr>
        <w:pStyle w:val="ListParagraph"/>
        <w:spacing w:after="240"/>
        <w:rPr>
          <w:rFonts w:cs="Arial"/>
          <w:i/>
          <w:sz w:val="21"/>
          <w:szCs w:val="21"/>
        </w:rPr>
      </w:pPr>
    </w:p>
    <w:p w:rsidR="00EB625D" w:rsidRPr="00ED50F7" w:rsidRDefault="00EB625D" w:rsidP="00EB625D">
      <w:pPr>
        <w:spacing w:after="240"/>
        <w:rPr>
          <w:rFonts w:cs="Arial"/>
          <w:b/>
          <w:i/>
          <w:sz w:val="21"/>
          <w:szCs w:val="21"/>
        </w:rPr>
      </w:pPr>
      <w:r w:rsidRPr="00ED50F7">
        <w:rPr>
          <w:rFonts w:cs="Arial"/>
          <w:b/>
          <w:bCs/>
          <w:i/>
          <w:sz w:val="21"/>
          <w:szCs w:val="21"/>
        </w:rPr>
        <w:t>What is iron sand?</w:t>
      </w:r>
    </w:p>
    <w:p w:rsidR="00EB625D" w:rsidRDefault="00EB625D" w:rsidP="00EB625D">
      <w:pPr>
        <w:pStyle w:val="ListParagraph"/>
        <w:numPr>
          <w:ilvl w:val="0"/>
          <w:numId w:val="5"/>
        </w:numPr>
        <w:spacing w:after="240" w:line="240" w:lineRule="auto"/>
        <w:contextualSpacing w:val="0"/>
        <w:rPr>
          <w:rFonts w:cs="Arial"/>
          <w:sz w:val="21"/>
          <w:szCs w:val="21"/>
        </w:rPr>
      </w:pPr>
      <w:r w:rsidRPr="00ED50F7">
        <w:rPr>
          <w:rFonts w:cs="Arial"/>
          <w:sz w:val="21"/>
          <w:szCs w:val="21"/>
        </w:rPr>
        <w:t xml:space="preserve">Iron sand (or </w:t>
      </w:r>
      <w:proofErr w:type="spellStart"/>
      <w:r w:rsidRPr="00ED50F7">
        <w:rPr>
          <w:rFonts w:cs="Arial"/>
          <w:sz w:val="21"/>
          <w:szCs w:val="21"/>
        </w:rPr>
        <w:t>titano</w:t>
      </w:r>
      <w:proofErr w:type="spellEnd"/>
      <w:r w:rsidRPr="00ED50F7">
        <w:rPr>
          <w:rFonts w:cs="Arial"/>
          <w:sz w:val="21"/>
          <w:szCs w:val="21"/>
        </w:rPr>
        <w:t xml:space="preserve">-magnetite) comes from volcanic material, which over thousands of years has been washed down by large rivers and deposited in defined offshore areas. In New Zealand, the North Island’s west coast deposits are derived largely from Mount </w:t>
      </w:r>
      <w:proofErr w:type="spellStart"/>
      <w:r w:rsidRPr="00ED50F7">
        <w:rPr>
          <w:rFonts w:cs="Arial"/>
          <w:sz w:val="21"/>
          <w:szCs w:val="21"/>
        </w:rPr>
        <w:t>Taranaki</w:t>
      </w:r>
      <w:proofErr w:type="spellEnd"/>
      <w:r w:rsidRPr="00ED50F7">
        <w:rPr>
          <w:rFonts w:cs="Arial"/>
          <w:sz w:val="21"/>
          <w:szCs w:val="21"/>
        </w:rPr>
        <w:t xml:space="preserve"> but also from the Central Plateau. The iron sand is rich in iron,</w:t>
      </w:r>
      <w:r>
        <w:rPr>
          <w:rFonts w:cs="Arial"/>
          <w:sz w:val="21"/>
          <w:szCs w:val="21"/>
        </w:rPr>
        <w:t xml:space="preserve"> and contains</w:t>
      </w:r>
      <w:r w:rsidRPr="00ED50F7">
        <w:rPr>
          <w:rFonts w:cs="Arial"/>
          <w:sz w:val="21"/>
          <w:szCs w:val="21"/>
        </w:rPr>
        <w:t xml:space="preserve"> titanium and vanadium.</w:t>
      </w:r>
    </w:p>
    <w:p w:rsidR="00EB625D" w:rsidRDefault="00EB625D" w:rsidP="00EB625D">
      <w:pPr>
        <w:pStyle w:val="ListParagraph"/>
        <w:numPr>
          <w:ilvl w:val="0"/>
          <w:numId w:val="5"/>
        </w:numPr>
        <w:spacing w:after="240" w:line="240" w:lineRule="auto"/>
        <w:contextualSpacing w:val="0"/>
        <w:rPr>
          <w:rFonts w:cs="Arial"/>
          <w:sz w:val="21"/>
          <w:szCs w:val="21"/>
        </w:rPr>
      </w:pPr>
      <w:r w:rsidRPr="00ED50F7">
        <w:rPr>
          <w:rFonts w:cs="Arial"/>
          <w:sz w:val="21"/>
          <w:szCs w:val="21"/>
        </w:rPr>
        <w:t>Iron sand concentrate is used in the manufacture of steel in both conventional and specialised steel mills. It is used either as a blend with other ores (such as haematite), or as a dedicated steel-making feed.</w:t>
      </w:r>
    </w:p>
    <w:p w:rsidR="00484402" w:rsidRPr="00484402" w:rsidRDefault="00EB625D" w:rsidP="00484402">
      <w:pPr>
        <w:spacing w:after="240"/>
        <w:rPr>
          <w:rFonts w:ascii="HelveticaNeue-Light" w:eastAsiaTheme="minorHAnsi" w:hAnsi="HelveticaNeue-Light" w:cs="HelveticaNeue-Light"/>
          <w:color w:val="9A9A9A"/>
          <w:sz w:val="36"/>
          <w:szCs w:val="36"/>
          <w:lang w:val="en-US" w:eastAsia="en-US"/>
        </w:rPr>
      </w:pPr>
      <w:r w:rsidRPr="00484402">
        <w:rPr>
          <w:rFonts w:ascii="HelveticaNeue-Light" w:eastAsiaTheme="minorHAnsi" w:hAnsi="HelveticaNeue-Light" w:cs="HelveticaNeue-Light"/>
          <w:color w:val="9A9A9A"/>
          <w:sz w:val="36"/>
          <w:szCs w:val="36"/>
          <w:lang w:val="en-US" w:eastAsia="en-US"/>
        </w:rPr>
        <w:t xml:space="preserve">Project Overview </w:t>
      </w:r>
    </w:p>
    <w:p w:rsidR="00EB625D" w:rsidRPr="00ED50F7" w:rsidRDefault="00EB625D" w:rsidP="00EB625D">
      <w:pPr>
        <w:spacing w:after="240"/>
        <w:rPr>
          <w:rFonts w:cs="Arial"/>
          <w:b/>
          <w:sz w:val="21"/>
          <w:szCs w:val="21"/>
          <w:highlight w:val="yellow"/>
        </w:rPr>
      </w:pPr>
      <w:r w:rsidRPr="00484402">
        <w:rPr>
          <w:rFonts w:cs="Arial"/>
          <w:b/>
          <w:i/>
          <w:sz w:val="21"/>
          <w:szCs w:val="21"/>
        </w:rPr>
        <w:t>What is the</w:t>
      </w:r>
      <w:r w:rsidRPr="00ED50F7">
        <w:rPr>
          <w:rFonts w:cs="Arial"/>
          <w:b/>
          <w:i/>
          <w:sz w:val="21"/>
          <w:szCs w:val="21"/>
        </w:rPr>
        <w:t xml:space="preserve"> South </w:t>
      </w:r>
      <w:proofErr w:type="spellStart"/>
      <w:r w:rsidRPr="00ED50F7">
        <w:rPr>
          <w:rFonts w:cs="Arial"/>
          <w:b/>
          <w:i/>
          <w:sz w:val="21"/>
          <w:szCs w:val="21"/>
        </w:rPr>
        <w:t>Taranaki</w:t>
      </w:r>
      <w:proofErr w:type="spellEnd"/>
      <w:r w:rsidRPr="00ED50F7">
        <w:rPr>
          <w:rFonts w:cs="Arial"/>
          <w:b/>
          <w:i/>
          <w:sz w:val="21"/>
          <w:szCs w:val="21"/>
        </w:rPr>
        <w:t xml:space="preserve"> Bight Iron Sands Project?</w:t>
      </w:r>
    </w:p>
    <w:p w:rsidR="00EB625D" w:rsidRDefault="00EB625D" w:rsidP="00EB625D">
      <w:pPr>
        <w:pStyle w:val="ListParagraph"/>
        <w:numPr>
          <w:ilvl w:val="0"/>
          <w:numId w:val="6"/>
        </w:numPr>
        <w:spacing w:after="240" w:line="240" w:lineRule="auto"/>
        <w:contextualSpacing w:val="0"/>
        <w:rPr>
          <w:rFonts w:cs="Arial"/>
          <w:sz w:val="21"/>
          <w:szCs w:val="21"/>
        </w:rPr>
      </w:pPr>
      <w:r w:rsidRPr="00ED50F7">
        <w:rPr>
          <w:rFonts w:cs="Arial"/>
          <w:sz w:val="21"/>
          <w:szCs w:val="21"/>
        </w:rPr>
        <w:t>The Project area is 65.76 km</w:t>
      </w:r>
      <w:r w:rsidRPr="00ED50F7">
        <w:rPr>
          <w:rFonts w:cs="Arial"/>
          <w:sz w:val="21"/>
          <w:szCs w:val="21"/>
          <w:vertAlign w:val="superscript"/>
        </w:rPr>
        <w:t>2</w:t>
      </w:r>
      <w:r w:rsidRPr="00ED50F7">
        <w:rPr>
          <w:rFonts w:cs="Arial"/>
          <w:sz w:val="21"/>
          <w:szCs w:val="21"/>
        </w:rPr>
        <w:t xml:space="preserve"> and is located between 22-36 km offshore from the coast of </w:t>
      </w:r>
      <w:proofErr w:type="spellStart"/>
      <w:r w:rsidRPr="00ED50F7">
        <w:rPr>
          <w:rFonts w:cs="Arial"/>
          <w:sz w:val="21"/>
          <w:szCs w:val="21"/>
        </w:rPr>
        <w:t>Patea</w:t>
      </w:r>
      <w:proofErr w:type="spellEnd"/>
      <w:r w:rsidRPr="00ED50F7">
        <w:rPr>
          <w:rFonts w:cs="Arial"/>
          <w:sz w:val="21"/>
          <w:szCs w:val="21"/>
        </w:rPr>
        <w:t xml:space="preserve"> and in water depths between 20-42 m. This is within New Zealand’s exclusive economic zone (EEZ) and the environmental effects are governed by the Exclusive Economic Zone and Continental Shelf (Environmental Effects) Act 2012 (EEZ Act).  </w:t>
      </w:r>
    </w:p>
    <w:p w:rsidR="00EB625D" w:rsidRDefault="00EB625D" w:rsidP="00EB625D">
      <w:pPr>
        <w:pStyle w:val="ListParagraph"/>
        <w:numPr>
          <w:ilvl w:val="0"/>
          <w:numId w:val="6"/>
        </w:numPr>
        <w:spacing w:after="240" w:line="240" w:lineRule="auto"/>
        <w:contextualSpacing w:val="0"/>
        <w:rPr>
          <w:rFonts w:cs="Arial"/>
          <w:sz w:val="21"/>
          <w:szCs w:val="21"/>
        </w:rPr>
      </w:pPr>
      <w:r w:rsidRPr="00ED50F7">
        <w:rPr>
          <w:rFonts w:cs="Arial"/>
          <w:sz w:val="21"/>
          <w:szCs w:val="21"/>
        </w:rPr>
        <w:t>The TTR Project involves the excavation of up to 50 million tonnes per year of sand from the seabed and separating out the iron into an iron ore concentrate on an in</w:t>
      </w:r>
      <w:r w:rsidR="00017927">
        <w:rPr>
          <w:rFonts w:cs="Arial"/>
          <w:sz w:val="21"/>
          <w:szCs w:val="21"/>
        </w:rPr>
        <w:t xml:space="preserve">tegrated mining and processing </w:t>
      </w:r>
      <w:r w:rsidRPr="00ED50F7">
        <w:rPr>
          <w:rFonts w:cs="Arial"/>
          <w:sz w:val="21"/>
          <w:szCs w:val="21"/>
        </w:rPr>
        <w:t xml:space="preserve">vessel. </w:t>
      </w:r>
    </w:p>
    <w:p w:rsidR="00EB625D" w:rsidRDefault="00EB625D" w:rsidP="00EB625D">
      <w:pPr>
        <w:pStyle w:val="ListParagraph"/>
        <w:numPr>
          <w:ilvl w:val="0"/>
          <w:numId w:val="6"/>
        </w:numPr>
        <w:spacing w:after="240" w:line="240" w:lineRule="auto"/>
        <w:contextualSpacing w:val="0"/>
        <w:rPr>
          <w:rFonts w:cs="Arial"/>
          <w:sz w:val="21"/>
          <w:szCs w:val="21"/>
        </w:rPr>
      </w:pPr>
      <w:r w:rsidRPr="00ED50F7">
        <w:rPr>
          <w:rFonts w:cs="Arial"/>
          <w:sz w:val="21"/>
          <w:szCs w:val="21"/>
        </w:rPr>
        <w:lastRenderedPageBreak/>
        <w:t>Around 10% of the extracted material will be processed into iron ore concentrate for export. The residual sediment (approximately 45 million tonnes per year) will be returned to the seabed via a controlled discharge below the mining vessel, usually backfilling previously extracted areas.</w:t>
      </w:r>
    </w:p>
    <w:p w:rsidR="00EB625D" w:rsidRDefault="00EB625D" w:rsidP="00EB625D">
      <w:pPr>
        <w:pStyle w:val="ListParagraph"/>
        <w:numPr>
          <w:ilvl w:val="0"/>
          <w:numId w:val="6"/>
        </w:numPr>
        <w:spacing w:after="240" w:line="240" w:lineRule="auto"/>
        <w:contextualSpacing w:val="0"/>
        <w:rPr>
          <w:rFonts w:cs="Arial"/>
          <w:sz w:val="21"/>
          <w:szCs w:val="21"/>
        </w:rPr>
      </w:pPr>
      <w:r w:rsidRPr="00ED50F7">
        <w:rPr>
          <w:rFonts w:cs="Arial"/>
          <w:sz w:val="21"/>
          <w:szCs w:val="21"/>
        </w:rPr>
        <w:t xml:space="preserve">Iron ore concentrate from the mining vessel will be </w:t>
      </w:r>
      <w:proofErr w:type="spellStart"/>
      <w:r w:rsidRPr="00ED50F7">
        <w:rPr>
          <w:rFonts w:cs="Arial"/>
          <w:sz w:val="21"/>
          <w:szCs w:val="21"/>
        </w:rPr>
        <w:t>slurried</w:t>
      </w:r>
      <w:proofErr w:type="spellEnd"/>
      <w:r w:rsidRPr="00ED50F7">
        <w:rPr>
          <w:rFonts w:cs="Arial"/>
          <w:sz w:val="21"/>
          <w:szCs w:val="21"/>
        </w:rPr>
        <w:t xml:space="preserve"> to a transhipment vessel where it will be de-watered and stored ready for transfer to bulk carrier vessels for export to world markets. </w:t>
      </w:r>
    </w:p>
    <w:p w:rsidR="00EB625D" w:rsidRPr="00D62B04" w:rsidRDefault="00EB625D" w:rsidP="00EB625D">
      <w:pPr>
        <w:rPr>
          <w:b/>
          <w:i/>
        </w:rPr>
      </w:pPr>
      <w:r w:rsidRPr="00ED50F7">
        <w:rPr>
          <w:b/>
          <w:i/>
        </w:rPr>
        <w:t>What are the next steps?</w:t>
      </w:r>
    </w:p>
    <w:p w:rsidR="00EB625D" w:rsidRPr="00BC2422" w:rsidRDefault="00EB625D" w:rsidP="00BC2422">
      <w:pPr>
        <w:pStyle w:val="ListParagraph"/>
        <w:numPr>
          <w:ilvl w:val="0"/>
          <w:numId w:val="7"/>
        </w:numPr>
        <w:spacing w:after="0" w:line="240" w:lineRule="auto"/>
        <w:contextualSpacing w:val="0"/>
        <w:rPr>
          <w:rFonts w:cs="Arial"/>
          <w:i/>
          <w:sz w:val="21"/>
          <w:szCs w:val="21"/>
        </w:rPr>
      </w:pPr>
      <w:r w:rsidRPr="00ED50F7">
        <w:rPr>
          <w:rFonts w:cs="Arial"/>
          <w:sz w:val="21"/>
          <w:szCs w:val="21"/>
        </w:rPr>
        <w:t xml:space="preserve">The key next step for TTR is to secure ongoing project funding to complete definitive feasibility study work and fund the project through to production which if all goes to plan would be late 2016. </w:t>
      </w:r>
    </w:p>
    <w:p w:rsidR="00BC2422" w:rsidRPr="00BC2422" w:rsidRDefault="00BC2422" w:rsidP="00BC2422">
      <w:pPr>
        <w:pStyle w:val="ListParagraph"/>
        <w:spacing w:after="0" w:line="240" w:lineRule="auto"/>
        <w:contextualSpacing w:val="0"/>
        <w:rPr>
          <w:rFonts w:cs="Arial"/>
          <w:i/>
          <w:sz w:val="21"/>
          <w:szCs w:val="21"/>
        </w:rPr>
      </w:pPr>
    </w:p>
    <w:p w:rsidR="00EB625D" w:rsidRPr="00942624" w:rsidRDefault="00EB625D" w:rsidP="00EB625D">
      <w:pPr>
        <w:pStyle w:val="CommentText"/>
        <w:numPr>
          <w:ilvl w:val="0"/>
          <w:numId w:val="7"/>
        </w:numPr>
        <w:rPr>
          <w:i/>
        </w:rPr>
      </w:pPr>
      <w:r w:rsidRPr="00ED50F7">
        <w:rPr>
          <w:rFonts w:cs="Arial"/>
          <w:sz w:val="21"/>
          <w:szCs w:val="21"/>
        </w:rPr>
        <w:t xml:space="preserve">[Under the consent conditions TTR is required to undertake baseline monitoring </w:t>
      </w:r>
      <w:proofErr w:type="spellStart"/>
      <w:r w:rsidRPr="00ED50F7">
        <w:rPr>
          <w:rFonts w:cs="Arial"/>
          <w:sz w:val="21"/>
          <w:szCs w:val="21"/>
        </w:rPr>
        <w:t>programmes</w:t>
      </w:r>
      <w:proofErr w:type="spellEnd"/>
      <w:r w:rsidRPr="00ED50F7">
        <w:rPr>
          <w:rFonts w:cs="Arial"/>
          <w:sz w:val="21"/>
          <w:szCs w:val="21"/>
        </w:rPr>
        <w:t xml:space="preserve"> and establish oversight committees and the Community Trust before commencing mining. TTR will seek recommendations and expressions of interest to undertake these </w:t>
      </w:r>
      <w:proofErr w:type="spellStart"/>
      <w:r w:rsidRPr="00ED50F7">
        <w:rPr>
          <w:rFonts w:cs="Arial"/>
          <w:sz w:val="21"/>
          <w:szCs w:val="21"/>
        </w:rPr>
        <w:t>programmes</w:t>
      </w:r>
      <w:proofErr w:type="spellEnd"/>
      <w:r w:rsidRPr="00ED50F7">
        <w:rPr>
          <w:rFonts w:cs="Arial"/>
          <w:sz w:val="21"/>
          <w:szCs w:val="21"/>
        </w:rPr>
        <w:t xml:space="preserve"> once the decision to mine has been made].   </w:t>
      </w:r>
      <w:r w:rsidR="00942624" w:rsidRPr="00942624">
        <w:rPr>
          <w:rFonts w:cs="Arial"/>
          <w:i/>
          <w:sz w:val="21"/>
          <w:szCs w:val="21"/>
        </w:rPr>
        <w:t xml:space="preserve">Note: </w:t>
      </w:r>
      <w:r w:rsidR="00EB0BA3" w:rsidRPr="00942624">
        <w:rPr>
          <w:i/>
        </w:rPr>
        <w:t>Although this is probably the case, this para</w:t>
      </w:r>
      <w:r w:rsidR="00AD727C" w:rsidRPr="00942624">
        <w:rPr>
          <w:i/>
        </w:rPr>
        <w:t>graph</w:t>
      </w:r>
      <w:r w:rsidR="00EB0BA3" w:rsidRPr="00942624">
        <w:rPr>
          <w:i/>
        </w:rPr>
        <w:t xml:space="preserve"> needs reviewing once the final consent condition</w:t>
      </w:r>
      <w:r w:rsidR="00942624">
        <w:rPr>
          <w:i/>
        </w:rPr>
        <w:t>s</w:t>
      </w:r>
      <w:r w:rsidR="00EB0BA3" w:rsidRPr="00942624">
        <w:rPr>
          <w:i/>
        </w:rPr>
        <w:t xml:space="preserve"> are received.</w:t>
      </w:r>
    </w:p>
    <w:p w:rsidR="00EB0BA3" w:rsidRPr="00EB0BA3" w:rsidRDefault="00EB0BA3" w:rsidP="00EB0BA3">
      <w:pPr>
        <w:pStyle w:val="CommentText"/>
      </w:pPr>
    </w:p>
    <w:p w:rsidR="00EB625D" w:rsidRPr="00E5492D" w:rsidRDefault="00EB625D" w:rsidP="00EB625D">
      <w:pPr>
        <w:spacing w:after="240"/>
        <w:rPr>
          <w:rFonts w:ascii="HelveticaNeue-Light" w:eastAsiaTheme="minorHAnsi" w:hAnsi="HelveticaNeue-Light" w:cs="HelveticaNeue-Light"/>
          <w:color w:val="9A9A9A"/>
          <w:sz w:val="36"/>
          <w:szCs w:val="36"/>
          <w:lang w:val="en-US" w:eastAsia="en-US"/>
        </w:rPr>
      </w:pPr>
      <w:r w:rsidRPr="00E5492D">
        <w:rPr>
          <w:rFonts w:ascii="HelveticaNeue-Light" w:eastAsiaTheme="minorHAnsi" w:hAnsi="HelveticaNeue-Light" w:cs="HelveticaNeue-Light"/>
          <w:color w:val="9A9A9A"/>
          <w:sz w:val="36"/>
          <w:szCs w:val="36"/>
          <w:lang w:val="en-US" w:eastAsia="en-US"/>
        </w:rPr>
        <w:t xml:space="preserve">Economic Benefits </w:t>
      </w:r>
    </w:p>
    <w:p w:rsidR="00EB625D" w:rsidRPr="00ED50F7" w:rsidRDefault="00EB625D" w:rsidP="00EB625D">
      <w:pPr>
        <w:spacing w:after="240"/>
        <w:rPr>
          <w:rFonts w:cs="Arial"/>
          <w:b/>
          <w:i/>
          <w:sz w:val="21"/>
          <w:szCs w:val="21"/>
        </w:rPr>
      </w:pPr>
      <w:r w:rsidRPr="00E5492D">
        <w:rPr>
          <w:rFonts w:cs="Arial"/>
          <w:b/>
          <w:i/>
          <w:sz w:val="21"/>
          <w:szCs w:val="21"/>
        </w:rPr>
        <w:t>How many</w:t>
      </w:r>
      <w:r w:rsidRPr="00ED50F7">
        <w:rPr>
          <w:rFonts w:cs="Arial"/>
          <w:b/>
          <w:i/>
          <w:sz w:val="21"/>
          <w:szCs w:val="21"/>
        </w:rPr>
        <w:t xml:space="preserve"> jobs will the South </w:t>
      </w:r>
      <w:proofErr w:type="spellStart"/>
      <w:r w:rsidRPr="00ED50F7">
        <w:rPr>
          <w:rFonts w:cs="Arial"/>
          <w:b/>
          <w:i/>
          <w:sz w:val="21"/>
          <w:szCs w:val="21"/>
        </w:rPr>
        <w:t>Taranaki</w:t>
      </w:r>
      <w:proofErr w:type="spellEnd"/>
      <w:r w:rsidRPr="00ED50F7">
        <w:rPr>
          <w:rFonts w:cs="Arial"/>
          <w:b/>
          <w:i/>
          <w:sz w:val="21"/>
          <w:szCs w:val="21"/>
        </w:rPr>
        <w:t xml:space="preserve"> Bight Project create?</w:t>
      </w:r>
    </w:p>
    <w:p w:rsidR="00EB625D" w:rsidRDefault="00EB625D" w:rsidP="00EB625D">
      <w:pPr>
        <w:pStyle w:val="ListParagraph"/>
        <w:numPr>
          <w:ilvl w:val="0"/>
          <w:numId w:val="8"/>
        </w:numPr>
        <w:spacing w:after="240" w:line="240" w:lineRule="auto"/>
        <w:contextualSpacing w:val="0"/>
        <w:rPr>
          <w:rFonts w:cs="Arial"/>
          <w:sz w:val="21"/>
          <w:szCs w:val="21"/>
        </w:rPr>
      </w:pPr>
      <w:r w:rsidRPr="00ED50F7">
        <w:rPr>
          <w:rFonts w:cs="Arial"/>
          <w:sz w:val="21"/>
          <w:szCs w:val="21"/>
        </w:rPr>
        <w:t xml:space="preserve">Around 200 personnel will be required for the offshore vessels (the mining vessel, transhipment vessel and the anchor handling tug). Approximately another 50 fulltime equivalents will be employed by TTR, including administration, engineering, environmental staff and other contractors. </w:t>
      </w:r>
    </w:p>
    <w:p w:rsidR="00EB625D" w:rsidRDefault="00EB625D" w:rsidP="00EB625D">
      <w:pPr>
        <w:pStyle w:val="ListParagraph"/>
        <w:numPr>
          <w:ilvl w:val="0"/>
          <w:numId w:val="8"/>
        </w:numPr>
        <w:spacing w:after="0" w:line="240" w:lineRule="auto"/>
        <w:contextualSpacing w:val="0"/>
        <w:rPr>
          <w:rFonts w:cs="Arial"/>
          <w:sz w:val="21"/>
          <w:szCs w:val="21"/>
        </w:rPr>
      </w:pPr>
      <w:r w:rsidRPr="00ED50F7">
        <w:rPr>
          <w:rFonts w:cs="Arial"/>
          <w:sz w:val="21"/>
          <w:szCs w:val="21"/>
        </w:rPr>
        <w:t xml:space="preserve">NZIER estimates the project should create around 170 indirect jobs throughout the rest of the regional economy. </w:t>
      </w:r>
    </w:p>
    <w:p w:rsidR="00EB625D" w:rsidRPr="00ED50F7" w:rsidRDefault="00EB625D" w:rsidP="00EB625D">
      <w:pPr>
        <w:pStyle w:val="ListParagraph"/>
        <w:rPr>
          <w:rFonts w:cs="Arial"/>
          <w:sz w:val="21"/>
          <w:szCs w:val="21"/>
        </w:rPr>
      </w:pPr>
    </w:p>
    <w:p w:rsidR="00EB625D" w:rsidRDefault="00EB625D" w:rsidP="00891133">
      <w:pPr>
        <w:pStyle w:val="ListParagraph"/>
        <w:numPr>
          <w:ilvl w:val="0"/>
          <w:numId w:val="8"/>
        </w:numPr>
        <w:spacing w:after="0" w:line="240" w:lineRule="auto"/>
        <w:contextualSpacing w:val="0"/>
        <w:rPr>
          <w:rFonts w:cs="Arial"/>
          <w:sz w:val="21"/>
          <w:szCs w:val="21"/>
        </w:rPr>
      </w:pPr>
      <w:r w:rsidRPr="00ED50F7">
        <w:rPr>
          <w:rFonts w:cs="Arial"/>
          <w:sz w:val="21"/>
          <w:szCs w:val="21"/>
        </w:rPr>
        <w:t>The skills required and developed for the TTR project will produce higher wages for New Zealanders working for those firms and the skills tend to spill over into other support industries.</w:t>
      </w:r>
    </w:p>
    <w:p w:rsidR="00891133" w:rsidRPr="00891133" w:rsidRDefault="00891133" w:rsidP="00891133">
      <w:pPr>
        <w:spacing w:after="0" w:line="240" w:lineRule="auto"/>
        <w:rPr>
          <w:rFonts w:cs="Arial"/>
          <w:sz w:val="21"/>
          <w:szCs w:val="21"/>
        </w:rPr>
      </w:pPr>
    </w:p>
    <w:p w:rsidR="00EB625D" w:rsidRPr="00ED50F7" w:rsidRDefault="00EB625D" w:rsidP="001E22AB">
      <w:pPr>
        <w:spacing w:after="240"/>
        <w:rPr>
          <w:rFonts w:cs="Arial"/>
          <w:b/>
          <w:i/>
          <w:sz w:val="21"/>
          <w:szCs w:val="21"/>
        </w:rPr>
      </w:pPr>
      <w:r w:rsidRPr="00ED50F7">
        <w:rPr>
          <w:rFonts w:cs="Arial"/>
          <w:b/>
          <w:i/>
          <w:sz w:val="21"/>
          <w:szCs w:val="21"/>
        </w:rPr>
        <w:t xml:space="preserve">What are the economic benefits for New Zealand? </w:t>
      </w:r>
    </w:p>
    <w:p w:rsidR="00EB625D" w:rsidRDefault="00EB625D" w:rsidP="00EB625D">
      <w:pPr>
        <w:pStyle w:val="ListParagraph"/>
        <w:numPr>
          <w:ilvl w:val="0"/>
          <w:numId w:val="8"/>
        </w:numPr>
        <w:spacing w:after="240" w:line="240" w:lineRule="auto"/>
        <w:contextualSpacing w:val="0"/>
        <w:rPr>
          <w:rFonts w:cs="Arial"/>
          <w:sz w:val="21"/>
          <w:szCs w:val="21"/>
        </w:rPr>
      </w:pPr>
      <w:r w:rsidRPr="00ED50F7">
        <w:rPr>
          <w:rFonts w:cs="Arial"/>
          <w:sz w:val="21"/>
          <w:szCs w:val="21"/>
        </w:rPr>
        <w:t>During the hearing, the experts agreed that the project will lead to tax and royalty payments of approximately $</w:t>
      </w:r>
      <w:r>
        <w:rPr>
          <w:rFonts w:cs="Arial"/>
          <w:sz w:val="21"/>
          <w:szCs w:val="21"/>
        </w:rPr>
        <w:t>4</w:t>
      </w:r>
      <w:r w:rsidRPr="00ED50F7">
        <w:rPr>
          <w:rFonts w:cs="Arial"/>
          <w:sz w:val="21"/>
          <w:szCs w:val="21"/>
        </w:rPr>
        <w:t>0 million per year, which are a minimum baseline estimate of the economic benefits to New Zealand. This is without any regard for New Zealand labour, services or supplies.</w:t>
      </w:r>
    </w:p>
    <w:p w:rsidR="00EB625D" w:rsidRDefault="00EB625D" w:rsidP="00EB625D">
      <w:pPr>
        <w:pStyle w:val="ListParagraph"/>
        <w:numPr>
          <w:ilvl w:val="0"/>
          <w:numId w:val="8"/>
        </w:numPr>
        <w:spacing w:after="240" w:line="240" w:lineRule="auto"/>
        <w:contextualSpacing w:val="0"/>
        <w:rPr>
          <w:rFonts w:cs="Arial"/>
          <w:sz w:val="21"/>
          <w:szCs w:val="21"/>
        </w:rPr>
      </w:pPr>
      <w:r w:rsidRPr="00ED50F7">
        <w:rPr>
          <w:rFonts w:cs="Arial"/>
          <w:sz w:val="21"/>
          <w:szCs w:val="21"/>
        </w:rPr>
        <w:t xml:space="preserve">Wider economic benefits result from higher wages, increased employment and spending, and increased returns to capital. </w:t>
      </w:r>
    </w:p>
    <w:p w:rsidR="00EB625D" w:rsidRDefault="00EB625D" w:rsidP="00EB625D">
      <w:pPr>
        <w:pStyle w:val="ListParagraph"/>
        <w:numPr>
          <w:ilvl w:val="0"/>
          <w:numId w:val="8"/>
        </w:numPr>
        <w:spacing w:after="240" w:line="240" w:lineRule="auto"/>
        <w:contextualSpacing w:val="0"/>
        <w:rPr>
          <w:rFonts w:cs="Arial"/>
          <w:sz w:val="21"/>
          <w:szCs w:val="21"/>
        </w:rPr>
      </w:pPr>
      <w:r w:rsidRPr="00ED50F7">
        <w:rPr>
          <w:rFonts w:cs="Arial"/>
          <w:sz w:val="21"/>
          <w:szCs w:val="21"/>
        </w:rPr>
        <w:t>NZIER estimate the Project will increase the size of the New Zealand economy by:</w:t>
      </w:r>
    </w:p>
    <w:p w:rsidR="00EB625D" w:rsidRDefault="00EB625D" w:rsidP="00EB625D">
      <w:pPr>
        <w:pStyle w:val="ListParagraph"/>
        <w:numPr>
          <w:ilvl w:val="1"/>
          <w:numId w:val="8"/>
        </w:numPr>
        <w:spacing w:after="240" w:line="240" w:lineRule="auto"/>
        <w:rPr>
          <w:rFonts w:cs="Arial"/>
          <w:sz w:val="21"/>
          <w:szCs w:val="21"/>
        </w:rPr>
      </w:pPr>
      <w:r w:rsidRPr="003D418A">
        <w:rPr>
          <w:rFonts w:cs="Arial"/>
          <w:sz w:val="21"/>
          <w:szCs w:val="21"/>
        </w:rPr>
        <w:t>Increasing exports by $147 million per year</w:t>
      </w:r>
    </w:p>
    <w:p w:rsidR="00EB625D" w:rsidRDefault="00EB625D" w:rsidP="00EB625D">
      <w:pPr>
        <w:pStyle w:val="ListParagraph"/>
        <w:numPr>
          <w:ilvl w:val="1"/>
          <w:numId w:val="8"/>
        </w:numPr>
        <w:spacing w:after="240" w:line="240" w:lineRule="auto"/>
        <w:rPr>
          <w:rFonts w:cs="Arial"/>
          <w:sz w:val="21"/>
          <w:szCs w:val="21"/>
        </w:rPr>
      </w:pPr>
      <w:r w:rsidRPr="00AA4DBF">
        <w:rPr>
          <w:rFonts w:cs="Arial"/>
          <w:sz w:val="21"/>
          <w:szCs w:val="21"/>
        </w:rPr>
        <w:t>Increasing Gross Domestic Product (GDP) by $</w:t>
      </w:r>
      <w:r w:rsidRPr="003D418A">
        <w:rPr>
          <w:rFonts w:cs="Arial"/>
          <w:sz w:val="21"/>
          <w:szCs w:val="21"/>
        </w:rPr>
        <w:t>302 million per year</w:t>
      </w:r>
    </w:p>
    <w:p w:rsidR="00EB625D" w:rsidRDefault="00EB625D" w:rsidP="00EB625D">
      <w:pPr>
        <w:pStyle w:val="ListParagraph"/>
        <w:numPr>
          <w:ilvl w:val="1"/>
          <w:numId w:val="8"/>
        </w:numPr>
        <w:spacing w:after="240" w:line="240" w:lineRule="auto"/>
        <w:rPr>
          <w:rFonts w:cs="Arial"/>
          <w:sz w:val="21"/>
          <w:szCs w:val="21"/>
        </w:rPr>
      </w:pPr>
      <w:r w:rsidRPr="003D418A">
        <w:rPr>
          <w:rFonts w:cs="Arial"/>
          <w:sz w:val="21"/>
          <w:szCs w:val="21"/>
        </w:rPr>
        <w:t>Increasing household consumption by $104 million per year</w:t>
      </w:r>
    </w:p>
    <w:p w:rsidR="00EB625D" w:rsidRPr="003D418A" w:rsidRDefault="00EB625D" w:rsidP="00EB625D">
      <w:pPr>
        <w:pStyle w:val="ListParagraph"/>
        <w:spacing w:after="240"/>
        <w:ind w:left="1440"/>
        <w:rPr>
          <w:rFonts w:cs="Arial"/>
          <w:sz w:val="21"/>
          <w:szCs w:val="21"/>
        </w:rPr>
      </w:pPr>
    </w:p>
    <w:p w:rsidR="00EB625D" w:rsidRDefault="00EB625D" w:rsidP="00EB625D">
      <w:pPr>
        <w:pStyle w:val="ListParagraph"/>
        <w:numPr>
          <w:ilvl w:val="0"/>
          <w:numId w:val="8"/>
        </w:numPr>
        <w:spacing w:after="0" w:line="240" w:lineRule="auto"/>
        <w:contextualSpacing w:val="0"/>
        <w:rPr>
          <w:rFonts w:cs="Arial"/>
          <w:sz w:val="21"/>
          <w:szCs w:val="21"/>
        </w:rPr>
      </w:pPr>
      <w:r w:rsidRPr="00ED50F7">
        <w:rPr>
          <w:rFonts w:cs="Arial"/>
          <w:sz w:val="21"/>
          <w:szCs w:val="21"/>
        </w:rPr>
        <w:t xml:space="preserve">TTR is willing to commit to invest in New Zealand and </w:t>
      </w:r>
      <w:proofErr w:type="spellStart"/>
      <w:r w:rsidRPr="00ED50F7">
        <w:rPr>
          <w:rFonts w:cs="Arial"/>
          <w:sz w:val="21"/>
          <w:szCs w:val="21"/>
        </w:rPr>
        <w:t>Taranaki</w:t>
      </w:r>
      <w:proofErr w:type="spellEnd"/>
      <w:r w:rsidRPr="00ED50F7">
        <w:rPr>
          <w:rFonts w:cs="Arial"/>
          <w:sz w:val="21"/>
          <w:szCs w:val="21"/>
        </w:rPr>
        <w:t>. TTR has already invested over $</w:t>
      </w:r>
      <w:r>
        <w:rPr>
          <w:rFonts w:cs="Arial"/>
          <w:sz w:val="21"/>
          <w:szCs w:val="21"/>
        </w:rPr>
        <w:t>6</w:t>
      </w:r>
      <w:r w:rsidRPr="00ED50F7">
        <w:rPr>
          <w:rFonts w:cs="Arial"/>
          <w:sz w:val="21"/>
          <w:szCs w:val="21"/>
        </w:rPr>
        <w:t xml:space="preserve">0 million in New Zealand and this is a vote of confidence in the quality of New Zealand resources and people. TTR estimates it will spend approximately $150 </w:t>
      </w:r>
      <w:r>
        <w:rPr>
          <w:rFonts w:cs="Arial"/>
          <w:sz w:val="21"/>
          <w:szCs w:val="21"/>
        </w:rPr>
        <w:t xml:space="preserve">million </w:t>
      </w:r>
      <w:r w:rsidRPr="00ED50F7">
        <w:rPr>
          <w:rFonts w:cs="Arial"/>
          <w:sz w:val="21"/>
          <w:szCs w:val="21"/>
        </w:rPr>
        <w:t>annually in services, consumables, wages and royalties.</w:t>
      </w:r>
    </w:p>
    <w:p w:rsidR="00EB625D" w:rsidRPr="00ED50F7" w:rsidRDefault="00EB625D" w:rsidP="00EB625D">
      <w:pPr>
        <w:pStyle w:val="ListParagraph"/>
        <w:rPr>
          <w:rFonts w:cs="Arial"/>
          <w:sz w:val="21"/>
          <w:szCs w:val="21"/>
        </w:rPr>
      </w:pPr>
    </w:p>
    <w:p w:rsidR="00EB625D" w:rsidRDefault="00EB625D" w:rsidP="00B379F4">
      <w:pPr>
        <w:pStyle w:val="ListParagraph"/>
        <w:numPr>
          <w:ilvl w:val="0"/>
          <w:numId w:val="8"/>
        </w:numPr>
        <w:spacing w:after="0" w:line="240" w:lineRule="auto"/>
        <w:contextualSpacing w:val="0"/>
        <w:rPr>
          <w:rFonts w:cs="Arial"/>
          <w:sz w:val="21"/>
          <w:szCs w:val="21"/>
        </w:rPr>
      </w:pPr>
      <w:r w:rsidRPr="00ED50F7">
        <w:rPr>
          <w:rFonts w:cs="Arial"/>
          <w:sz w:val="21"/>
          <w:szCs w:val="21"/>
        </w:rPr>
        <w:lastRenderedPageBreak/>
        <w:t xml:space="preserve">As a small country, New Zealand does not have the large stock of capital therefore many large, expensive, capital intensive projects are funded by international investment. The investment benefits communities by providing employment, spending in the local economy through purchasing and economic growth results from the investment. </w:t>
      </w:r>
    </w:p>
    <w:p w:rsidR="00B379F4" w:rsidRPr="00B379F4" w:rsidRDefault="00B379F4" w:rsidP="00B379F4">
      <w:pPr>
        <w:spacing w:after="0" w:line="240" w:lineRule="auto"/>
        <w:rPr>
          <w:rFonts w:cs="Arial"/>
          <w:sz w:val="21"/>
          <w:szCs w:val="21"/>
        </w:rPr>
      </w:pPr>
    </w:p>
    <w:p w:rsidR="00EB625D" w:rsidRDefault="00EB625D" w:rsidP="000A4CD4">
      <w:pPr>
        <w:pStyle w:val="ListParagraph"/>
        <w:numPr>
          <w:ilvl w:val="0"/>
          <w:numId w:val="8"/>
        </w:numPr>
        <w:spacing w:after="0" w:line="240" w:lineRule="auto"/>
        <w:contextualSpacing w:val="0"/>
        <w:rPr>
          <w:rFonts w:cs="Arial"/>
          <w:sz w:val="21"/>
          <w:szCs w:val="21"/>
        </w:rPr>
      </w:pPr>
      <w:r w:rsidRPr="00ED50F7">
        <w:rPr>
          <w:rFonts w:cs="Arial"/>
          <w:sz w:val="21"/>
          <w:szCs w:val="21"/>
        </w:rPr>
        <w:t xml:space="preserve">TTR shareholders are making an investment in New Zealand, they are confident that the combination of their investment, the iron sand resource and New Zealand ingenuity, TTR can develop and export iron ore and offshore mining IP to the rest of the world. </w:t>
      </w:r>
    </w:p>
    <w:p w:rsidR="000A4CD4" w:rsidRPr="000A4CD4" w:rsidRDefault="000A4CD4" w:rsidP="000A4CD4">
      <w:pPr>
        <w:spacing w:after="0" w:line="240" w:lineRule="auto"/>
        <w:rPr>
          <w:rFonts w:cs="Arial"/>
          <w:sz w:val="21"/>
          <w:szCs w:val="21"/>
        </w:rPr>
      </w:pPr>
    </w:p>
    <w:p w:rsidR="00EB625D" w:rsidRPr="00ED50F7" w:rsidRDefault="00EB625D" w:rsidP="00EB625D">
      <w:pPr>
        <w:spacing w:after="240"/>
        <w:rPr>
          <w:rFonts w:cs="Arial"/>
          <w:b/>
          <w:i/>
          <w:sz w:val="21"/>
          <w:szCs w:val="21"/>
        </w:rPr>
      </w:pPr>
      <w:r w:rsidRPr="00ED50F7">
        <w:rPr>
          <w:rFonts w:cs="Arial"/>
          <w:b/>
          <w:i/>
          <w:sz w:val="21"/>
          <w:szCs w:val="21"/>
        </w:rPr>
        <w:t xml:space="preserve">What are the local benefits for South </w:t>
      </w:r>
      <w:proofErr w:type="spellStart"/>
      <w:r w:rsidRPr="00ED50F7">
        <w:rPr>
          <w:rFonts w:cs="Arial"/>
          <w:b/>
          <w:i/>
          <w:sz w:val="21"/>
          <w:szCs w:val="21"/>
        </w:rPr>
        <w:t>Taranaki</w:t>
      </w:r>
      <w:proofErr w:type="spellEnd"/>
      <w:r w:rsidRPr="00ED50F7">
        <w:rPr>
          <w:rFonts w:cs="Arial"/>
          <w:b/>
          <w:i/>
          <w:sz w:val="21"/>
          <w:szCs w:val="21"/>
        </w:rPr>
        <w:t>?</w:t>
      </w:r>
    </w:p>
    <w:p w:rsidR="00EB625D" w:rsidRDefault="00EB625D" w:rsidP="00EB625D">
      <w:pPr>
        <w:pStyle w:val="ListParagraph"/>
        <w:numPr>
          <w:ilvl w:val="0"/>
          <w:numId w:val="9"/>
        </w:numPr>
        <w:spacing w:after="240" w:line="240" w:lineRule="auto"/>
        <w:contextualSpacing w:val="0"/>
        <w:rPr>
          <w:rFonts w:cs="Arial"/>
          <w:sz w:val="21"/>
          <w:szCs w:val="21"/>
        </w:rPr>
      </w:pPr>
      <w:r w:rsidRPr="00ED50F7">
        <w:rPr>
          <w:rFonts w:cs="Arial"/>
          <w:sz w:val="21"/>
          <w:szCs w:val="21"/>
        </w:rPr>
        <w:t xml:space="preserve">NZIER estimate the Project will benefit the </w:t>
      </w:r>
      <w:proofErr w:type="spellStart"/>
      <w:r w:rsidRPr="00ED50F7">
        <w:rPr>
          <w:rFonts w:cs="Arial"/>
          <w:sz w:val="21"/>
          <w:szCs w:val="21"/>
        </w:rPr>
        <w:t>Taranaki</w:t>
      </w:r>
      <w:proofErr w:type="spellEnd"/>
      <w:r w:rsidRPr="00ED50F7">
        <w:rPr>
          <w:rFonts w:cs="Arial"/>
          <w:sz w:val="21"/>
          <w:szCs w:val="21"/>
        </w:rPr>
        <w:t xml:space="preserve"> regional economy by raising regional GDP by 3% or $240 million year.</w:t>
      </w:r>
    </w:p>
    <w:p w:rsidR="00EB625D" w:rsidRDefault="00EB625D" w:rsidP="00EB625D">
      <w:pPr>
        <w:pStyle w:val="ListParagraph"/>
        <w:numPr>
          <w:ilvl w:val="0"/>
          <w:numId w:val="9"/>
        </w:numPr>
        <w:spacing w:after="0" w:line="240" w:lineRule="auto"/>
        <w:contextualSpacing w:val="0"/>
        <w:rPr>
          <w:rFonts w:cs="Arial"/>
          <w:sz w:val="21"/>
          <w:szCs w:val="21"/>
        </w:rPr>
      </w:pPr>
      <w:r w:rsidRPr="00ED50F7">
        <w:rPr>
          <w:rFonts w:cs="Arial"/>
          <w:sz w:val="21"/>
          <w:szCs w:val="21"/>
        </w:rPr>
        <w:t>NZIER estimates the project should create around 170 indirect jobs thr</w:t>
      </w:r>
      <w:r>
        <w:rPr>
          <w:rFonts w:cs="Arial"/>
          <w:sz w:val="21"/>
          <w:szCs w:val="21"/>
        </w:rPr>
        <w:t xml:space="preserve">oughout the rest of the </w:t>
      </w:r>
      <w:proofErr w:type="spellStart"/>
      <w:r>
        <w:rPr>
          <w:rFonts w:cs="Arial"/>
          <w:sz w:val="21"/>
          <w:szCs w:val="21"/>
        </w:rPr>
        <w:t>Taranaki</w:t>
      </w:r>
      <w:proofErr w:type="spellEnd"/>
      <w:r>
        <w:rPr>
          <w:rFonts w:cs="Arial"/>
          <w:sz w:val="21"/>
          <w:szCs w:val="21"/>
        </w:rPr>
        <w:t xml:space="preserve"> region</w:t>
      </w:r>
      <w:r w:rsidRPr="00ED50F7">
        <w:rPr>
          <w:rFonts w:cs="Arial"/>
          <w:sz w:val="21"/>
          <w:szCs w:val="21"/>
        </w:rPr>
        <w:t xml:space="preserve">. </w:t>
      </w:r>
    </w:p>
    <w:p w:rsidR="00EB625D" w:rsidRDefault="00EB625D" w:rsidP="00EB625D">
      <w:pPr>
        <w:pStyle w:val="ListParagraph"/>
        <w:rPr>
          <w:rFonts w:cs="Arial"/>
          <w:sz w:val="21"/>
          <w:szCs w:val="21"/>
        </w:rPr>
      </w:pPr>
    </w:p>
    <w:p w:rsidR="00EB625D" w:rsidRDefault="00EB625D" w:rsidP="00EB625D">
      <w:pPr>
        <w:pStyle w:val="ListParagraph"/>
        <w:numPr>
          <w:ilvl w:val="0"/>
          <w:numId w:val="9"/>
        </w:numPr>
        <w:spacing w:after="240" w:line="240" w:lineRule="auto"/>
        <w:contextualSpacing w:val="0"/>
        <w:rPr>
          <w:rFonts w:cs="Arial"/>
          <w:sz w:val="21"/>
          <w:szCs w:val="21"/>
        </w:rPr>
      </w:pPr>
      <w:r w:rsidRPr="00ED50F7">
        <w:rPr>
          <w:rFonts w:cs="Arial"/>
          <w:spacing w:val="-3"/>
          <w:sz w:val="21"/>
          <w:szCs w:val="21"/>
        </w:rPr>
        <w:t xml:space="preserve">There will be </w:t>
      </w:r>
      <w:r w:rsidRPr="00ED50F7">
        <w:rPr>
          <w:rFonts w:cs="Arial"/>
          <w:spacing w:val="1"/>
          <w:sz w:val="21"/>
          <w:szCs w:val="21"/>
        </w:rPr>
        <w:t>i</w:t>
      </w:r>
      <w:r w:rsidRPr="00ED50F7">
        <w:rPr>
          <w:rFonts w:cs="Arial"/>
          <w:sz w:val="21"/>
          <w:szCs w:val="21"/>
        </w:rPr>
        <w:t>nc</w:t>
      </w:r>
      <w:r w:rsidRPr="00ED50F7">
        <w:rPr>
          <w:rFonts w:cs="Arial"/>
          <w:spacing w:val="-2"/>
          <w:sz w:val="21"/>
          <w:szCs w:val="21"/>
        </w:rPr>
        <w:t>r</w:t>
      </w:r>
      <w:r w:rsidRPr="00ED50F7">
        <w:rPr>
          <w:rFonts w:cs="Arial"/>
          <w:spacing w:val="2"/>
          <w:sz w:val="21"/>
          <w:szCs w:val="21"/>
        </w:rPr>
        <w:t>e</w:t>
      </w:r>
      <w:r w:rsidRPr="00ED50F7">
        <w:rPr>
          <w:rFonts w:cs="Arial"/>
          <w:spacing w:val="-2"/>
          <w:sz w:val="21"/>
          <w:szCs w:val="21"/>
        </w:rPr>
        <w:t>a</w:t>
      </w:r>
      <w:r w:rsidRPr="00ED50F7">
        <w:rPr>
          <w:rFonts w:cs="Arial"/>
          <w:spacing w:val="1"/>
          <w:sz w:val="21"/>
          <w:szCs w:val="21"/>
        </w:rPr>
        <w:t>s</w:t>
      </w:r>
      <w:r w:rsidRPr="00ED50F7">
        <w:rPr>
          <w:rFonts w:cs="Arial"/>
          <w:spacing w:val="-2"/>
          <w:sz w:val="21"/>
          <w:szCs w:val="21"/>
        </w:rPr>
        <w:t>ed</w:t>
      </w:r>
      <w:r w:rsidRPr="00ED50F7">
        <w:rPr>
          <w:rFonts w:cs="Arial"/>
          <w:spacing w:val="-3"/>
          <w:sz w:val="21"/>
          <w:szCs w:val="21"/>
        </w:rPr>
        <w:t xml:space="preserve"> </w:t>
      </w:r>
      <w:r w:rsidRPr="00ED50F7">
        <w:rPr>
          <w:rFonts w:cs="Arial"/>
          <w:sz w:val="21"/>
          <w:szCs w:val="21"/>
        </w:rPr>
        <w:t>oppo</w:t>
      </w:r>
      <w:r w:rsidRPr="00ED50F7">
        <w:rPr>
          <w:rFonts w:cs="Arial"/>
          <w:spacing w:val="-1"/>
          <w:sz w:val="21"/>
          <w:szCs w:val="21"/>
        </w:rPr>
        <w:t>r</w:t>
      </w:r>
      <w:r w:rsidRPr="00ED50F7">
        <w:rPr>
          <w:rFonts w:cs="Arial"/>
          <w:spacing w:val="-2"/>
          <w:sz w:val="21"/>
          <w:szCs w:val="21"/>
        </w:rPr>
        <w:t>t</w:t>
      </w:r>
      <w:r w:rsidRPr="00ED50F7">
        <w:rPr>
          <w:rFonts w:cs="Arial"/>
          <w:sz w:val="21"/>
          <w:szCs w:val="21"/>
        </w:rPr>
        <w:t>un</w:t>
      </w:r>
      <w:r w:rsidRPr="00ED50F7">
        <w:rPr>
          <w:rFonts w:cs="Arial"/>
          <w:spacing w:val="1"/>
          <w:sz w:val="21"/>
          <w:szCs w:val="21"/>
        </w:rPr>
        <w:t>i</w:t>
      </w:r>
      <w:r w:rsidRPr="00ED50F7">
        <w:rPr>
          <w:rFonts w:cs="Arial"/>
          <w:spacing w:val="-2"/>
          <w:sz w:val="21"/>
          <w:szCs w:val="21"/>
        </w:rPr>
        <w:t>t</w:t>
      </w:r>
      <w:r w:rsidRPr="00ED50F7">
        <w:rPr>
          <w:rFonts w:cs="Arial"/>
          <w:spacing w:val="1"/>
          <w:sz w:val="21"/>
          <w:szCs w:val="21"/>
        </w:rPr>
        <w:t>i</w:t>
      </w:r>
      <w:r w:rsidRPr="00ED50F7">
        <w:rPr>
          <w:rFonts w:cs="Arial"/>
          <w:spacing w:val="-2"/>
          <w:sz w:val="21"/>
          <w:szCs w:val="21"/>
        </w:rPr>
        <w:t>e</w:t>
      </w:r>
      <w:r w:rsidRPr="00ED50F7">
        <w:rPr>
          <w:rFonts w:cs="Arial"/>
          <w:sz w:val="21"/>
          <w:szCs w:val="21"/>
        </w:rPr>
        <w:t>s</w:t>
      </w:r>
      <w:r w:rsidRPr="00ED50F7">
        <w:rPr>
          <w:rFonts w:cs="Arial"/>
          <w:spacing w:val="-4"/>
          <w:sz w:val="21"/>
          <w:szCs w:val="21"/>
        </w:rPr>
        <w:t xml:space="preserve"> </w:t>
      </w:r>
      <w:r w:rsidRPr="00ED50F7">
        <w:rPr>
          <w:rFonts w:cs="Arial"/>
          <w:sz w:val="21"/>
          <w:szCs w:val="21"/>
        </w:rPr>
        <w:t>for</w:t>
      </w:r>
      <w:r w:rsidRPr="00ED50F7">
        <w:rPr>
          <w:rFonts w:cs="Arial"/>
          <w:w w:val="99"/>
          <w:sz w:val="21"/>
          <w:szCs w:val="21"/>
        </w:rPr>
        <w:t xml:space="preserve"> </w:t>
      </w:r>
      <w:r w:rsidRPr="00ED50F7">
        <w:rPr>
          <w:rFonts w:cs="Arial"/>
          <w:spacing w:val="-1"/>
          <w:sz w:val="21"/>
          <w:szCs w:val="21"/>
        </w:rPr>
        <w:t>r</w:t>
      </w:r>
      <w:r w:rsidRPr="00ED50F7">
        <w:rPr>
          <w:rFonts w:cs="Arial"/>
          <w:spacing w:val="-2"/>
          <w:sz w:val="21"/>
          <w:szCs w:val="21"/>
        </w:rPr>
        <w:t>e</w:t>
      </w:r>
      <w:r w:rsidRPr="00ED50F7">
        <w:rPr>
          <w:rFonts w:cs="Arial"/>
          <w:spacing w:val="1"/>
          <w:sz w:val="21"/>
          <w:szCs w:val="21"/>
        </w:rPr>
        <w:t>si</w:t>
      </w:r>
      <w:r w:rsidRPr="00ED50F7">
        <w:rPr>
          <w:rFonts w:cs="Arial"/>
          <w:sz w:val="21"/>
          <w:szCs w:val="21"/>
        </w:rPr>
        <w:t>d</w:t>
      </w:r>
      <w:r w:rsidRPr="00ED50F7">
        <w:rPr>
          <w:rFonts w:cs="Arial"/>
          <w:spacing w:val="-2"/>
          <w:sz w:val="21"/>
          <w:szCs w:val="21"/>
        </w:rPr>
        <w:t>e</w:t>
      </w:r>
      <w:r w:rsidRPr="00ED50F7">
        <w:rPr>
          <w:rFonts w:cs="Arial"/>
          <w:sz w:val="21"/>
          <w:szCs w:val="21"/>
        </w:rPr>
        <w:t>n</w:t>
      </w:r>
      <w:r w:rsidRPr="00ED50F7">
        <w:rPr>
          <w:rFonts w:cs="Arial"/>
          <w:spacing w:val="-2"/>
          <w:sz w:val="21"/>
          <w:szCs w:val="21"/>
        </w:rPr>
        <w:t>t</w:t>
      </w:r>
      <w:r w:rsidRPr="00ED50F7">
        <w:rPr>
          <w:rFonts w:cs="Arial"/>
          <w:sz w:val="21"/>
          <w:szCs w:val="21"/>
        </w:rPr>
        <w:t>s</w:t>
      </w:r>
      <w:r w:rsidRPr="00ED50F7">
        <w:rPr>
          <w:rFonts w:cs="Arial"/>
          <w:spacing w:val="-2"/>
          <w:sz w:val="21"/>
          <w:szCs w:val="21"/>
        </w:rPr>
        <w:t xml:space="preserve"> </w:t>
      </w:r>
      <w:r w:rsidRPr="00ED50F7">
        <w:rPr>
          <w:rFonts w:cs="Arial"/>
          <w:sz w:val="21"/>
          <w:szCs w:val="21"/>
        </w:rPr>
        <w:t>of</w:t>
      </w:r>
      <w:r w:rsidRPr="00ED50F7">
        <w:rPr>
          <w:rFonts w:cs="Arial"/>
          <w:spacing w:val="-4"/>
          <w:sz w:val="21"/>
          <w:szCs w:val="21"/>
        </w:rPr>
        <w:t xml:space="preserve"> </w:t>
      </w:r>
      <w:proofErr w:type="spellStart"/>
      <w:r w:rsidRPr="00ED50F7">
        <w:rPr>
          <w:rFonts w:cs="Arial"/>
          <w:sz w:val="21"/>
          <w:szCs w:val="21"/>
        </w:rPr>
        <w:t>T</w:t>
      </w:r>
      <w:r w:rsidRPr="00ED50F7">
        <w:rPr>
          <w:rFonts w:cs="Arial"/>
          <w:spacing w:val="2"/>
          <w:sz w:val="21"/>
          <w:szCs w:val="21"/>
        </w:rPr>
        <w:t>a</w:t>
      </w:r>
      <w:r w:rsidRPr="00ED50F7">
        <w:rPr>
          <w:rFonts w:cs="Arial"/>
          <w:spacing w:val="-1"/>
          <w:sz w:val="21"/>
          <w:szCs w:val="21"/>
        </w:rPr>
        <w:t>r</w:t>
      </w:r>
      <w:r w:rsidRPr="00ED50F7">
        <w:rPr>
          <w:rFonts w:cs="Arial"/>
          <w:spacing w:val="-2"/>
          <w:sz w:val="21"/>
          <w:szCs w:val="21"/>
        </w:rPr>
        <w:t>a</w:t>
      </w:r>
      <w:r w:rsidRPr="00ED50F7">
        <w:rPr>
          <w:rFonts w:cs="Arial"/>
          <w:sz w:val="21"/>
          <w:szCs w:val="21"/>
        </w:rPr>
        <w:t>n</w:t>
      </w:r>
      <w:r w:rsidRPr="00ED50F7">
        <w:rPr>
          <w:rFonts w:cs="Arial"/>
          <w:spacing w:val="-1"/>
          <w:sz w:val="21"/>
          <w:szCs w:val="21"/>
        </w:rPr>
        <w:t>a</w:t>
      </w:r>
      <w:r w:rsidRPr="00ED50F7">
        <w:rPr>
          <w:rFonts w:cs="Arial"/>
          <w:sz w:val="21"/>
          <w:szCs w:val="21"/>
        </w:rPr>
        <w:t>ki</w:t>
      </w:r>
      <w:proofErr w:type="spellEnd"/>
      <w:r w:rsidRPr="00ED50F7">
        <w:rPr>
          <w:rFonts w:cs="Arial"/>
          <w:spacing w:val="1"/>
          <w:sz w:val="21"/>
          <w:szCs w:val="21"/>
        </w:rPr>
        <w:t xml:space="preserve"> </w:t>
      </w:r>
      <w:r w:rsidRPr="00ED50F7">
        <w:rPr>
          <w:rFonts w:cs="Arial"/>
          <w:spacing w:val="-2"/>
          <w:sz w:val="21"/>
          <w:szCs w:val="21"/>
        </w:rPr>
        <w:t>a</w:t>
      </w:r>
      <w:r w:rsidRPr="00ED50F7">
        <w:rPr>
          <w:rFonts w:cs="Arial"/>
          <w:sz w:val="21"/>
          <w:szCs w:val="21"/>
        </w:rPr>
        <w:t>nd</w:t>
      </w:r>
      <w:r w:rsidRPr="00ED50F7">
        <w:rPr>
          <w:rFonts w:cs="Arial"/>
          <w:spacing w:val="-3"/>
          <w:sz w:val="21"/>
          <w:szCs w:val="21"/>
        </w:rPr>
        <w:t xml:space="preserve"> </w:t>
      </w:r>
      <w:proofErr w:type="spellStart"/>
      <w:r w:rsidRPr="00ED50F7">
        <w:rPr>
          <w:rFonts w:cs="Arial"/>
          <w:sz w:val="21"/>
          <w:szCs w:val="21"/>
        </w:rPr>
        <w:t>Wh</w:t>
      </w:r>
      <w:r w:rsidRPr="00ED50F7">
        <w:rPr>
          <w:rFonts w:cs="Arial"/>
          <w:spacing w:val="-2"/>
          <w:sz w:val="21"/>
          <w:szCs w:val="21"/>
        </w:rPr>
        <w:t>a</w:t>
      </w:r>
      <w:r w:rsidRPr="00ED50F7">
        <w:rPr>
          <w:rFonts w:cs="Arial"/>
          <w:sz w:val="21"/>
          <w:szCs w:val="21"/>
        </w:rPr>
        <w:t>ng</w:t>
      </w:r>
      <w:r w:rsidRPr="00ED50F7">
        <w:rPr>
          <w:rFonts w:cs="Arial"/>
          <w:spacing w:val="-2"/>
          <w:sz w:val="21"/>
          <w:szCs w:val="21"/>
        </w:rPr>
        <w:t>a</w:t>
      </w:r>
      <w:r w:rsidRPr="00ED50F7">
        <w:rPr>
          <w:rFonts w:cs="Arial"/>
          <w:sz w:val="21"/>
          <w:szCs w:val="21"/>
        </w:rPr>
        <w:t>nui</w:t>
      </w:r>
      <w:proofErr w:type="spellEnd"/>
      <w:r w:rsidRPr="00ED50F7">
        <w:rPr>
          <w:rFonts w:cs="Arial"/>
          <w:spacing w:val="-3"/>
          <w:sz w:val="21"/>
          <w:szCs w:val="21"/>
        </w:rPr>
        <w:t xml:space="preserve"> </w:t>
      </w:r>
      <w:r w:rsidRPr="00ED50F7">
        <w:rPr>
          <w:rFonts w:cs="Arial"/>
          <w:spacing w:val="2"/>
          <w:sz w:val="21"/>
          <w:szCs w:val="21"/>
        </w:rPr>
        <w:t>t</w:t>
      </w:r>
      <w:r w:rsidRPr="00ED50F7">
        <w:rPr>
          <w:rFonts w:cs="Arial"/>
          <w:sz w:val="21"/>
          <w:szCs w:val="21"/>
        </w:rPr>
        <w:t>o</w:t>
      </w:r>
      <w:r w:rsidRPr="00ED50F7">
        <w:rPr>
          <w:rFonts w:cs="Arial"/>
          <w:spacing w:val="-4"/>
          <w:sz w:val="21"/>
          <w:szCs w:val="21"/>
        </w:rPr>
        <w:t xml:space="preserve"> </w:t>
      </w:r>
      <w:r w:rsidRPr="00ED50F7">
        <w:rPr>
          <w:rFonts w:cs="Arial"/>
          <w:spacing w:val="-2"/>
          <w:sz w:val="21"/>
          <w:szCs w:val="21"/>
        </w:rPr>
        <w:t>ac</w:t>
      </w:r>
      <w:r w:rsidRPr="00ED50F7">
        <w:rPr>
          <w:rFonts w:cs="Arial"/>
          <w:spacing w:val="2"/>
          <w:sz w:val="21"/>
          <w:szCs w:val="21"/>
        </w:rPr>
        <w:t>c</w:t>
      </w:r>
      <w:r w:rsidRPr="00ED50F7">
        <w:rPr>
          <w:rFonts w:cs="Arial"/>
          <w:spacing w:val="-2"/>
          <w:sz w:val="21"/>
          <w:szCs w:val="21"/>
        </w:rPr>
        <w:t>e</w:t>
      </w:r>
      <w:r w:rsidRPr="00ED50F7">
        <w:rPr>
          <w:rFonts w:cs="Arial"/>
          <w:spacing w:val="1"/>
          <w:sz w:val="21"/>
          <w:szCs w:val="21"/>
        </w:rPr>
        <w:t>s</w:t>
      </w:r>
      <w:r w:rsidRPr="00ED50F7">
        <w:rPr>
          <w:rFonts w:cs="Arial"/>
          <w:sz w:val="21"/>
          <w:szCs w:val="21"/>
        </w:rPr>
        <w:t>s</w:t>
      </w:r>
      <w:r w:rsidRPr="00ED50F7">
        <w:rPr>
          <w:rFonts w:cs="Arial"/>
          <w:spacing w:val="2"/>
          <w:sz w:val="21"/>
          <w:szCs w:val="21"/>
        </w:rPr>
        <w:t xml:space="preserve"> </w:t>
      </w:r>
      <w:r w:rsidRPr="00ED50F7">
        <w:rPr>
          <w:rFonts w:cs="Arial"/>
          <w:spacing w:val="-2"/>
          <w:sz w:val="21"/>
          <w:szCs w:val="21"/>
        </w:rPr>
        <w:t>t</w:t>
      </w:r>
      <w:r w:rsidRPr="00ED50F7">
        <w:rPr>
          <w:rFonts w:cs="Arial"/>
          <w:spacing w:val="-1"/>
          <w:sz w:val="21"/>
          <w:szCs w:val="21"/>
        </w:rPr>
        <w:t>r</w:t>
      </w:r>
      <w:r w:rsidRPr="00ED50F7">
        <w:rPr>
          <w:rFonts w:cs="Arial"/>
          <w:spacing w:val="-2"/>
          <w:sz w:val="21"/>
          <w:szCs w:val="21"/>
        </w:rPr>
        <w:t>a</w:t>
      </w:r>
      <w:r w:rsidRPr="00ED50F7">
        <w:rPr>
          <w:rFonts w:cs="Arial"/>
          <w:spacing w:val="1"/>
          <w:sz w:val="21"/>
          <w:szCs w:val="21"/>
        </w:rPr>
        <w:t>i</w:t>
      </w:r>
      <w:r w:rsidRPr="00ED50F7">
        <w:rPr>
          <w:rFonts w:cs="Arial"/>
          <w:sz w:val="21"/>
          <w:szCs w:val="21"/>
        </w:rPr>
        <w:t>n</w:t>
      </w:r>
      <w:r w:rsidRPr="00ED50F7">
        <w:rPr>
          <w:rFonts w:cs="Arial"/>
          <w:spacing w:val="1"/>
          <w:sz w:val="21"/>
          <w:szCs w:val="21"/>
        </w:rPr>
        <w:t>i</w:t>
      </w:r>
      <w:r w:rsidRPr="00ED50F7">
        <w:rPr>
          <w:rFonts w:cs="Arial"/>
          <w:sz w:val="21"/>
          <w:szCs w:val="21"/>
        </w:rPr>
        <w:t>ng</w:t>
      </w:r>
      <w:r w:rsidRPr="00ED50F7">
        <w:rPr>
          <w:rFonts w:cs="Arial"/>
          <w:spacing w:val="-3"/>
          <w:sz w:val="21"/>
          <w:szCs w:val="21"/>
        </w:rPr>
        <w:t xml:space="preserve"> </w:t>
      </w:r>
      <w:r w:rsidRPr="00ED50F7">
        <w:rPr>
          <w:rFonts w:cs="Arial"/>
          <w:sz w:val="21"/>
          <w:szCs w:val="21"/>
        </w:rPr>
        <w:t xml:space="preserve">and work experience </w:t>
      </w:r>
      <w:r w:rsidRPr="00ED50F7">
        <w:rPr>
          <w:rFonts w:cs="Arial"/>
          <w:spacing w:val="-2"/>
          <w:sz w:val="21"/>
          <w:szCs w:val="21"/>
        </w:rPr>
        <w:t>t</w:t>
      </w:r>
      <w:r w:rsidRPr="00ED50F7">
        <w:rPr>
          <w:rFonts w:cs="Arial"/>
          <w:sz w:val="21"/>
          <w:szCs w:val="21"/>
        </w:rPr>
        <w:t>h</w:t>
      </w:r>
      <w:r w:rsidRPr="00ED50F7">
        <w:rPr>
          <w:rFonts w:cs="Arial"/>
          <w:spacing w:val="2"/>
          <w:sz w:val="21"/>
          <w:szCs w:val="21"/>
        </w:rPr>
        <w:t>a</w:t>
      </w:r>
      <w:r w:rsidRPr="00ED50F7">
        <w:rPr>
          <w:rFonts w:cs="Arial"/>
          <w:sz w:val="21"/>
          <w:szCs w:val="21"/>
        </w:rPr>
        <w:t>t</w:t>
      </w:r>
      <w:r w:rsidRPr="00ED50F7">
        <w:rPr>
          <w:rFonts w:cs="Arial"/>
          <w:spacing w:val="-6"/>
          <w:sz w:val="21"/>
          <w:szCs w:val="21"/>
        </w:rPr>
        <w:t xml:space="preserve"> </w:t>
      </w:r>
      <w:r w:rsidRPr="00ED50F7">
        <w:rPr>
          <w:rFonts w:cs="Arial"/>
          <w:spacing w:val="1"/>
          <w:sz w:val="21"/>
          <w:szCs w:val="21"/>
        </w:rPr>
        <w:t>i</w:t>
      </w:r>
      <w:r w:rsidRPr="00ED50F7">
        <w:rPr>
          <w:rFonts w:cs="Arial"/>
          <w:sz w:val="21"/>
          <w:szCs w:val="21"/>
        </w:rPr>
        <w:t>s</w:t>
      </w:r>
      <w:r w:rsidRPr="00ED50F7">
        <w:rPr>
          <w:rFonts w:cs="Arial"/>
          <w:spacing w:val="-2"/>
          <w:sz w:val="21"/>
          <w:szCs w:val="21"/>
        </w:rPr>
        <w:t xml:space="preserve"> </w:t>
      </w:r>
      <w:r w:rsidRPr="00ED50F7">
        <w:rPr>
          <w:rFonts w:cs="Arial"/>
          <w:spacing w:val="-1"/>
          <w:sz w:val="21"/>
          <w:szCs w:val="21"/>
        </w:rPr>
        <w:t>r</w:t>
      </w:r>
      <w:r w:rsidRPr="00ED50F7">
        <w:rPr>
          <w:rFonts w:cs="Arial"/>
          <w:spacing w:val="-2"/>
          <w:sz w:val="21"/>
          <w:szCs w:val="21"/>
        </w:rPr>
        <w:t>e</w:t>
      </w:r>
      <w:r w:rsidRPr="00ED50F7">
        <w:rPr>
          <w:rFonts w:cs="Arial"/>
          <w:spacing w:val="1"/>
          <w:sz w:val="21"/>
          <w:szCs w:val="21"/>
        </w:rPr>
        <w:t>l</w:t>
      </w:r>
      <w:r w:rsidRPr="00ED50F7">
        <w:rPr>
          <w:rFonts w:cs="Arial"/>
          <w:spacing w:val="-2"/>
          <w:sz w:val="21"/>
          <w:szCs w:val="21"/>
        </w:rPr>
        <w:t>e</w:t>
      </w:r>
      <w:r w:rsidRPr="00ED50F7">
        <w:rPr>
          <w:rFonts w:cs="Arial"/>
          <w:spacing w:val="4"/>
          <w:sz w:val="21"/>
          <w:szCs w:val="21"/>
        </w:rPr>
        <w:t>v</w:t>
      </w:r>
      <w:r w:rsidRPr="00ED50F7">
        <w:rPr>
          <w:rFonts w:cs="Arial"/>
          <w:spacing w:val="-2"/>
          <w:sz w:val="21"/>
          <w:szCs w:val="21"/>
        </w:rPr>
        <w:t>a</w:t>
      </w:r>
      <w:r w:rsidRPr="00ED50F7">
        <w:rPr>
          <w:rFonts w:cs="Arial"/>
          <w:sz w:val="21"/>
          <w:szCs w:val="21"/>
        </w:rPr>
        <w:t>nt</w:t>
      </w:r>
      <w:r w:rsidRPr="00ED50F7">
        <w:rPr>
          <w:rFonts w:cs="Arial"/>
          <w:spacing w:val="-2"/>
          <w:sz w:val="21"/>
          <w:szCs w:val="21"/>
        </w:rPr>
        <w:t xml:space="preserve"> t</w:t>
      </w:r>
      <w:r w:rsidRPr="00ED50F7">
        <w:rPr>
          <w:rFonts w:cs="Arial"/>
          <w:sz w:val="21"/>
          <w:szCs w:val="21"/>
        </w:rPr>
        <w:t>o</w:t>
      </w:r>
      <w:r w:rsidRPr="00ED50F7">
        <w:rPr>
          <w:rFonts w:cs="Arial"/>
          <w:spacing w:val="-4"/>
          <w:sz w:val="21"/>
          <w:szCs w:val="21"/>
        </w:rPr>
        <w:t xml:space="preserve"> </w:t>
      </w:r>
      <w:r w:rsidRPr="00ED50F7">
        <w:rPr>
          <w:rFonts w:cs="Arial"/>
          <w:spacing w:val="-2"/>
          <w:sz w:val="21"/>
          <w:szCs w:val="21"/>
        </w:rPr>
        <w:t>t</w:t>
      </w:r>
      <w:r w:rsidRPr="00ED50F7">
        <w:rPr>
          <w:rFonts w:cs="Arial"/>
          <w:spacing w:val="4"/>
          <w:sz w:val="21"/>
          <w:szCs w:val="21"/>
        </w:rPr>
        <w:t>h</w:t>
      </w:r>
      <w:r w:rsidRPr="00ED50F7">
        <w:rPr>
          <w:rFonts w:cs="Arial"/>
          <w:sz w:val="21"/>
          <w:szCs w:val="21"/>
        </w:rPr>
        <w:t>e</w:t>
      </w:r>
      <w:r w:rsidRPr="00ED50F7">
        <w:rPr>
          <w:rFonts w:cs="Arial"/>
          <w:w w:val="99"/>
          <w:sz w:val="21"/>
          <w:szCs w:val="21"/>
        </w:rPr>
        <w:t xml:space="preserve"> </w:t>
      </w:r>
      <w:r w:rsidRPr="00ED50F7">
        <w:rPr>
          <w:rFonts w:cs="Arial"/>
          <w:spacing w:val="-1"/>
          <w:sz w:val="21"/>
          <w:szCs w:val="21"/>
        </w:rPr>
        <w:t>r</w:t>
      </w:r>
      <w:r w:rsidRPr="00ED50F7">
        <w:rPr>
          <w:rFonts w:cs="Arial"/>
          <w:spacing w:val="-2"/>
          <w:sz w:val="21"/>
          <w:szCs w:val="21"/>
        </w:rPr>
        <w:t>a</w:t>
      </w:r>
      <w:r w:rsidRPr="00ED50F7">
        <w:rPr>
          <w:rFonts w:cs="Arial"/>
          <w:sz w:val="21"/>
          <w:szCs w:val="21"/>
        </w:rPr>
        <w:t>nge</w:t>
      </w:r>
      <w:r w:rsidRPr="00ED50F7">
        <w:rPr>
          <w:rFonts w:cs="Arial"/>
          <w:spacing w:val="-5"/>
          <w:sz w:val="21"/>
          <w:szCs w:val="21"/>
        </w:rPr>
        <w:t xml:space="preserve"> </w:t>
      </w:r>
      <w:r w:rsidRPr="00ED50F7">
        <w:rPr>
          <w:rFonts w:cs="Arial"/>
          <w:sz w:val="21"/>
          <w:szCs w:val="21"/>
        </w:rPr>
        <w:t>of</w:t>
      </w:r>
      <w:r w:rsidRPr="00ED50F7">
        <w:rPr>
          <w:rFonts w:cs="Arial"/>
          <w:spacing w:val="-3"/>
          <w:sz w:val="21"/>
          <w:szCs w:val="21"/>
        </w:rPr>
        <w:t xml:space="preserve"> </w:t>
      </w:r>
      <w:r w:rsidRPr="00ED50F7">
        <w:rPr>
          <w:rFonts w:cs="Arial"/>
          <w:sz w:val="21"/>
          <w:szCs w:val="21"/>
        </w:rPr>
        <w:t>po</w:t>
      </w:r>
      <w:r w:rsidRPr="00ED50F7">
        <w:rPr>
          <w:rFonts w:cs="Arial"/>
          <w:spacing w:val="2"/>
          <w:sz w:val="21"/>
          <w:szCs w:val="21"/>
        </w:rPr>
        <w:t>s</w:t>
      </w:r>
      <w:r w:rsidRPr="00ED50F7">
        <w:rPr>
          <w:rFonts w:cs="Arial"/>
          <w:spacing w:val="1"/>
          <w:sz w:val="21"/>
          <w:szCs w:val="21"/>
        </w:rPr>
        <w:t>i</w:t>
      </w:r>
      <w:r w:rsidRPr="00ED50F7">
        <w:rPr>
          <w:rFonts w:cs="Arial"/>
          <w:spacing w:val="-2"/>
          <w:sz w:val="21"/>
          <w:szCs w:val="21"/>
        </w:rPr>
        <w:t>t</w:t>
      </w:r>
      <w:r w:rsidRPr="00ED50F7">
        <w:rPr>
          <w:rFonts w:cs="Arial"/>
          <w:spacing w:val="1"/>
          <w:sz w:val="21"/>
          <w:szCs w:val="21"/>
        </w:rPr>
        <w:t>i</w:t>
      </w:r>
      <w:r w:rsidRPr="00ED50F7">
        <w:rPr>
          <w:rFonts w:cs="Arial"/>
          <w:sz w:val="21"/>
          <w:szCs w:val="21"/>
        </w:rPr>
        <w:t xml:space="preserve">ons </w:t>
      </w:r>
      <w:r w:rsidRPr="00ED50F7">
        <w:rPr>
          <w:rFonts w:cs="Arial"/>
          <w:spacing w:val="-2"/>
          <w:sz w:val="21"/>
          <w:szCs w:val="21"/>
        </w:rPr>
        <w:t>a</w:t>
      </w:r>
      <w:r w:rsidRPr="00ED50F7">
        <w:rPr>
          <w:rFonts w:cs="Arial"/>
          <w:spacing w:val="1"/>
          <w:sz w:val="21"/>
          <w:szCs w:val="21"/>
        </w:rPr>
        <w:t>ss</w:t>
      </w:r>
      <w:r w:rsidRPr="00ED50F7">
        <w:rPr>
          <w:rFonts w:cs="Arial"/>
          <w:sz w:val="21"/>
          <w:szCs w:val="21"/>
        </w:rPr>
        <w:t>o</w:t>
      </w:r>
      <w:r w:rsidRPr="00ED50F7">
        <w:rPr>
          <w:rFonts w:cs="Arial"/>
          <w:spacing w:val="-2"/>
          <w:sz w:val="21"/>
          <w:szCs w:val="21"/>
        </w:rPr>
        <w:t>c</w:t>
      </w:r>
      <w:r w:rsidRPr="00ED50F7">
        <w:rPr>
          <w:rFonts w:cs="Arial"/>
          <w:spacing w:val="1"/>
          <w:sz w:val="21"/>
          <w:szCs w:val="21"/>
        </w:rPr>
        <w:t>i</w:t>
      </w:r>
      <w:r w:rsidRPr="00ED50F7">
        <w:rPr>
          <w:rFonts w:cs="Arial"/>
          <w:spacing w:val="-2"/>
          <w:sz w:val="21"/>
          <w:szCs w:val="21"/>
        </w:rPr>
        <w:t>ate</w:t>
      </w:r>
      <w:r w:rsidRPr="00ED50F7">
        <w:rPr>
          <w:rFonts w:cs="Arial"/>
          <w:sz w:val="21"/>
          <w:szCs w:val="21"/>
        </w:rPr>
        <w:t>d</w:t>
      </w:r>
      <w:r w:rsidRPr="00ED50F7">
        <w:rPr>
          <w:rFonts w:cs="Arial"/>
          <w:spacing w:val="-3"/>
          <w:sz w:val="21"/>
          <w:szCs w:val="21"/>
        </w:rPr>
        <w:t xml:space="preserve"> </w:t>
      </w:r>
      <w:r w:rsidRPr="00ED50F7">
        <w:rPr>
          <w:rFonts w:cs="Arial"/>
          <w:spacing w:val="-2"/>
          <w:sz w:val="21"/>
          <w:szCs w:val="21"/>
        </w:rPr>
        <w:t>w</w:t>
      </w:r>
      <w:r w:rsidRPr="00ED50F7">
        <w:rPr>
          <w:rFonts w:cs="Arial"/>
          <w:spacing w:val="1"/>
          <w:sz w:val="21"/>
          <w:szCs w:val="21"/>
        </w:rPr>
        <w:t>i</w:t>
      </w:r>
      <w:r w:rsidRPr="00ED50F7">
        <w:rPr>
          <w:rFonts w:cs="Arial"/>
          <w:spacing w:val="-2"/>
          <w:sz w:val="21"/>
          <w:szCs w:val="21"/>
        </w:rPr>
        <w:t>t</w:t>
      </w:r>
      <w:r w:rsidRPr="00ED50F7">
        <w:rPr>
          <w:rFonts w:cs="Arial"/>
          <w:sz w:val="21"/>
          <w:szCs w:val="21"/>
        </w:rPr>
        <w:t>h</w:t>
      </w:r>
      <w:r w:rsidRPr="00ED50F7">
        <w:rPr>
          <w:rFonts w:cs="Arial"/>
          <w:spacing w:val="1"/>
          <w:sz w:val="21"/>
          <w:szCs w:val="21"/>
        </w:rPr>
        <w:t xml:space="preserve"> </w:t>
      </w:r>
      <w:r w:rsidRPr="00ED50F7">
        <w:rPr>
          <w:rFonts w:cs="Arial"/>
          <w:sz w:val="21"/>
          <w:szCs w:val="21"/>
        </w:rPr>
        <w:t>TTR</w:t>
      </w:r>
      <w:r w:rsidRPr="00ED50F7">
        <w:rPr>
          <w:rFonts w:cs="Arial"/>
          <w:spacing w:val="1"/>
          <w:sz w:val="21"/>
          <w:szCs w:val="21"/>
        </w:rPr>
        <w:t>’</w:t>
      </w:r>
      <w:r w:rsidRPr="00ED50F7">
        <w:rPr>
          <w:rFonts w:cs="Arial"/>
          <w:sz w:val="21"/>
          <w:szCs w:val="21"/>
        </w:rPr>
        <w:t>s</w:t>
      </w:r>
      <w:r w:rsidRPr="00ED50F7">
        <w:rPr>
          <w:rFonts w:cs="Arial"/>
          <w:spacing w:val="-1"/>
          <w:sz w:val="21"/>
          <w:szCs w:val="21"/>
        </w:rPr>
        <w:t xml:space="preserve"> </w:t>
      </w:r>
      <w:r w:rsidRPr="00ED50F7">
        <w:rPr>
          <w:rFonts w:cs="Arial"/>
          <w:sz w:val="21"/>
          <w:szCs w:val="21"/>
        </w:rPr>
        <w:t>op</w:t>
      </w:r>
      <w:r w:rsidRPr="00ED50F7">
        <w:rPr>
          <w:rFonts w:cs="Arial"/>
          <w:spacing w:val="-2"/>
          <w:sz w:val="21"/>
          <w:szCs w:val="21"/>
        </w:rPr>
        <w:t>e</w:t>
      </w:r>
      <w:r w:rsidRPr="00ED50F7">
        <w:rPr>
          <w:rFonts w:cs="Arial"/>
          <w:spacing w:val="-1"/>
          <w:sz w:val="21"/>
          <w:szCs w:val="21"/>
        </w:rPr>
        <w:t>r</w:t>
      </w:r>
      <w:r w:rsidRPr="00ED50F7">
        <w:rPr>
          <w:rFonts w:cs="Arial"/>
          <w:spacing w:val="-2"/>
          <w:sz w:val="21"/>
          <w:szCs w:val="21"/>
        </w:rPr>
        <w:t>at</w:t>
      </w:r>
      <w:r w:rsidRPr="00ED50F7">
        <w:rPr>
          <w:rFonts w:cs="Arial"/>
          <w:spacing w:val="1"/>
          <w:sz w:val="21"/>
          <w:szCs w:val="21"/>
        </w:rPr>
        <w:t>i</w:t>
      </w:r>
      <w:r w:rsidRPr="00ED50F7">
        <w:rPr>
          <w:rFonts w:cs="Arial"/>
          <w:sz w:val="21"/>
          <w:szCs w:val="21"/>
        </w:rPr>
        <w:t>ons.</w:t>
      </w:r>
    </w:p>
    <w:p w:rsidR="00EB625D" w:rsidRDefault="00EB625D" w:rsidP="00EB625D">
      <w:pPr>
        <w:pStyle w:val="ListParagraph"/>
        <w:numPr>
          <w:ilvl w:val="0"/>
          <w:numId w:val="9"/>
        </w:numPr>
        <w:spacing w:after="240" w:line="240" w:lineRule="auto"/>
        <w:contextualSpacing w:val="0"/>
        <w:rPr>
          <w:rFonts w:cs="Arial"/>
          <w:sz w:val="21"/>
          <w:szCs w:val="21"/>
        </w:rPr>
      </w:pPr>
      <w:r w:rsidRPr="00ED50F7">
        <w:rPr>
          <w:rFonts w:cs="Arial"/>
          <w:sz w:val="21"/>
          <w:szCs w:val="21"/>
        </w:rPr>
        <w:t xml:space="preserve">TTR has committed to establishing a community trust, to support local community projects, and ensure that the local communities of South </w:t>
      </w:r>
      <w:proofErr w:type="spellStart"/>
      <w:r w:rsidRPr="00ED50F7">
        <w:rPr>
          <w:rFonts w:cs="Arial"/>
          <w:sz w:val="21"/>
          <w:szCs w:val="21"/>
        </w:rPr>
        <w:t>Taranaki</w:t>
      </w:r>
      <w:proofErr w:type="spellEnd"/>
      <w:r w:rsidRPr="00ED50F7">
        <w:rPr>
          <w:rFonts w:cs="Arial"/>
          <w:sz w:val="21"/>
          <w:szCs w:val="21"/>
        </w:rPr>
        <w:t xml:space="preserve"> benefit from the Project. As a sign of this commitment, TTR volunteered the Community Trust and scholarships as consent conditions so the communities of South </w:t>
      </w:r>
      <w:proofErr w:type="spellStart"/>
      <w:r w:rsidRPr="00ED50F7">
        <w:rPr>
          <w:rFonts w:cs="Arial"/>
          <w:sz w:val="21"/>
          <w:szCs w:val="21"/>
        </w:rPr>
        <w:t>Taranaki</w:t>
      </w:r>
      <w:proofErr w:type="spellEnd"/>
      <w:r w:rsidRPr="00ED50F7">
        <w:rPr>
          <w:rFonts w:cs="Arial"/>
          <w:sz w:val="21"/>
          <w:szCs w:val="21"/>
        </w:rPr>
        <w:t xml:space="preserve"> can be certain that they will see investment in their people and communities from TTR.  </w:t>
      </w:r>
    </w:p>
    <w:p w:rsidR="00EB625D" w:rsidRPr="00866679" w:rsidRDefault="00EB625D" w:rsidP="00EB625D">
      <w:pPr>
        <w:rPr>
          <w:rFonts w:cs="Arial"/>
          <w:b/>
          <w:i/>
          <w:sz w:val="21"/>
          <w:szCs w:val="21"/>
        </w:rPr>
      </w:pPr>
      <w:r w:rsidRPr="00866679">
        <w:rPr>
          <w:rFonts w:cs="Arial"/>
          <w:b/>
          <w:i/>
          <w:sz w:val="21"/>
          <w:szCs w:val="21"/>
        </w:rPr>
        <w:t>How much will the project cost?</w:t>
      </w:r>
    </w:p>
    <w:p w:rsidR="00EB625D" w:rsidRDefault="00EB625D" w:rsidP="00EB625D">
      <w:pPr>
        <w:pStyle w:val="ListParagraph"/>
        <w:numPr>
          <w:ilvl w:val="0"/>
          <w:numId w:val="10"/>
        </w:numPr>
        <w:spacing w:after="240" w:line="240" w:lineRule="auto"/>
        <w:contextualSpacing w:val="0"/>
        <w:rPr>
          <w:rFonts w:cs="Arial"/>
          <w:sz w:val="21"/>
          <w:szCs w:val="21"/>
        </w:rPr>
      </w:pPr>
      <w:r w:rsidRPr="008C0B5B">
        <w:rPr>
          <w:rFonts w:cs="Arial"/>
          <w:sz w:val="21"/>
          <w:szCs w:val="21"/>
        </w:rPr>
        <w:t>The Project will cost around US$550 million dollars to construct the vessels and mining equipment. The ongoing operating expenses are projected to be around US$150 million per year. The majority of the operating expenses relate to freight,</w:t>
      </w:r>
      <w:r>
        <w:rPr>
          <w:rFonts w:cs="Arial"/>
          <w:sz w:val="21"/>
          <w:szCs w:val="21"/>
        </w:rPr>
        <w:t xml:space="preserve"> </w:t>
      </w:r>
      <w:proofErr w:type="gramStart"/>
      <w:r>
        <w:rPr>
          <w:rFonts w:cs="Arial"/>
          <w:sz w:val="21"/>
          <w:szCs w:val="21"/>
        </w:rPr>
        <w:t>trans</w:t>
      </w:r>
      <w:proofErr w:type="gramEnd"/>
      <w:r w:rsidR="00837D51">
        <w:rPr>
          <w:rFonts w:cs="Arial"/>
          <w:sz w:val="21"/>
          <w:szCs w:val="21"/>
        </w:rPr>
        <w:t xml:space="preserve"> </w:t>
      </w:r>
      <w:r>
        <w:rPr>
          <w:rFonts w:cs="Arial"/>
          <w:sz w:val="21"/>
          <w:szCs w:val="21"/>
        </w:rPr>
        <w:t>shipment,</w:t>
      </w:r>
      <w:r w:rsidRPr="008C0B5B">
        <w:rPr>
          <w:rFonts w:cs="Arial"/>
          <w:sz w:val="21"/>
          <w:szCs w:val="21"/>
        </w:rPr>
        <w:t xml:space="preserve"> labour costs and domestic inputs, such as fuel, services and supplies. </w:t>
      </w:r>
    </w:p>
    <w:p w:rsidR="00EB625D" w:rsidRPr="00866679" w:rsidRDefault="00EB625D" w:rsidP="00EB625D">
      <w:pPr>
        <w:spacing w:after="240"/>
        <w:rPr>
          <w:rFonts w:cs="Arial"/>
          <w:b/>
          <w:i/>
          <w:sz w:val="21"/>
          <w:szCs w:val="21"/>
        </w:rPr>
      </w:pPr>
      <w:r w:rsidRPr="00866679">
        <w:rPr>
          <w:rFonts w:cs="Arial"/>
          <w:b/>
          <w:i/>
          <w:sz w:val="21"/>
          <w:szCs w:val="21"/>
        </w:rPr>
        <w:t>What value is TTR adding to the iron sands in New Zealand?</w:t>
      </w:r>
    </w:p>
    <w:p w:rsidR="00EB625D" w:rsidRDefault="00EB625D" w:rsidP="00EB625D">
      <w:pPr>
        <w:pStyle w:val="ListParagraph"/>
        <w:numPr>
          <w:ilvl w:val="0"/>
          <w:numId w:val="10"/>
        </w:numPr>
        <w:spacing w:after="240" w:line="240" w:lineRule="auto"/>
        <w:contextualSpacing w:val="0"/>
        <w:rPr>
          <w:rFonts w:cs="Arial"/>
          <w:sz w:val="21"/>
          <w:szCs w:val="21"/>
        </w:rPr>
      </w:pPr>
      <w:r w:rsidRPr="008C0B5B">
        <w:rPr>
          <w:rFonts w:cs="Arial"/>
          <w:sz w:val="21"/>
          <w:szCs w:val="21"/>
        </w:rPr>
        <w:t xml:space="preserve">TTR is adding value to the iron sands by creating an iron ore concentrate. To produce a concentrate for use in a steel mill the iron ore, or iron sand, has to be ground for mineral liberation, enriched for concentration and dewatered for transportation. TTR will be undertaking all three of these steps onboard the vessels before exporting the final product. </w:t>
      </w:r>
    </w:p>
    <w:p w:rsidR="00EB625D" w:rsidRPr="00A05400" w:rsidRDefault="00EB625D" w:rsidP="00EB625D">
      <w:pPr>
        <w:rPr>
          <w:rFonts w:cs="Arial"/>
          <w:b/>
          <w:sz w:val="21"/>
          <w:szCs w:val="21"/>
        </w:rPr>
      </w:pPr>
      <w:r w:rsidRPr="00866679">
        <w:rPr>
          <w:rFonts w:cs="Arial"/>
          <w:b/>
          <w:i/>
          <w:sz w:val="21"/>
          <w:szCs w:val="21"/>
        </w:rPr>
        <w:t>Will TTR’s project remain economic with low iron ore prices?</w:t>
      </w:r>
      <w:r w:rsidRPr="00866679">
        <w:rPr>
          <w:rFonts w:cs="Arial"/>
          <w:b/>
          <w:sz w:val="21"/>
          <w:szCs w:val="21"/>
        </w:rPr>
        <w:t xml:space="preserve"> </w:t>
      </w:r>
    </w:p>
    <w:p w:rsidR="00EB625D" w:rsidRDefault="00EB625D" w:rsidP="0089485E">
      <w:pPr>
        <w:pStyle w:val="ListParagraph"/>
        <w:numPr>
          <w:ilvl w:val="0"/>
          <w:numId w:val="10"/>
        </w:numPr>
        <w:spacing w:after="0" w:line="240" w:lineRule="auto"/>
        <w:contextualSpacing w:val="0"/>
        <w:rPr>
          <w:rFonts w:cs="Arial"/>
          <w:sz w:val="21"/>
          <w:szCs w:val="21"/>
        </w:rPr>
      </w:pPr>
      <w:r w:rsidRPr="008C0B5B">
        <w:rPr>
          <w:rFonts w:cs="Arial"/>
          <w:sz w:val="21"/>
          <w:szCs w:val="21"/>
        </w:rPr>
        <w:t xml:space="preserve">Despite fluctuations in the New Zealand dollar and the iron ore price TTR is confident that its low cost, innovative iron sand extraction system should make it resilient to fluctuations in the iron ore price. </w:t>
      </w:r>
    </w:p>
    <w:p w:rsidR="0089485E" w:rsidRPr="0089485E" w:rsidRDefault="0089485E" w:rsidP="0089485E">
      <w:pPr>
        <w:pStyle w:val="ListParagraph"/>
        <w:spacing w:after="0" w:line="240" w:lineRule="auto"/>
        <w:contextualSpacing w:val="0"/>
        <w:rPr>
          <w:rFonts w:cs="Arial"/>
          <w:sz w:val="21"/>
          <w:szCs w:val="21"/>
        </w:rPr>
      </w:pPr>
    </w:p>
    <w:p w:rsidR="007B6D53" w:rsidRPr="008917E4" w:rsidRDefault="00EB625D" w:rsidP="008917E4">
      <w:pPr>
        <w:spacing w:after="240"/>
        <w:rPr>
          <w:rFonts w:ascii="HelveticaNeue-Light" w:eastAsiaTheme="minorHAnsi" w:hAnsi="HelveticaNeue-Light" w:cs="HelveticaNeue-Light"/>
          <w:color w:val="9A9A9A"/>
          <w:sz w:val="36"/>
          <w:szCs w:val="36"/>
          <w:lang w:val="en-US" w:eastAsia="en-US"/>
        </w:rPr>
      </w:pPr>
      <w:r w:rsidRPr="008917E4">
        <w:rPr>
          <w:rFonts w:ascii="HelveticaNeue-Light" w:eastAsiaTheme="minorHAnsi" w:hAnsi="HelveticaNeue-Light" w:cs="HelveticaNeue-Light"/>
          <w:color w:val="9A9A9A"/>
          <w:sz w:val="36"/>
          <w:szCs w:val="36"/>
          <w:lang w:val="en-US" w:eastAsia="en-US"/>
        </w:rPr>
        <w:t>Potential Environmental Effects</w:t>
      </w:r>
    </w:p>
    <w:p w:rsidR="00EB625D" w:rsidRPr="008917E4" w:rsidRDefault="00EB625D" w:rsidP="00EB625D">
      <w:pPr>
        <w:spacing w:after="240"/>
        <w:rPr>
          <w:rFonts w:cs="Arial"/>
          <w:b/>
          <w:i/>
          <w:sz w:val="21"/>
          <w:szCs w:val="21"/>
        </w:rPr>
      </w:pPr>
      <w:r w:rsidRPr="008917E4">
        <w:rPr>
          <w:rFonts w:cs="Arial"/>
          <w:b/>
          <w:i/>
          <w:sz w:val="21"/>
          <w:szCs w:val="21"/>
        </w:rPr>
        <w:t xml:space="preserve">How will the sediment be extracted? </w:t>
      </w:r>
    </w:p>
    <w:p w:rsidR="00EB625D" w:rsidRDefault="00EB625D" w:rsidP="00EB625D">
      <w:pPr>
        <w:pStyle w:val="ListParagraph"/>
        <w:numPr>
          <w:ilvl w:val="0"/>
          <w:numId w:val="10"/>
        </w:numPr>
        <w:spacing w:after="240" w:line="240" w:lineRule="auto"/>
        <w:contextualSpacing w:val="0"/>
        <w:rPr>
          <w:rFonts w:cs="Arial"/>
          <w:sz w:val="21"/>
          <w:szCs w:val="21"/>
        </w:rPr>
      </w:pPr>
      <w:r w:rsidRPr="008C0B5B">
        <w:rPr>
          <w:rFonts w:cs="Arial"/>
          <w:sz w:val="21"/>
          <w:szCs w:val="21"/>
        </w:rPr>
        <w:t xml:space="preserve">Seabed </w:t>
      </w:r>
      <w:r>
        <w:rPr>
          <w:rFonts w:cs="Arial"/>
          <w:sz w:val="21"/>
          <w:szCs w:val="21"/>
        </w:rPr>
        <w:t>sediment</w:t>
      </w:r>
      <w:r w:rsidRPr="008C0B5B">
        <w:rPr>
          <w:rFonts w:cs="Arial"/>
          <w:sz w:val="21"/>
          <w:szCs w:val="21"/>
        </w:rPr>
        <w:t xml:space="preserve"> will be excavated using a crawler dredge. The crawler operates on the seafloor. Its suction head pumps seawater via nozzles to the extraction face to fluidise the sediment, and pumps the sediment into the delivery pipe which delivers the sediment to the mining vessel for processing.  </w:t>
      </w:r>
    </w:p>
    <w:p w:rsidR="00EB625D" w:rsidRDefault="00EB625D" w:rsidP="00EB625D">
      <w:pPr>
        <w:pStyle w:val="ListParagraph"/>
        <w:numPr>
          <w:ilvl w:val="0"/>
          <w:numId w:val="10"/>
        </w:numPr>
        <w:spacing w:after="240" w:line="240" w:lineRule="auto"/>
        <w:contextualSpacing w:val="0"/>
        <w:rPr>
          <w:rFonts w:cs="Arial"/>
          <w:sz w:val="21"/>
          <w:szCs w:val="21"/>
        </w:rPr>
      </w:pPr>
      <w:r w:rsidRPr="008C0B5B">
        <w:rPr>
          <w:rFonts w:cs="Arial"/>
          <w:sz w:val="21"/>
          <w:szCs w:val="21"/>
        </w:rPr>
        <w:lastRenderedPageBreak/>
        <w:t>The crawler operates in 300 m x 300 m blocks, extracting a “lane”. The mining vessel operating on a 4 point anchor mooring system winches itself up and down each lane following the crawler, re-depositing de-</w:t>
      </w:r>
      <w:proofErr w:type="spellStart"/>
      <w:r w:rsidRPr="008C0B5B">
        <w:rPr>
          <w:rFonts w:cs="Arial"/>
          <w:sz w:val="21"/>
          <w:szCs w:val="21"/>
        </w:rPr>
        <w:t>ored</w:t>
      </w:r>
      <w:proofErr w:type="spellEnd"/>
      <w:r w:rsidRPr="008C0B5B">
        <w:rPr>
          <w:rFonts w:cs="Arial"/>
          <w:sz w:val="21"/>
          <w:szCs w:val="21"/>
        </w:rPr>
        <w:t xml:space="preserve"> sand as it goes, usually backfilling previously mined lanes. This happens very slowly at a rate of around 70 m/hour.</w:t>
      </w:r>
    </w:p>
    <w:p w:rsidR="00EB625D" w:rsidRDefault="00EB625D" w:rsidP="00EB625D">
      <w:pPr>
        <w:pStyle w:val="ListParagraph"/>
        <w:numPr>
          <w:ilvl w:val="0"/>
          <w:numId w:val="10"/>
        </w:numPr>
        <w:spacing w:after="240" w:line="240" w:lineRule="auto"/>
        <w:contextualSpacing w:val="0"/>
        <w:rPr>
          <w:rFonts w:cs="Arial"/>
          <w:sz w:val="21"/>
          <w:szCs w:val="21"/>
        </w:rPr>
      </w:pPr>
      <w:r w:rsidRPr="008C0B5B">
        <w:rPr>
          <w:rFonts w:cs="Arial"/>
          <w:sz w:val="21"/>
          <w:szCs w:val="21"/>
        </w:rPr>
        <w:t>The crawler will extract sand to the full depth of the economic ore deposit up to 11 m below the sea floor. The ability to mine the full depth of the sediment down to the economic base minimises the area of seabed affected at any one time as it removes the need to mine</w:t>
      </w:r>
      <w:r w:rsidR="0089485E">
        <w:rPr>
          <w:rFonts w:cs="Arial"/>
          <w:sz w:val="21"/>
          <w:szCs w:val="21"/>
        </w:rPr>
        <w:t xml:space="preserve"> the same area multiple times. </w:t>
      </w:r>
      <w:r w:rsidRPr="008C0B5B">
        <w:rPr>
          <w:rFonts w:cs="Arial"/>
          <w:sz w:val="21"/>
          <w:szCs w:val="21"/>
        </w:rPr>
        <w:t xml:space="preserve">This allows mined areas to naturally commence rehabilitation straight after mining and back filling is completed. </w:t>
      </w:r>
    </w:p>
    <w:p w:rsidR="00EB625D" w:rsidRPr="00866679" w:rsidRDefault="00EB625D" w:rsidP="00EB625D">
      <w:pPr>
        <w:spacing w:after="240"/>
        <w:rPr>
          <w:rFonts w:cs="Arial"/>
          <w:b/>
          <w:sz w:val="21"/>
          <w:szCs w:val="21"/>
        </w:rPr>
      </w:pPr>
      <w:r w:rsidRPr="00866679">
        <w:rPr>
          <w:rFonts w:cs="Arial"/>
          <w:b/>
          <w:i/>
          <w:sz w:val="21"/>
          <w:szCs w:val="21"/>
        </w:rPr>
        <w:t xml:space="preserve">How is the iron ore separated? </w:t>
      </w:r>
    </w:p>
    <w:p w:rsidR="00EB625D" w:rsidRDefault="00EB625D" w:rsidP="00EB625D">
      <w:pPr>
        <w:pStyle w:val="ListParagraph"/>
        <w:numPr>
          <w:ilvl w:val="0"/>
          <w:numId w:val="11"/>
        </w:numPr>
        <w:spacing w:after="240" w:line="240" w:lineRule="auto"/>
        <w:contextualSpacing w:val="0"/>
        <w:rPr>
          <w:rFonts w:cs="Arial"/>
          <w:sz w:val="21"/>
          <w:szCs w:val="21"/>
        </w:rPr>
      </w:pPr>
      <w:r w:rsidRPr="008C0B5B">
        <w:rPr>
          <w:rFonts w:cs="Arial"/>
          <w:sz w:val="21"/>
          <w:szCs w:val="21"/>
        </w:rPr>
        <w:t xml:space="preserve">Initial screening will remove material greater than 2 mm in size, as this material has been shown to contain no </w:t>
      </w:r>
      <w:proofErr w:type="spellStart"/>
      <w:r w:rsidRPr="008C0B5B">
        <w:rPr>
          <w:rFonts w:cs="Arial"/>
          <w:sz w:val="21"/>
          <w:szCs w:val="21"/>
        </w:rPr>
        <w:t>titano</w:t>
      </w:r>
      <w:proofErr w:type="spellEnd"/>
      <w:r w:rsidRPr="008C0B5B">
        <w:rPr>
          <w:rFonts w:cs="Arial"/>
          <w:sz w:val="21"/>
          <w:szCs w:val="21"/>
        </w:rPr>
        <w:t xml:space="preserve">-magnetite. “Beneficiation” is the term given to the extraction of iron ore from the source material and concentration to a commercial grade. TTR’s beneficiation process separates the </w:t>
      </w:r>
      <w:proofErr w:type="spellStart"/>
      <w:r w:rsidRPr="008C0B5B">
        <w:rPr>
          <w:rFonts w:cs="Arial"/>
          <w:sz w:val="21"/>
          <w:szCs w:val="21"/>
        </w:rPr>
        <w:t>titano</w:t>
      </w:r>
      <w:proofErr w:type="spellEnd"/>
      <w:r w:rsidRPr="008C0B5B">
        <w:rPr>
          <w:rFonts w:cs="Arial"/>
          <w:sz w:val="21"/>
          <w:szCs w:val="21"/>
        </w:rPr>
        <w:t xml:space="preserve">-magnetite using a combination of magnetic separation and light grinding, to produce a product with a target mass yield in the order of 10% from the raw sediment. </w:t>
      </w:r>
    </w:p>
    <w:p w:rsidR="00EB625D" w:rsidRDefault="00EB625D" w:rsidP="00EB625D">
      <w:pPr>
        <w:pStyle w:val="ListParagraph"/>
        <w:numPr>
          <w:ilvl w:val="0"/>
          <w:numId w:val="11"/>
        </w:numPr>
        <w:spacing w:after="240" w:line="240" w:lineRule="auto"/>
        <w:contextualSpacing w:val="0"/>
        <w:rPr>
          <w:rFonts w:cs="Arial"/>
          <w:sz w:val="21"/>
          <w:szCs w:val="21"/>
        </w:rPr>
      </w:pPr>
      <w:r w:rsidRPr="008C0B5B">
        <w:rPr>
          <w:rFonts w:cs="Arial"/>
          <w:sz w:val="21"/>
          <w:szCs w:val="21"/>
        </w:rPr>
        <w:t xml:space="preserve">The process does not involve the use of any additional chemicals or the use of heat.  </w:t>
      </w:r>
    </w:p>
    <w:p w:rsidR="00EB625D" w:rsidRPr="00866679" w:rsidRDefault="00EB625D" w:rsidP="00EB625D">
      <w:pPr>
        <w:spacing w:after="240"/>
        <w:rPr>
          <w:rFonts w:cs="Arial"/>
          <w:b/>
          <w:i/>
          <w:sz w:val="21"/>
          <w:szCs w:val="21"/>
        </w:rPr>
      </w:pPr>
      <w:r w:rsidRPr="00866679">
        <w:rPr>
          <w:rFonts w:cs="Arial"/>
          <w:b/>
          <w:i/>
          <w:sz w:val="21"/>
          <w:szCs w:val="21"/>
        </w:rPr>
        <w:t>How do we know what the effects will be?</w:t>
      </w:r>
    </w:p>
    <w:p w:rsidR="00EB625D" w:rsidRDefault="00EB625D" w:rsidP="00EB625D">
      <w:pPr>
        <w:pStyle w:val="Default"/>
        <w:numPr>
          <w:ilvl w:val="0"/>
          <w:numId w:val="12"/>
        </w:numPr>
        <w:spacing w:after="240"/>
        <w:rPr>
          <w:rFonts w:asciiTheme="minorHAnsi" w:hAnsiTheme="minorHAnsi"/>
          <w:color w:val="auto"/>
          <w:sz w:val="21"/>
          <w:szCs w:val="21"/>
        </w:rPr>
      </w:pPr>
      <w:r w:rsidRPr="00C03D91">
        <w:rPr>
          <w:rFonts w:asciiTheme="minorHAnsi" w:hAnsiTheme="minorHAnsi"/>
          <w:color w:val="auto"/>
          <w:sz w:val="21"/>
          <w:szCs w:val="21"/>
        </w:rPr>
        <w:t>TTR has spent over $8 million</w:t>
      </w:r>
      <w:r>
        <w:rPr>
          <w:rFonts w:asciiTheme="minorHAnsi" w:hAnsiTheme="minorHAnsi"/>
          <w:color w:val="auto"/>
          <w:sz w:val="21"/>
          <w:szCs w:val="21"/>
        </w:rPr>
        <w:t xml:space="preserve"> since 2009</w:t>
      </w:r>
      <w:r w:rsidRPr="00C03D91">
        <w:rPr>
          <w:rFonts w:asciiTheme="minorHAnsi" w:hAnsiTheme="minorHAnsi"/>
          <w:color w:val="auto"/>
          <w:sz w:val="21"/>
          <w:szCs w:val="21"/>
        </w:rPr>
        <w:t xml:space="preserve"> collecting baseline data and researching the existing environment and potential effects on the South </w:t>
      </w:r>
      <w:proofErr w:type="spellStart"/>
      <w:r w:rsidRPr="00C03D91">
        <w:rPr>
          <w:rFonts w:asciiTheme="minorHAnsi" w:hAnsiTheme="minorHAnsi"/>
          <w:color w:val="auto"/>
          <w:sz w:val="21"/>
          <w:szCs w:val="21"/>
        </w:rPr>
        <w:t>Taranaki</w:t>
      </w:r>
      <w:proofErr w:type="spellEnd"/>
      <w:r w:rsidRPr="00C03D91">
        <w:rPr>
          <w:rFonts w:asciiTheme="minorHAnsi" w:hAnsiTheme="minorHAnsi"/>
          <w:color w:val="auto"/>
          <w:sz w:val="21"/>
          <w:szCs w:val="21"/>
        </w:rPr>
        <w:t xml:space="preserve"> Bight</w:t>
      </w:r>
      <w:r>
        <w:rPr>
          <w:rFonts w:asciiTheme="minorHAnsi" w:hAnsiTheme="minorHAnsi"/>
          <w:color w:val="auto"/>
          <w:sz w:val="21"/>
          <w:szCs w:val="21"/>
        </w:rPr>
        <w:t>. TTR</w:t>
      </w:r>
      <w:r w:rsidRPr="00C03D91">
        <w:rPr>
          <w:rFonts w:asciiTheme="minorHAnsi" w:hAnsiTheme="minorHAnsi"/>
          <w:color w:val="auto"/>
          <w:sz w:val="21"/>
          <w:szCs w:val="21"/>
        </w:rPr>
        <w:t xml:space="preserve"> selected NZ’s leading independent consultancies, supported in critical areas by overseas experts, to investigate the current environmental conditions and advise on the potential effects. The methodology adopted by these consultants is based around accepted international best practice</w:t>
      </w:r>
      <w:r>
        <w:rPr>
          <w:rFonts w:asciiTheme="minorHAnsi" w:hAnsiTheme="minorHAnsi"/>
          <w:color w:val="auto"/>
          <w:sz w:val="21"/>
          <w:szCs w:val="21"/>
        </w:rPr>
        <w:t xml:space="preserve">. </w:t>
      </w:r>
      <w:r w:rsidRPr="00C03D91">
        <w:rPr>
          <w:rFonts w:asciiTheme="minorHAnsi" w:hAnsiTheme="minorHAnsi"/>
          <w:color w:val="auto"/>
          <w:sz w:val="21"/>
          <w:szCs w:val="21"/>
        </w:rPr>
        <w:t xml:space="preserve">This research has included collecting metrological ocean (met ocean) data on currents, waves, winds, beach profiles and sediment movement at various sites in the South </w:t>
      </w:r>
      <w:proofErr w:type="spellStart"/>
      <w:r w:rsidRPr="00C03D91">
        <w:rPr>
          <w:rFonts w:asciiTheme="minorHAnsi" w:hAnsiTheme="minorHAnsi"/>
          <w:color w:val="auto"/>
          <w:sz w:val="21"/>
          <w:szCs w:val="21"/>
        </w:rPr>
        <w:t>Taranaki</w:t>
      </w:r>
      <w:proofErr w:type="spellEnd"/>
      <w:r w:rsidRPr="00C03D91">
        <w:rPr>
          <w:rFonts w:asciiTheme="minorHAnsi" w:hAnsiTheme="minorHAnsi"/>
          <w:color w:val="auto"/>
          <w:sz w:val="21"/>
          <w:szCs w:val="21"/>
        </w:rPr>
        <w:t xml:space="preserve"> Bight from June 2011 – April 2012. </w:t>
      </w:r>
    </w:p>
    <w:p w:rsidR="00EB625D" w:rsidRDefault="00EB625D" w:rsidP="00EB625D">
      <w:pPr>
        <w:pStyle w:val="Default"/>
        <w:numPr>
          <w:ilvl w:val="0"/>
          <w:numId w:val="12"/>
        </w:numPr>
        <w:spacing w:after="240"/>
        <w:rPr>
          <w:rFonts w:asciiTheme="minorHAnsi" w:hAnsiTheme="minorHAnsi"/>
          <w:color w:val="auto"/>
          <w:sz w:val="21"/>
          <w:szCs w:val="21"/>
        </w:rPr>
      </w:pPr>
      <w:r w:rsidRPr="00C03D91">
        <w:rPr>
          <w:rFonts w:asciiTheme="minorHAnsi" w:hAnsiTheme="minorHAnsi"/>
          <w:color w:val="auto"/>
          <w:sz w:val="21"/>
          <w:szCs w:val="21"/>
        </w:rPr>
        <w:t xml:space="preserve">This extensive data set has enhanced the collective knowledge of the South </w:t>
      </w:r>
      <w:proofErr w:type="spellStart"/>
      <w:r w:rsidRPr="00C03D91">
        <w:rPr>
          <w:rFonts w:asciiTheme="minorHAnsi" w:hAnsiTheme="minorHAnsi"/>
          <w:color w:val="auto"/>
          <w:sz w:val="21"/>
          <w:szCs w:val="21"/>
        </w:rPr>
        <w:t>Taranaki</w:t>
      </w:r>
      <w:proofErr w:type="spellEnd"/>
      <w:r w:rsidRPr="00C03D91">
        <w:rPr>
          <w:rFonts w:asciiTheme="minorHAnsi" w:hAnsiTheme="minorHAnsi"/>
          <w:color w:val="auto"/>
          <w:sz w:val="21"/>
          <w:szCs w:val="21"/>
        </w:rPr>
        <w:t xml:space="preserve"> Bight and assisted </w:t>
      </w:r>
      <w:r w:rsidRPr="003D418A">
        <w:rPr>
          <w:rFonts w:asciiTheme="minorHAnsi" w:hAnsiTheme="minorHAnsi"/>
          <w:color w:val="auto"/>
          <w:sz w:val="21"/>
          <w:szCs w:val="21"/>
        </w:rPr>
        <w:t xml:space="preserve">TTR’s experts to understand and predict the potential impacts. All of this information is in the public domain on the EPA’s website.   </w:t>
      </w:r>
    </w:p>
    <w:p w:rsidR="00EB625D" w:rsidRPr="00B367E7" w:rsidRDefault="00EB625D" w:rsidP="00EB625D">
      <w:pPr>
        <w:pStyle w:val="Default"/>
        <w:numPr>
          <w:ilvl w:val="0"/>
          <w:numId w:val="12"/>
        </w:numPr>
        <w:spacing w:after="240"/>
        <w:rPr>
          <w:rFonts w:asciiTheme="minorHAnsi" w:hAnsiTheme="minorHAnsi"/>
          <w:sz w:val="21"/>
          <w:szCs w:val="21"/>
        </w:rPr>
      </w:pPr>
      <w:r w:rsidRPr="003D418A">
        <w:rPr>
          <w:rFonts w:asciiTheme="minorHAnsi" w:hAnsiTheme="minorHAnsi"/>
          <w:color w:val="auto"/>
          <w:sz w:val="21"/>
          <w:szCs w:val="21"/>
        </w:rPr>
        <w:t>The EPA also commissioned independent technical reviews of the key reports.</w:t>
      </w:r>
      <w:r>
        <w:rPr>
          <w:rFonts w:asciiTheme="minorHAnsi" w:hAnsiTheme="minorHAnsi"/>
          <w:color w:val="auto"/>
          <w:sz w:val="21"/>
          <w:szCs w:val="21"/>
        </w:rPr>
        <w:t xml:space="preserve"> </w:t>
      </w:r>
      <w:r w:rsidRPr="003D418A">
        <w:rPr>
          <w:rFonts w:asciiTheme="minorHAnsi" w:hAnsiTheme="minorHAnsi"/>
          <w:sz w:val="21"/>
          <w:szCs w:val="21"/>
        </w:rPr>
        <w:t xml:space="preserve">They are independent experts in the field. The peers are people who have sufficient expertise in the field to assess the credibility of the research. </w:t>
      </w:r>
    </w:p>
    <w:p w:rsidR="00EB625D" w:rsidRPr="00866679" w:rsidRDefault="00EB625D" w:rsidP="00EB625D">
      <w:pPr>
        <w:rPr>
          <w:b/>
          <w:i/>
        </w:rPr>
      </w:pPr>
      <w:r w:rsidRPr="00866679">
        <w:rPr>
          <w:b/>
          <w:i/>
        </w:rPr>
        <w:t>Is this project sustainable?</w:t>
      </w:r>
    </w:p>
    <w:p w:rsidR="00EB625D" w:rsidRPr="0089485E" w:rsidRDefault="00EB625D" w:rsidP="000F4911">
      <w:pPr>
        <w:pStyle w:val="ListParagraph"/>
        <w:numPr>
          <w:ilvl w:val="0"/>
          <w:numId w:val="13"/>
        </w:numPr>
        <w:spacing w:after="0" w:line="240" w:lineRule="auto"/>
        <w:contextualSpacing w:val="0"/>
        <w:rPr>
          <w:rFonts w:cs="Arial"/>
          <w:sz w:val="21"/>
          <w:szCs w:val="21"/>
        </w:rPr>
      </w:pPr>
      <w:r w:rsidRPr="0089485E">
        <w:rPr>
          <w:rFonts w:cs="Arial"/>
          <w:sz w:val="21"/>
          <w:szCs w:val="21"/>
        </w:rPr>
        <w:t xml:space="preserve">Yes. The definition of sustainability   according to the </w:t>
      </w:r>
      <w:proofErr w:type="spellStart"/>
      <w:r w:rsidRPr="0089485E">
        <w:rPr>
          <w:rFonts w:cs="Arial"/>
          <w:sz w:val="21"/>
          <w:szCs w:val="21"/>
        </w:rPr>
        <w:t>Bruntland</w:t>
      </w:r>
      <w:proofErr w:type="spellEnd"/>
      <w:r w:rsidRPr="0089485E">
        <w:rPr>
          <w:rFonts w:cs="Arial"/>
          <w:sz w:val="21"/>
          <w:szCs w:val="21"/>
        </w:rPr>
        <w:t xml:space="preserve"> Commission, which is the most quoted, is “sustainable development is development that meets the needs of the present without compromising the ability of future generations to meet their own needs”. Looked at in that light, TTR’s project area will revert to its original state within a short time and hence won’t impact on the ability of future generations to meet </w:t>
      </w:r>
      <w:proofErr w:type="gramStart"/>
      <w:r w:rsidRPr="0089485E">
        <w:rPr>
          <w:rFonts w:cs="Arial"/>
          <w:sz w:val="21"/>
          <w:szCs w:val="21"/>
        </w:rPr>
        <w:t>their own</w:t>
      </w:r>
      <w:proofErr w:type="gramEnd"/>
      <w:r w:rsidRPr="0089485E">
        <w:rPr>
          <w:rFonts w:cs="Arial"/>
          <w:sz w:val="21"/>
          <w:szCs w:val="21"/>
        </w:rPr>
        <w:t xml:space="preserve"> needs. Consequently, this project can be described as being sustainable.</w:t>
      </w:r>
    </w:p>
    <w:p w:rsidR="000F4911" w:rsidRPr="000F4911" w:rsidRDefault="000F4911" w:rsidP="000F4911">
      <w:pPr>
        <w:pStyle w:val="ListParagraph"/>
        <w:spacing w:after="0" w:line="240" w:lineRule="auto"/>
        <w:contextualSpacing w:val="0"/>
      </w:pPr>
    </w:p>
    <w:p w:rsidR="00EB625D" w:rsidRPr="00866679" w:rsidRDefault="00EB625D" w:rsidP="00EB625D">
      <w:pPr>
        <w:spacing w:after="240"/>
        <w:rPr>
          <w:rFonts w:cs="Arial"/>
          <w:b/>
          <w:i/>
          <w:sz w:val="21"/>
          <w:szCs w:val="21"/>
        </w:rPr>
      </w:pPr>
      <w:r w:rsidRPr="00866679">
        <w:rPr>
          <w:rFonts w:cs="Arial"/>
          <w:b/>
          <w:i/>
          <w:sz w:val="21"/>
          <w:szCs w:val="21"/>
        </w:rPr>
        <w:t xml:space="preserve">What is the environment in the South </w:t>
      </w:r>
      <w:proofErr w:type="spellStart"/>
      <w:r w:rsidRPr="00866679">
        <w:rPr>
          <w:rFonts w:cs="Arial"/>
          <w:b/>
          <w:i/>
          <w:sz w:val="21"/>
          <w:szCs w:val="21"/>
        </w:rPr>
        <w:t>Taranaki</w:t>
      </w:r>
      <w:proofErr w:type="spellEnd"/>
      <w:r w:rsidRPr="00866679">
        <w:rPr>
          <w:rFonts w:cs="Arial"/>
          <w:b/>
          <w:i/>
          <w:sz w:val="21"/>
          <w:szCs w:val="21"/>
        </w:rPr>
        <w:t xml:space="preserve"> Bight?</w:t>
      </w:r>
    </w:p>
    <w:p w:rsidR="00EB625D" w:rsidRDefault="00EB625D" w:rsidP="00EB625D">
      <w:pPr>
        <w:pStyle w:val="ListParagraph"/>
        <w:numPr>
          <w:ilvl w:val="0"/>
          <w:numId w:val="13"/>
        </w:numPr>
        <w:spacing w:after="240" w:line="240" w:lineRule="auto"/>
        <w:contextualSpacing w:val="0"/>
        <w:rPr>
          <w:rFonts w:cs="Arial"/>
          <w:sz w:val="21"/>
          <w:szCs w:val="21"/>
        </w:rPr>
      </w:pPr>
      <w:r w:rsidRPr="008C0B5B">
        <w:rPr>
          <w:rFonts w:cs="Arial"/>
          <w:sz w:val="21"/>
          <w:szCs w:val="21"/>
        </w:rPr>
        <w:t>The seabed within the project area is a dynamic and high energy environment. This environment is continually being disturbed by the prevailing waves, currents and moderately frequent storm events.  Populations of organisms living within this environment must be either fully mobile or, if not, capable of rapid re-colonisation following disturbance.  The main sessile (immobile) species that are present in the TTR extraction and re-deposition area are opportunists, frequently among the first organisms to re-colonise a disturbed area.</w:t>
      </w:r>
    </w:p>
    <w:p w:rsidR="00EB625D" w:rsidRDefault="00EB625D" w:rsidP="00EB625D">
      <w:pPr>
        <w:pStyle w:val="ListParagraph"/>
        <w:numPr>
          <w:ilvl w:val="0"/>
          <w:numId w:val="13"/>
        </w:numPr>
        <w:spacing w:after="240" w:line="240" w:lineRule="auto"/>
        <w:contextualSpacing w:val="0"/>
        <w:rPr>
          <w:rFonts w:cs="Arial"/>
          <w:sz w:val="21"/>
          <w:szCs w:val="21"/>
          <w:lang w:val="en-AU"/>
        </w:rPr>
      </w:pPr>
      <w:r w:rsidRPr="008C0B5B">
        <w:rPr>
          <w:rFonts w:cs="Arial"/>
          <w:sz w:val="21"/>
          <w:szCs w:val="21"/>
        </w:rPr>
        <w:lastRenderedPageBreak/>
        <w:t xml:space="preserve">The biological communities present within the TTR extraction and re-deposition area have limited biodiversity and are dominated by short lived, opportunistic </w:t>
      </w:r>
      <w:proofErr w:type="spellStart"/>
      <w:r w:rsidRPr="008C0B5B">
        <w:rPr>
          <w:rFonts w:cs="Arial"/>
          <w:sz w:val="21"/>
          <w:szCs w:val="21"/>
        </w:rPr>
        <w:t>polychaete</w:t>
      </w:r>
      <w:proofErr w:type="spellEnd"/>
      <w:r w:rsidRPr="008C0B5B">
        <w:rPr>
          <w:rFonts w:cs="Arial"/>
          <w:sz w:val="21"/>
          <w:szCs w:val="21"/>
        </w:rPr>
        <w:t xml:space="preserve"> </w:t>
      </w:r>
      <w:proofErr w:type="spellStart"/>
      <w:r w:rsidRPr="008C0B5B">
        <w:rPr>
          <w:rFonts w:cs="Arial"/>
          <w:sz w:val="21"/>
          <w:szCs w:val="21"/>
        </w:rPr>
        <w:t>wormspecies</w:t>
      </w:r>
      <w:proofErr w:type="spellEnd"/>
      <w:r w:rsidRPr="008C0B5B">
        <w:rPr>
          <w:rFonts w:cs="Arial"/>
          <w:sz w:val="21"/>
          <w:szCs w:val="21"/>
        </w:rPr>
        <w:t>.  The absence of long-lived organisms is indicative of a highly disturbed environment.</w:t>
      </w:r>
    </w:p>
    <w:p w:rsidR="00EB625D" w:rsidRPr="00866679" w:rsidRDefault="00EB625D" w:rsidP="00EB625D">
      <w:pPr>
        <w:spacing w:after="240"/>
        <w:rPr>
          <w:rFonts w:cs="Arial"/>
          <w:b/>
          <w:i/>
          <w:sz w:val="21"/>
          <w:szCs w:val="21"/>
        </w:rPr>
      </w:pPr>
      <w:r w:rsidRPr="00866679">
        <w:rPr>
          <w:rFonts w:cs="Arial"/>
          <w:b/>
          <w:i/>
          <w:sz w:val="21"/>
          <w:szCs w:val="21"/>
        </w:rPr>
        <w:t>How long will it to take to re-colonise the site?</w:t>
      </w:r>
    </w:p>
    <w:p w:rsidR="00EB625D" w:rsidRDefault="00EB625D" w:rsidP="00EB625D">
      <w:pPr>
        <w:pStyle w:val="ListParagraph"/>
        <w:numPr>
          <w:ilvl w:val="0"/>
          <w:numId w:val="14"/>
        </w:numPr>
        <w:spacing w:after="240" w:line="240" w:lineRule="auto"/>
        <w:contextualSpacing w:val="0"/>
        <w:rPr>
          <w:rFonts w:cs="Arial"/>
          <w:sz w:val="21"/>
          <w:szCs w:val="21"/>
        </w:rPr>
      </w:pPr>
      <w:r w:rsidRPr="008C0B5B">
        <w:rPr>
          <w:rFonts w:cs="Arial"/>
          <w:sz w:val="21"/>
          <w:szCs w:val="21"/>
        </w:rPr>
        <w:t xml:space="preserve">The high energy environment combined with a relatively shallow water depth (20-45 m), and TTR’s proposed extraction methodology, which will only affect a minimal seabed area at any one time, means the effects of the project will be relatively short lived enabling rapid re-establishment of the pre-existing flora and fauna.  </w:t>
      </w:r>
    </w:p>
    <w:p w:rsidR="00EB625D" w:rsidRDefault="00EB625D" w:rsidP="00EB625D">
      <w:pPr>
        <w:pStyle w:val="ListParagraph"/>
        <w:numPr>
          <w:ilvl w:val="0"/>
          <w:numId w:val="14"/>
        </w:numPr>
        <w:spacing w:after="240" w:line="240" w:lineRule="auto"/>
        <w:contextualSpacing w:val="0"/>
        <w:rPr>
          <w:rFonts w:cs="Arial"/>
          <w:sz w:val="21"/>
          <w:szCs w:val="21"/>
        </w:rPr>
      </w:pPr>
      <w:r w:rsidRPr="008C0B5B">
        <w:rPr>
          <w:rFonts w:cs="Arial"/>
          <w:spacing w:val="2"/>
          <w:sz w:val="21"/>
          <w:szCs w:val="21"/>
        </w:rPr>
        <w:t>International experience suggests that after an</w:t>
      </w:r>
      <w:r w:rsidRPr="008C0B5B">
        <w:rPr>
          <w:rFonts w:cs="Arial"/>
          <w:spacing w:val="-3"/>
          <w:sz w:val="21"/>
          <w:szCs w:val="21"/>
        </w:rPr>
        <w:t xml:space="preserve"> initial disturbance to </w:t>
      </w:r>
      <w:proofErr w:type="spellStart"/>
      <w:r w:rsidRPr="008C0B5B">
        <w:rPr>
          <w:rFonts w:cs="Arial"/>
          <w:spacing w:val="-3"/>
          <w:sz w:val="21"/>
          <w:szCs w:val="21"/>
        </w:rPr>
        <w:t>seabeds</w:t>
      </w:r>
      <w:proofErr w:type="spellEnd"/>
      <w:r w:rsidRPr="008C0B5B">
        <w:rPr>
          <w:rFonts w:cs="Arial"/>
          <w:spacing w:val="-3"/>
          <w:sz w:val="21"/>
          <w:szCs w:val="21"/>
        </w:rPr>
        <w:t xml:space="preserve"> similar to the South </w:t>
      </w:r>
      <w:proofErr w:type="spellStart"/>
      <w:r w:rsidRPr="008C0B5B">
        <w:rPr>
          <w:rFonts w:cs="Arial"/>
          <w:spacing w:val="-3"/>
          <w:sz w:val="21"/>
          <w:szCs w:val="21"/>
        </w:rPr>
        <w:t>Taranaki</w:t>
      </w:r>
      <w:proofErr w:type="spellEnd"/>
      <w:r w:rsidRPr="008C0B5B">
        <w:rPr>
          <w:rFonts w:cs="Arial"/>
          <w:spacing w:val="-3"/>
          <w:sz w:val="21"/>
          <w:szCs w:val="21"/>
        </w:rPr>
        <w:t xml:space="preserve"> Bight, “p</w:t>
      </w:r>
      <w:r w:rsidRPr="008C0B5B">
        <w:rPr>
          <w:rFonts w:cs="Arial"/>
          <w:spacing w:val="-2"/>
          <w:sz w:val="21"/>
          <w:szCs w:val="21"/>
        </w:rPr>
        <w:t>i</w:t>
      </w:r>
      <w:r w:rsidRPr="008C0B5B">
        <w:rPr>
          <w:rFonts w:cs="Arial"/>
          <w:sz w:val="21"/>
          <w:szCs w:val="21"/>
        </w:rPr>
        <w:t>onee</w:t>
      </w:r>
      <w:r w:rsidRPr="008C0B5B">
        <w:rPr>
          <w:rFonts w:cs="Arial"/>
          <w:spacing w:val="-3"/>
          <w:sz w:val="21"/>
          <w:szCs w:val="21"/>
        </w:rPr>
        <w:t>r</w:t>
      </w:r>
      <w:r w:rsidRPr="008C0B5B">
        <w:rPr>
          <w:rFonts w:cs="Arial"/>
          <w:spacing w:val="2"/>
          <w:sz w:val="21"/>
          <w:szCs w:val="21"/>
        </w:rPr>
        <w:t>i</w:t>
      </w:r>
      <w:r w:rsidRPr="008C0B5B">
        <w:rPr>
          <w:rFonts w:cs="Arial"/>
          <w:sz w:val="21"/>
          <w:szCs w:val="21"/>
        </w:rPr>
        <w:t>ng”</w:t>
      </w:r>
      <w:r w:rsidRPr="008C0B5B">
        <w:rPr>
          <w:rFonts w:cs="Arial"/>
          <w:spacing w:val="25"/>
          <w:sz w:val="21"/>
          <w:szCs w:val="21"/>
        </w:rPr>
        <w:t xml:space="preserve"> </w:t>
      </w:r>
      <w:r w:rsidRPr="008C0B5B">
        <w:rPr>
          <w:rFonts w:cs="Arial"/>
          <w:sz w:val="21"/>
          <w:szCs w:val="21"/>
        </w:rPr>
        <w:t>or</w:t>
      </w:r>
      <w:r w:rsidRPr="008C0B5B">
        <w:rPr>
          <w:rFonts w:cs="Arial"/>
          <w:spacing w:val="-1"/>
          <w:sz w:val="21"/>
          <w:szCs w:val="21"/>
        </w:rPr>
        <w:t>g</w:t>
      </w:r>
      <w:r w:rsidRPr="008C0B5B">
        <w:rPr>
          <w:rFonts w:cs="Arial"/>
          <w:sz w:val="21"/>
          <w:szCs w:val="21"/>
        </w:rPr>
        <w:t>an</w:t>
      </w:r>
      <w:r w:rsidRPr="008C0B5B">
        <w:rPr>
          <w:rFonts w:cs="Arial"/>
          <w:spacing w:val="-2"/>
          <w:sz w:val="21"/>
          <w:szCs w:val="21"/>
        </w:rPr>
        <w:t>i</w:t>
      </w:r>
      <w:r w:rsidRPr="008C0B5B">
        <w:rPr>
          <w:rFonts w:cs="Arial"/>
          <w:spacing w:val="2"/>
          <w:sz w:val="21"/>
          <w:szCs w:val="21"/>
        </w:rPr>
        <w:t>s</w:t>
      </w:r>
      <w:r w:rsidRPr="008C0B5B">
        <w:rPr>
          <w:rFonts w:cs="Arial"/>
          <w:spacing w:val="-3"/>
          <w:sz w:val="21"/>
          <w:szCs w:val="21"/>
        </w:rPr>
        <w:t>m</w:t>
      </w:r>
      <w:r w:rsidRPr="008C0B5B">
        <w:rPr>
          <w:rFonts w:cs="Arial"/>
          <w:sz w:val="21"/>
          <w:szCs w:val="21"/>
        </w:rPr>
        <w:t>s,</w:t>
      </w:r>
      <w:r w:rsidRPr="008C0B5B">
        <w:rPr>
          <w:rFonts w:cs="Arial"/>
          <w:spacing w:val="30"/>
          <w:sz w:val="21"/>
          <w:szCs w:val="21"/>
        </w:rPr>
        <w:t xml:space="preserve"> </w:t>
      </w:r>
      <w:r w:rsidRPr="008C0B5B">
        <w:rPr>
          <w:rFonts w:cs="Arial"/>
          <w:sz w:val="21"/>
          <w:szCs w:val="21"/>
        </w:rPr>
        <w:t>su</w:t>
      </w:r>
      <w:r w:rsidRPr="008C0B5B">
        <w:rPr>
          <w:rFonts w:cs="Arial"/>
          <w:spacing w:val="-3"/>
          <w:sz w:val="21"/>
          <w:szCs w:val="21"/>
        </w:rPr>
        <w:t>c</w:t>
      </w:r>
      <w:r w:rsidRPr="008C0B5B">
        <w:rPr>
          <w:rFonts w:cs="Arial"/>
          <w:sz w:val="21"/>
          <w:szCs w:val="21"/>
        </w:rPr>
        <w:t>h</w:t>
      </w:r>
      <w:r w:rsidRPr="008C0B5B">
        <w:rPr>
          <w:rFonts w:cs="Arial"/>
          <w:spacing w:val="28"/>
          <w:sz w:val="21"/>
          <w:szCs w:val="21"/>
        </w:rPr>
        <w:t xml:space="preserve"> </w:t>
      </w:r>
      <w:r w:rsidRPr="008C0B5B">
        <w:rPr>
          <w:rFonts w:cs="Arial"/>
          <w:sz w:val="21"/>
          <w:szCs w:val="21"/>
        </w:rPr>
        <w:t>as</w:t>
      </w:r>
      <w:r w:rsidRPr="008C0B5B">
        <w:rPr>
          <w:rFonts w:cs="Arial"/>
          <w:spacing w:val="28"/>
          <w:sz w:val="21"/>
          <w:szCs w:val="21"/>
        </w:rPr>
        <w:t xml:space="preserve"> </w:t>
      </w:r>
      <w:r w:rsidRPr="008C0B5B">
        <w:rPr>
          <w:rFonts w:cs="Arial"/>
          <w:sz w:val="21"/>
          <w:szCs w:val="21"/>
        </w:rPr>
        <w:t>s</w:t>
      </w:r>
      <w:r w:rsidRPr="008C0B5B">
        <w:rPr>
          <w:rFonts w:cs="Arial"/>
          <w:spacing w:val="1"/>
          <w:sz w:val="21"/>
          <w:szCs w:val="21"/>
        </w:rPr>
        <w:t>m</w:t>
      </w:r>
      <w:r w:rsidRPr="008C0B5B">
        <w:rPr>
          <w:rFonts w:cs="Arial"/>
          <w:spacing w:val="-3"/>
          <w:sz w:val="21"/>
          <w:szCs w:val="21"/>
        </w:rPr>
        <w:t>a</w:t>
      </w:r>
      <w:r w:rsidRPr="008C0B5B">
        <w:rPr>
          <w:rFonts w:cs="Arial"/>
          <w:spacing w:val="-2"/>
          <w:sz w:val="21"/>
          <w:szCs w:val="21"/>
        </w:rPr>
        <w:t>l</w:t>
      </w:r>
      <w:r w:rsidRPr="008C0B5B">
        <w:rPr>
          <w:rFonts w:cs="Arial"/>
          <w:spacing w:val="1"/>
          <w:sz w:val="21"/>
          <w:szCs w:val="21"/>
        </w:rPr>
        <w:t>l</w:t>
      </w:r>
      <w:r w:rsidRPr="008C0B5B">
        <w:rPr>
          <w:rFonts w:cs="Arial"/>
          <w:sz w:val="21"/>
          <w:szCs w:val="21"/>
        </w:rPr>
        <w:t>,</w:t>
      </w:r>
      <w:r w:rsidRPr="008C0B5B">
        <w:rPr>
          <w:rFonts w:cs="Arial"/>
          <w:spacing w:val="26"/>
          <w:sz w:val="21"/>
          <w:szCs w:val="21"/>
        </w:rPr>
        <w:t xml:space="preserve"> </w:t>
      </w:r>
      <w:r w:rsidRPr="008C0B5B">
        <w:rPr>
          <w:rFonts w:cs="Arial"/>
          <w:spacing w:val="1"/>
          <w:sz w:val="21"/>
          <w:szCs w:val="21"/>
        </w:rPr>
        <w:t>t</w:t>
      </w:r>
      <w:r w:rsidRPr="008C0B5B">
        <w:rPr>
          <w:rFonts w:cs="Arial"/>
          <w:sz w:val="21"/>
          <w:szCs w:val="21"/>
        </w:rPr>
        <w:t>ub</w:t>
      </w:r>
      <w:r w:rsidRPr="008C0B5B">
        <w:rPr>
          <w:rFonts w:cs="Arial"/>
          <w:spacing w:val="4"/>
          <w:sz w:val="21"/>
          <w:szCs w:val="21"/>
        </w:rPr>
        <w:t>e</w:t>
      </w:r>
      <w:r w:rsidRPr="008C0B5B">
        <w:rPr>
          <w:rFonts w:cs="Arial"/>
          <w:sz w:val="21"/>
          <w:szCs w:val="21"/>
        </w:rPr>
        <w:t>-</w:t>
      </w:r>
      <w:r w:rsidRPr="008C0B5B">
        <w:rPr>
          <w:rFonts w:cs="Arial"/>
          <w:spacing w:val="-1"/>
          <w:sz w:val="21"/>
          <w:szCs w:val="21"/>
        </w:rPr>
        <w:t>d</w:t>
      </w:r>
      <w:r w:rsidRPr="008C0B5B">
        <w:rPr>
          <w:rFonts w:cs="Arial"/>
          <w:sz w:val="21"/>
          <w:szCs w:val="21"/>
        </w:rPr>
        <w:t>w</w:t>
      </w:r>
      <w:r w:rsidRPr="008C0B5B">
        <w:rPr>
          <w:rFonts w:cs="Arial"/>
          <w:spacing w:val="-3"/>
          <w:sz w:val="21"/>
          <w:szCs w:val="21"/>
        </w:rPr>
        <w:t>e</w:t>
      </w:r>
      <w:r w:rsidRPr="008C0B5B">
        <w:rPr>
          <w:rFonts w:cs="Arial"/>
          <w:spacing w:val="1"/>
          <w:sz w:val="21"/>
          <w:szCs w:val="21"/>
        </w:rPr>
        <w:t>ll</w:t>
      </w:r>
      <w:r w:rsidRPr="008C0B5B">
        <w:rPr>
          <w:rFonts w:cs="Arial"/>
          <w:spacing w:val="-2"/>
          <w:sz w:val="21"/>
          <w:szCs w:val="21"/>
        </w:rPr>
        <w:t>i</w:t>
      </w:r>
      <w:r w:rsidRPr="008C0B5B">
        <w:rPr>
          <w:rFonts w:cs="Arial"/>
          <w:spacing w:val="-1"/>
          <w:sz w:val="21"/>
          <w:szCs w:val="21"/>
        </w:rPr>
        <w:t>n</w:t>
      </w:r>
      <w:r w:rsidRPr="008C0B5B">
        <w:rPr>
          <w:rFonts w:cs="Arial"/>
          <w:sz w:val="21"/>
          <w:szCs w:val="21"/>
        </w:rPr>
        <w:t>g</w:t>
      </w:r>
      <w:r w:rsidRPr="008C0B5B">
        <w:rPr>
          <w:rFonts w:cs="Arial"/>
          <w:spacing w:val="26"/>
          <w:sz w:val="21"/>
          <w:szCs w:val="21"/>
        </w:rPr>
        <w:t xml:space="preserve"> </w:t>
      </w:r>
      <w:proofErr w:type="spellStart"/>
      <w:r w:rsidRPr="008C0B5B">
        <w:rPr>
          <w:rFonts w:cs="Arial"/>
          <w:sz w:val="21"/>
          <w:szCs w:val="21"/>
        </w:rPr>
        <w:t>po</w:t>
      </w:r>
      <w:r w:rsidRPr="008C0B5B">
        <w:rPr>
          <w:rFonts w:cs="Arial"/>
          <w:spacing w:val="2"/>
          <w:sz w:val="21"/>
          <w:szCs w:val="21"/>
        </w:rPr>
        <w:t>l</w:t>
      </w:r>
      <w:r w:rsidRPr="008C0B5B">
        <w:rPr>
          <w:rFonts w:cs="Arial"/>
          <w:spacing w:val="-6"/>
          <w:sz w:val="21"/>
          <w:szCs w:val="21"/>
        </w:rPr>
        <w:t>y</w:t>
      </w:r>
      <w:r w:rsidRPr="008C0B5B">
        <w:rPr>
          <w:rFonts w:cs="Arial"/>
          <w:sz w:val="21"/>
          <w:szCs w:val="21"/>
        </w:rPr>
        <w:t>chae</w:t>
      </w:r>
      <w:r w:rsidRPr="008C0B5B">
        <w:rPr>
          <w:rFonts w:cs="Arial"/>
          <w:spacing w:val="1"/>
          <w:sz w:val="21"/>
          <w:szCs w:val="21"/>
        </w:rPr>
        <w:t>t</w:t>
      </w:r>
      <w:r w:rsidRPr="008C0B5B">
        <w:rPr>
          <w:rFonts w:cs="Arial"/>
          <w:sz w:val="21"/>
          <w:szCs w:val="21"/>
        </w:rPr>
        <w:t>e</w:t>
      </w:r>
      <w:proofErr w:type="spellEnd"/>
      <w:r w:rsidRPr="008C0B5B">
        <w:rPr>
          <w:rFonts w:cs="Arial"/>
          <w:sz w:val="21"/>
          <w:szCs w:val="21"/>
        </w:rPr>
        <w:t xml:space="preserve"> worms</w:t>
      </w:r>
      <w:r w:rsidRPr="008C0B5B">
        <w:rPr>
          <w:rFonts w:cs="Arial"/>
          <w:spacing w:val="30"/>
          <w:sz w:val="21"/>
          <w:szCs w:val="21"/>
        </w:rPr>
        <w:t xml:space="preserve"> </w:t>
      </w:r>
      <w:r w:rsidRPr="008C0B5B">
        <w:rPr>
          <w:rFonts w:cs="Arial"/>
          <w:sz w:val="21"/>
          <w:szCs w:val="21"/>
        </w:rPr>
        <w:t>and</w:t>
      </w:r>
      <w:r w:rsidRPr="008C0B5B">
        <w:rPr>
          <w:rFonts w:cs="Arial"/>
          <w:spacing w:val="28"/>
          <w:sz w:val="21"/>
          <w:szCs w:val="21"/>
        </w:rPr>
        <w:t xml:space="preserve"> </w:t>
      </w:r>
      <w:r w:rsidRPr="008C0B5B">
        <w:rPr>
          <w:rFonts w:cs="Arial"/>
          <w:sz w:val="21"/>
          <w:szCs w:val="21"/>
        </w:rPr>
        <w:t>sm</w:t>
      </w:r>
      <w:r w:rsidRPr="008C0B5B">
        <w:rPr>
          <w:rFonts w:cs="Arial"/>
          <w:spacing w:val="-3"/>
          <w:sz w:val="21"/>
          <w:szCs w:val="21"/>
        </w:rPr>
        <w:t>a</w:t>
      </w:r>
      <w:r w:rsidRPr="008C0B5B">
        <w:rPr>
          <w:rFonts w:cs="Arial"/>
          <w:spacing w:val="1"/>
          <w:sz w:val="21"/>
          <w:szCs w:val="21"/>
        </w:rPr>
        <w:t>l</w:t>
      </w:r>
      <w:r w:rsidRPr="008C0B5B">
        <w:rPr>
          <w:rFonts w:cs="Arial"/>
          <w:sz w:val="21"/>
          <w:szCs w:val="21"/>
        </w:rPr>
        <w:t>l</w:t>
      </w:r>
      <w:r w:rsidRPr="008C0B5B">
        <w:rPr>
          <w:rFonts w:cs="Arial"/>
          <w:spacing w:val="28"/>
          <w:sz w:val="21"/>
          <w:szCs w:val="21"/>
        </w:rPr>
        <w:t xml:space="preserve"> </w:t>
      </w:r>
      <w:r w:rsidRPr="008C0B5B">
        <w:rPr>
          <w:rFonts w:cs="Arial"/>
          <w:spacing w:val="-1"/>
          <w:sz w:val="21"/>
          <w:szCs w:val="21"/>
        </w:rPr>
        <w:t>b</w:t>
      </w:r>
      <w:r w:rsidRPr="008C0B5B">
        <w:rPr>
          <w:rFonts w:cs="Arial"/>
          <w:spacing w:val="1"/>
          <w:sz w:val="21"/>
          <w:szCs w:val="21"/>
        </w:rPr>
        <w:t>i</w:t>
      </w:r>
      <w:r w:rsidRPr="008C0B5B">
        <w:rPr>
          <w:rFonts w:cs="Arial"/>
          <w:spacing w:val="-1"/>
          <w:sz w:val="21"/>
          <w:szCs w:val="21"/>
        </w:rPr>
        <w:t>v</w:t>
      </w:r>
      <w:r w:rsidRPr="008C0B5B">
        <w:rPr>
          <w:rFonts w:cs="Arial"/>
          <w:sz w:val="21"/>
          <w:szCs w:val="21"/>
        </w:rPr>
        <w:t>a</w:t>
      </w:r>
      <w:r w:rsidRPr="008C0B5B">
        <w:rPr>
          <w:rFonts w:cs="Arial"/>
          <w:spacing w:val="1"/>
          <w:sz w:val="21"/>
          <w:szCs w:val="21"/>
        </w:rPr>
        <w:t>l</w:t>
      </w:r>
      <w:r w:rsidRPr="008C0B5B">
        <w:rPr>
          <w:rFonts w:cs="Arial"/>
          <w:spacing w:val="-1"/>
          <w:sz w:val="21"/>
          <w:szCs w:val="21"/>
        </w:rPr>
        <w:t>v</w:t>
      </w:r>
      <w:r w:rsidRPr="008C0B5B">
        <w:rPr>
          <w:rFonts w:cs="Arial"/>
          <w:sz w:val="21"/>
          <w:szCs w:val="21"/>
        </w:rPr>
        <w:t>es colonise</w:t>
      </w:r>
      <w:r w:rsidRPr="008C0B5B">
        <w:rPr>
          <w:rFonts w:cs="Arial"/>
          <w:spacing w:val="24"/>
          <w:sz w:val="21"/>
          <w:szCs w:val="21"/>
        </w:rPr>
        <w:t xml:space="preserve"> </w:t>
      </w:r>
      <w:r w:rsidRPr="008C0B5B">
        <w:rPr>
          <w:rFonts w:cs="Arial"/>
          <w:spacing w:val="1"/>
          <w:sz w:val="21"/>
          <w:szCs w:val="21"/>
        </w:rPr>
        <w:t>t</w:t>
      </w:r>
      <w:r w:rsidRPr="008C0B5B">
        <w:rPr>
          <w:rFonts w:cs="Arial"/>
          <w:sz w:val="21"/>
          <w:szCs w:val="21"/>
        </w:rPr>
        <w:t>he</w:t>
      </w:r>
      <w:r w:rsidRPr="008C0B5B">
        <w:rPr>
          <w:rFonts w:cs="Arial"/>
          <w:spacing w:val="27"/>
          <w:sz w:val="21"/>
          <w:szCs w:val="21"/>
        </w:rPr>
        <w:t xml:space="preserve"> </w:t>
      </w:r>
      <w:proofErr w:type="spellStart"/>
      <w:r w:rsidRPr="008C0B5B">
        <w:rPr>
          <w:rFonts w:cs="Arial"/>
          <w:spacing w:val="-1"/>
          <w:sz w:val="21"/>
          <w:szCs w:val="21"/>
        </w:rPr>
        <w:t>s</w:t>
      </w:r>
      <w:r w:rsidRPr="008C0B5B">
        <w:rPr>
          <w:rFonts w:cs="Arial"/>
          <w:sz w:val="21"/>
          <w:szCs w:val="21"/>
        </w:rPr>
        <w:t>u</w:t>
      </w:r>
      <w:r w:rsidRPr="008C0B5B">
        <w:rPr>
          <w:rFonts w:cs="Arial"/>
          <w:spacing w:val="1"/>
          <w:sz w:val="21"/>
          <w:szCs w:val="21"/>
        </w:rPr>
        <w:t>r</w:t>
      </w:r>
      <w:r w:rsidRPr="008C0B5B">
        <w:rPr>
          <w:rFonts w:cs="Arial"/>
          <w:spacing w:val="-3"/>
          <w:sz w:val="21"/>
          <w:szCs w:val="21"/>
        </w:rPr>
        <w:t>f</w:t>
      </w:r>
      <w:r w:rsidRPr="008C0B5B">
        <w:rPr>
          <w:rFonts w:cs="Arial"/>
          <w:spacing w:val="1"/>
          <w:sz w:val="21"/>
          <w:szCs w:val="21"/>
        </w:rPr>
        <w:t>i</w:t>
      </w:r>
      <w:r w:rsidRPr="008C0B5B">
        <w:rPr>
          <w:rFonts w:cs="Arial"/>
          <w:spacing w:val="-3"/>
          <w:sz w:val="21"/>
          <w:szCs w:val="21"/>
        </w:rPr>
        <w:t>c</w:t>
      </w:r>
      <w:r w:rsidRPr="008C0B5B">
        <w:rPr>
          <w:rFonts w:cs="Arial"/>
          <w:spacing w:val="2"/>
          <w:sz w:val="21"/>
          <w:szCs w:val="21"/>
        </w:rPr>
        <w:t>i</w:t>
      </w:r>
      <w:r w:rsidRPr="008C0B5B">
        <w:rPr>
          <w:rFonts w:cs="Arial"/>
          <w:spacing w:val="-3"/>
          <w:sz w:val="21"/>
          <w:szCs w:val="21"/>
        </w:rPr>
        <w:t>a</w:t>
      </w:r>
      <w:r w:rsidRPr="008C0B5B">
        <w:rPr>
          <w:rFonts w:cs="Arial"/>
          <w:sz w:val="21"/>
          <w:szCs w:val="21"/>
        </w:rPr>
        <w:t>l</w:t>
      </w:r>
      <w:proofErr w:type="spellEnd"/>
      <w:r w:rsidRPr="008C0B5B">
        <w:rPr>
          <w:rFonts w:cs="Arial"/>
          <w:w w:val="101"/>
          <w:sz w:val="21"/>
          <w:szCs w:val="21"/>
        </w:rPr>
        <w:t xml:space="preserve"> </w:t>
      </w:r>
      <w:r w:rsidRPr="008C0B5B">
        <w:rPr>
          <w:rFonts w:cs="Arial"/>
          <w:sz w:val="21"/>
          <w:szCs w:val="21"/>
        </w:rPr>
        <w:t>se</w:t>
      </w:r>
      <w:r w:rsidRPr="008C0B5B">
        <w:rPr>
          <w:rFonts w:cs="Arial"/>
          <w:spacing w:val="-1"/>
          <w:sz w:val="21"/>
          <w:szCs w:val="21"/>
        </w:rPr>
        <w:t>d</w:t>
      </w:r>
      <w:r w:rsidRPr="008C0B5B">
        <w:rPr>
          <w:rFonts w:cs="Arial"/>
          <w:spacing w:val="1"/>
          <w:sz w:val="21"/>
          <w:szCs w:val="21"/>
        </w:rPr>
        <w:t>im</w:t>
      </w:r>
      <w:r w:rsidRPr="008C0B5B">
        <w:rPr>
          <w:rFonts w:cs="Arial"/>
          <w:sz w:val="21"/>
          <w:szCs w:val="21"/>
        </w:rPr>
        <w:t>e</w:t>
      </w:r>
      <w:r w:rsidRPr="008C0B5B">
        <w:rPr>
          <w:rFonts w:cs="Arial"/>
          <w:spacing w:val="-1"/>
          <w:sz w:val="21"/>
          <w:szCs w:val="21"/>
        </w:rPr>
        <w:t>n</w:t>
      </w:r>
      <w:r w:rsidRPr="008C0B5B">
        <w:rPr>
          <w:rFonts w:cs="Arial"/>
          <w:spacing w:val="-2"/>
          <w:sz w:val="21"/>
          <w:szCs w:val="21"/>
        </w:rPr>
        <w:t>t</w:t>
      </w:r>
      <w:r w:rsidRPr="008C0B5B">
        <w:rPr>
          <w:rFonts w:cs="Arial"/>
          <w:sz w:val="21"/>
          <w:szCs w:val="21"/>
        </w:rPr>
        <w:t xml:space="preserve">s. TTR’s extraction area is currently dominated by early </w:t>
      </w:r>
      <w:proofErr w:type="spellStart"/>
      <w:r w:rsidRPr="008C0B5B">
        <w:rPr>
          <w:rFonts w:cs="Arial"/>
          <w:sz w:val="21"/>
          <w:szCs w:val="21"/>
        </w:rPr>
        <w:t>successional</w:t>
      </w:r>
      <w:proofErr w:type="spellEnd"/>
      <w:r w:rsidRPr="008C0B5B">
        <w:rPr>
          <w:rFonts w:cs="Arial"/>
          <w:sz w:val="21"/>
          <w:szCs w:val="21"/>
        </w:rPr>
        <w:t xml:space="preserve"> species such as the </w:t>
      </w:r>
      <w:proofErr w:type="spellStart"/>
      <w:r w:rsidRPr="008C0B5B">
        <w:rPr>
          <w:rFonts w:cs="Arial"/>
          <w:sz w:val="21"/>
          <w:szCs w:val="21"/>
        </w:rPr>
        <w:t>polychaete</w:t>
      </w:r>
      <w:proofErr w:type="spellEnd"/>
      <w:r w:rsidRPr="008C0B5B">
        <w:rPr>
          <w:rFonts w:cs="Arial"/>
          <w:sz w:val="21"/>
          <w:szCs w:val="21"/>
        </w:rPr>
        <w:t xml:space="preserve"> </w:t>
      </w:r>
      <w:proofErr w:type="spellStart"/>
      <w:r w:rsidRPr="008C0B5B">
        <w:rPr>
          <w:rFonts w:cs="Arial"/>
          <w:i/>
          <w:sz w:val="21"/>
          <w:szCs w:val="21"/>
        </w:rPr>
        <w:t>Euchone</w:t>
      </w:r>
      <w:proofErr w:type="spellEnd"/>
      <w:r w:rsidRPr="008C0B5B">
        <w:rPr>
          <w:rFonts w:cs="Arial"/>
          <w:sz w:val="21"/>
          <w:szCs w:val="21"/>
        </w:rPr>
        <w:t xml:space="preserve"> sp (tube worms).  </w:t>
      </w:r>
      <w:r w:rsidRPr="008C0B5B">
        <w:rPr>
          <w:rFonts w:cs="Arial"/>
          <w:spacing w:val="-1"/>
          <w:sz w:val="21"/>
          <w:szCs w:val="21"/>
        </w:rPr>
        <w:t>T</w:t>
      </w:r>
      <w:r w:rsidRPr="008C0B5B">
        <w:rPr>
          <w:rFonts w:cs="Arial"/>
          <w:sz w:val="21"/>
          <w:szCs w:val="21"/>
        </w:rPr>
        <w:t>hese</w:t>
      </w:r>
      <w:r w:rsidRPr="008C0B5B">
        <w:rPr>
          <w:rFonts w:cs="Arial"/>
          <w:spacing w:val="3"/>
          <w:sz w:val="21"/>
          <w:szCs w:val="21"/>
        </w:rPr>
        <w:t xml:space="preserve"> </w:t>
      </w:r>
      <w:r w:rsidRPr="008C0B5B">
        <w:rPr>
          <w:rFonts w:cs="Arial"/>
          <w:spacing w:val="-1"/>
          <w:sz w:val="21"/>
          <w:szCs w:val="21"/>
        </w:rPr>
        <w:t>o</w:t>
      </w:r>
      <w:r w:rsidRPr="008C0B5B">
        <w:rPr>
          <w:rFonts w:cs="Arial"/>
          <w:sz w:val="21"/>
          <w:szCs w:val="21"/>
        </w:rPr>
        <w:t>pp</w:t>
      </w:r>
      <w:r w:rsidRPr="008C0B5B">
        <w:rPr>
          <w:rFonts w:cs="Arial"/>
          <w:spacing w:val="-1"/>
          <w:sz w:val="21"/>
          <w:szCs w:val="21"/>
        </w:rPr>
        <w:t>o</w:t>
      </w:r>
      <w:r w:rsidRPr="008C0B5B">
        <w:rPr>
          <w:rFonts w:cs="Arial"/>
          <w:spacing w:val="-3"/>
          <w:sz w:val="21"/>
          <w:szCs w:val="21"/>
        </w:rPr>
        <w:t>r</w:t>
      </w:r>
      <w:r w:rsidRPr="008C0B5B">
        <w:rPr>
          <w:rFonts w:cs="Arial"/>
          <w:spacing w:val="1"/>
          <w:sz w:val="21"/>
          <w:szCs w:val="21"/>
        </w:rPr>
        <w:t>t</w:t>
      </w:r>
      <w:r w:rsidRPr="008C0B5B">
        <w:rPr>
          <w:rFonts w:cs="Arial"/>
          <w:sz w:val="21"/>
          <w:szCs w:val="21"/>
        </w:rPr>
        <w:t>u</w:t>
      </w:r>
      <w:r w:rsidRPr="008C0B5B">
        <w:rPr>
          <w:rFonts w:cs="Arial"/>
          <w:spacing w:val="-1"/>
          <w:sz w:val="21"/>
          <w:szCs w:val="21"/>
        </w:rPr>
        <w:t>n</w:t>
      </w:r>
      <w:r w:rsidRPr="008C0B5B">
        <w:rPr>
          <w:rFonts w:cs="Arial"/>
          <w:spacing w:val="1"/>
          <w:sz w:val="21"/>
          <w:szCs w:val="21"/>
        </w:rPr>
        <w:t>i</w:t>
      </w:r>
      <w:r w:rsidRPr="008C0B5B">
        <w:rPr>
          <w:rFonts w:cs="Arial"/>
          <w:sz w:val="21"/>
          <w:szCs w:val="21"/>
        </w:rPr>
        <w:t>s</w:t>
      </w:r>
      <w:r w:rsidRPr="008C0B5B">
        <w:rPr>
          <w:rFonts w:cs="Arial"/>
          <w:spacing w:val="-2"/>
          <w:sz w:val="21"/>
          <w:szCs w:val="21"/>
        </w:rPr>
        <w:t>t</w:t>
      </w:r>
      <w:r w:rsidRPr="008C0B5B">
        <w:rPr>
          <w:rFonts w:cs="Arial"/>
          <w:spacing w:val="1"/>
          <w:sz w:val="21"/>
          <w:szCs w:val="21"/>
        </w:rPr>
        <w:t>i</w:t>
      </w:r>
      <w:r w:rsidRPr="008C0B5B">
        <w:rPr>
          <w:rFonts w:cs="Arial"/>
          <w:sz w:val="21"/>
          <w:szCs w:val="21"/>
        </w:rPr>
        <w:t>c species</w:t>
      </w:r>
      <w:r w:rsidRPr="008C0B5B">
        <w:rPr>
          <w:rFonts w:cs="Arial"/>
          <w:spacing w:val="47"/>
          <w:sz w:val="21"/>
          <w:szCs w:val="21"/>
        </w:rPr>
        <w:t xml:space="preserve"> </w:t>
      </w:r>
      <w:r w:rsidRPr="008C0B5B">
        <w:rPr>
          <w:rFonts w:cs="Arial"/>
          <w:sz w:val="21"/>
          <w:szCs w:val="21"/>
        </w:rPr>
        <w:t xml:space="preserve">occur </w:t>
      </w:r>
      <w:r w:rsidRPr="008C0B5B">
        <w:rPr>
          <w:rFonts w:cs="Arial"/>
          <w:spacing w:val="1"/>
          <w:sz w:val="21"/>
          <w:szCs w:val="21"/>
        </w:rPr>
        <w:t>i</w:t>
      </w:r>
      <w:r w:rsidRPr="008C0B5B">
        <w:rPr>
          <w:rFonts w:cs="Arial"/>
          <w:sz w:val="21"/>
          <w:szCs w:val="21"/>
        </w:rPr>
        <w:t>n</w:t>
      </w:r>
      <w:r w:rsidRPr="008C0B5B">
        <w:rPr>
          <w:rFonts w:cs="Arial"/>
          <w:spacing w:val="4"/>
          <w:sz w:val="21"/>
          <w:szCs w:val="21"/>
        </w:rPr>
        <w:t xml:space="preserve"> </w:t>
      </w:r>
      <w:r w:rsidRPr="008C0B5B">
        <w:rPr>
          <w:rFonts w:cs="Arial"/>
          <w:sz w:val="21"/>
          <w:szCs w:val="21"/>
        </w:rPr>
        <w:t>r</w:t>
      </w:r>
      <w:r w:rsidRPr="008C0B5B">
        <w:rPr>
          <w:rFonts w:cs="Arial"/>
          <w:spacing w:val="-3"/>
          <w:sz w:val="21"/>
          <w:szCs w:val="21"/>
        </w:rPr>
        <w:t>e</w:t>
      </w:r>
      <w:r w:rsidRPr="008C0B5B">
        <w:rPr>
          <w:rFonts w:cs="Arial"/>
          <w:spacing w:val="2"/>
          <w:sz w:val="21"/>
          <w:szCs w:val="21"/>
        </w:rPr>
        <w:t>l</w:t>
      </w:r>
      <w:r w:rsidRPr="008C0B5B">
        <w:rPr>
          <w:rFonts w:cs="Arial"/>
          <w:spacing w:val="-3"/>
          <w:sz w:val="21"/>
          <w:szCs w:val="21"/>
        </w:rPr>
        <w:t>a</w:t>
      </w:r>
      <w:r w:rsidRPr="008C0B5B">
        <w:rPr>
          <w:rFonts w:cs="Arial"/>
          <w:spacing w:val="1"/>
          <w:sz w:val="21"/>
          <w:szCs w:val="21"/>
        </w:rPr>
        <w:t>ti</w:t>
      </w:r>
      <w:r w:rsidRPr="008C0B5B">
        <w:rPr>
          <w:rFonts w:cs="Arial"/>
          <w:spacing w:val="-1"/>
          <w:sz w:val="21"/>
          <w:szCs w:val="21"/>
        </w:rPr>
        <w:t>v</w:t>
      </w:r>
      <w:r w:rsidRPr="008C0B5B">
        <w:rPr>
          <w:rFonts w:cs="Arial"/>
          <w:spacing w:val="-3"/>
          <w:sz w:val="21"/>
          <w:szCs w:val="21"/>
        </w:rPr>
        <w:t>e</w:t>
      </w:r>
      <w:r w:rsidRPr="008C0B5B">
        <w:rPr>
          <w:rFonts w:cs="Arial"/>
          <w:spacing w:val="5"/>
          <w:sz w:val="21"/>
          <w:szCs w:val="21"/>
        </w:rPr>
        <w:t>l</w:t>
      </w:r>
      <w:r w:rsidRPr="008C0B5B">
        <w:rPr>
          <w:rFonts w:cs="Arial"/>
          <w:sz w:val="21"/>
          <w:szCs w:val="21"/>
        </w:rPr>
        <w:t>y</w:t>
      </w:r>
      <w:r w:rsidRPr="008C0B5B">
        <w:rPr>
          <w:rFonts w:cs="Arial"/>
          <w:spacing w:val="46"/>
          <w:sz w:val="21"/>
          <w:szCs w:val="21"/>
        </w:rPr>
        <w:t xml:space="preserve"> </w:t>
      </w:r>
      <w:r w:rsidRPr="008C0B5B">
        <w:rPr>
          <w:rFonts w:cs="Arial"/>
          <w:sz w:val="21"/>
          <w:szCs w:val="21"/>
        </w:rPr>
        <w:t>h</w:t>
      </w:r>
      <w:r w:rsidRPr="008C0B5B">
        <w:rPr>
          <w:rFonts w:cs="Arial"/>
          <w:spacing w:val="1"/>
          <w:sz w:val="21"/>
          <w:szCs w:val="21"/>
        </w:rPr>
        <w:t>i</w:t>
      </w:r>
      <w:r w:rsidRPr="008C0B5B">
        <w:rPr>
          <w:rFonts w:cs="Arial"/>
          <w:spacing w:val="3"/>
          <w:sz w:val="21"/>
          <w:szCs w:val="21"/>
        </w:rPr>
        <w:t>g</w:t>
      </w:r>
      <w:r w:rsidRPr="008C0B5B">
        <w:rPr>
          <w:rFonts w:cs="Arial"/>
          <w:sz w:val="21"/>
          <w:szCs w:val="21"/>
        </w:rPr>
        <w:t>h ab</w:t>
      </w:r>
      <w:r w:rsidRPr="008C0B5B">
        <w:rPr>
          <w:rFonts w:cs="Arial"/>
          <w:spacing w:val="-4"/>
          <w:sz w:val="21"/>
          <w:szCs w:val="21"/>
        </w:rPr>
        <w:t>u</w:t>
      </w:r>
      <w:r w:rsidRPr="008C0B5B">
        <w:rPr>
          <w:rFonts w:cs="Arial"/>
          <w:sz w:val="21"/>
          <w:szCs w:val="21"/>
        </w:rPr>
        <w:t>ndanc</w:t>
      </w:r>
      <w:r w:rsidRPr="008C0B5B">
        <w:rPr>
          <w:rFonts w:cs="Arial"/>
          <w:spacing w:val="-3"/>
          <w:sz w:val="21"/>
          <w:szCs w:val="21"/>
        </w:rPr>
        <w:t>e</w:t>
      </w:r>
      <w:r w:rsidRPr="008C0B5B">
        <w:rPr>
          <w:rFonts w:cs="Arial"/>
          <w:sz w:val="21"/>
          <w:szCs w:val="21"/>
        </w:rPr>
        <w:t>s</w:t>
      </w:r>
      <w:r w:rsidRPr="008C0B5B">
        <w:rPr>
          <w:rFonts w:cs="Arial"/>
          <w:spacing w:val="4"/>
          <w:sz w:val="21"/>
          <w:szCs w:val="21"/>
        </w:rPr>
        <w:t xml:space="preserve"> </w:t>
      </w:r>
      <w:r w:rsidRPr="008C0B5B">
        <w:rPr>
          <w:rFonts w:cs="Arial"/>
          <w:sz w:val="21"/>
          <w:szCs w:val="21"/>
        </w:rPr>
        <w:t xml:space="preserve">and </w:t>
      </w:r>
      <w:r w:rsidRPr="008C0B5B">
        <w:rPr>
          <w:rFonts w:cs="Arial"/>
          <w:spacing w:val="1"/>
          <w:sz w:val="21"/>
          <w:szCs w:val="21"/>
        </w:rPr>
        <w:t>l</w:t>
      </w:r>
      <w:r w:rsidRPr="008C0B5B">
        <w:rPr>
          <w:rFonts w:cs="Arial"/>
          <w:sz w:val="21"/>
          <w:szCs w:val="21"/>
        </w:rPr>
        <w:t>ow</w:t>
      </w:r>
      <w:r w:rsidRPr="008C0B5B">
        <w:rPr>
          <w:rFonts w:cs="Arial"/>
          <w:spacing w:val="6"/>
          <w:sz w:val="21"/>
          <w:szCs w:val="21"/>
        </w:rPr>
        <w:t xml:space="preserve"> </w:t>
      </w:r>
      <w:r w:rsidRPr="008C0B5B">
        <w:rPr>
          <w:rFonts w:cs="Arial"/>
          <w:spacing w:val="-1"/>
          <w:sz w:val="21"/>
          <w:szCs w:val="21"/>
        </w:rPr>
        <w:t>d</w:t>
      </w:r>
      <w:r w:rsidRPr="008C0B5B">
        <w:rPr>
          <w:rFonts w:cs="Arial"/>
          <w:spacing w:val="-2"/>
          <w:sz w:val="21"/>
          <w:szCs w:val="21"/>
        </w:rPr>
        <w:t>i</w:t>
      </w:r>
      <w:r w:rsidRPr="008C0B5B">
        <w:rPr>
          <w:rFonts w:cs="Arial"/>
          <w:spacing w:val="-1"/>
          <w:sz w:val="21"/>
          <w:szCs w:val="21"/>
        </w:rPr>
        <w:t>v</w:t>
      </w:r>
      <w:r w:rsidRPr="008C0B5B">
        <w:rPr>
          <w:rFonts w:cs="Arial"/>
          <w:sz w:val="21"/>
          <w:szCs w:val="21"/>
        </w:rPr>
        <w:t>ers</w:t>
      </w:r>
      <w:r w:rsidRPr="008C0B5B">
        <w:rPr>
          <w:rFonts w:cs="Arial"/>
          <w:spacing w:val="1"/>
          <w:sz w:val="21"/>
          <w:szCs w:val="21"/>
        </w:rPr>
        <w:t>i</w:t>
      </w:r>
      <w:r w:rsidRPr="008C0B5B">
        <w:rPr>
          <w:rFonts w:cs="Arial"/>
          <w:spacing w:val="2"/>
          <w:sz w:val="21"/>
          <w:szCs w:val="21"/>
        </w:rPr>
        <w:t>t</w:t>
      </w:r>
      <w:r w:rsidRPr="008C0B5B">
        <w:rPr>
          <w:rFonts w:cs="Arial"/>
          <w:sz w:val="21"/>
          <w:szCs w:val="21"/>
        </w:rPr>
        <w:t xml:space="preserve">y.  However, overall, TTR’s benthic advisor concluded that the inner and mid-shelf zones in the extraction area, supported low abundance and diversity of </w:t>
      </w:r>
      <w:proofErr w:type="spellStart"/>
      <w:r w:rsidRPr="008C0B5B">
        <w:rPr>
          <w:rFonts w:cs="Arial"/>
          <w:sz w:val="21"/>
          <w:szCs w:val="21"/>
        </w:rPr>
        <w:t>macrofauna</w:t>
      </w:r>
      <w:proofErr w:type="spellEnd"/>
      <w:r w:rsidRPr="008C0B5B">
        <w:rPr>
          <w:rFonts w:cs="Arial"/>
          <w:sz w:val="21"/>
          <w:szCs w:val="21"/>
        </w:rPr>
        <w:t xml:space="preserve">, </w:t>
      </w:r>
      <w:proofErr w:type="spellStart"/>
      <w:r w:rsidRPr="008C0B5B">
        <w:rPr>
          <w:rFonts w:cs="Arial"/>
          <w:sz w:val="21"/>
          <w:szCs w:val="21"/>
        </w:rPr>
        <w:t>meiofauna</w:t>
      </w:r>
      <w:proofErr w:type="spellEnd"/>
      <w:r w:rsidRPr="008C0B5B">
        <w:rPr>
          <w:rFonts w:cs="Arial"/>
          <w:sz w:val="21"/>
          <w:szCs w:val="21"/>
        </w:rPr>
        <w:t xml:space="preserve"> and marine algae, characteristic of highly disturbed shelf environments. </w:t>
      </w:r>
    </w:p>
    <w:p w:rsidR="00BD0856" w:rsidRPr="00BD0856" w:rsidRDefault="00EB625D" w:rsidP="00BD0856">
      <w:pPr>
        <w:pStyle w:val="ListParagraph"/>
        <w:numPr>
          <w:ilvl w:val="0"/>
          <w:numId w:val="14"/>
        </w:numPr>
        <w:spacing w:after="240" w:line="240" w:lineRule="auto"/>
        <w:contextualSpacing w:val="0"/>
        <w:rPr>
          <w:rFonts w:cs="Arial"/>
          <w:sz w:val="21"/>
          <w:szCs w:val="21"/>
        </w:rPr>
      </w:pPr>
      <w:r w:rsidRPr="008C0B5B">
        <w:rPr>
          <w:rFonts w:cs="Arial"/>
          <w:sz w:val="21"/>
          <w:szCs w:val="21"/>
        </w:rPr>
        <w:t>The benthic ecology experts in the Hearing agreed that the recovery of benthic ecosystems within the directly impacted mining area is in the order of a decade where mining has moved on from an area; and in the absence of further anthropogenic -related disturbance (paragraph 39, Joint Statement Of Experts in the Field of Effects on Benthic Ec</w:t>
      </w:r>
      <w:r w:rsidR="00BD0856">
        <w:rPr>
          <w:rFonts w:cs="Arial"/>
          <w:sz w:val="21"/>
          <w:szCs w:val="21"/>
        </w:rPr>
        <w:t xml:space="preserve">ology – Part 2, 26 March 2014) </w:t>
      </w:r>
    </w:p>
    <w:p w:rsidR="00EB625D" w:rsidRPr="00866679" w:rsidRDefault="00EB625D" w:rsidP="00EB625D">
      <w:pPr>
        <w:spacing w:after="240"/>
        <w:rPr>
          <w:rFonts w:cs="Arial"/>
          <w:b/>
          <w:i/>
          <w:sz w:val="21"/>
          <w:szCs w:val="21"/>
        </w:rPr>
      </w:pPr>
      <w:r w:rsidRPr="00866679">
        <w:rPr>
          <w:rFonts w:cs="Arial"/>
          <w:b/>
          <w:i/>
          <w:sz w:val="21"/>
          <w:szCs w:val="21"/>
        </w:rPr>
        <w:t xml:space="preserve">What impact will the project have on recreational fishing and diving in the South </w:t>
      </w:r>
      <w:proofErr w:type="spellStart"/>
      <w:r w:rsidRPr="00866679">
        <w:rPr>
          <w:rFonts w:cs="Arial"/>
          <w:b/>
          <w:i/>
          <w:sz w:val="21"/>
          <w:szCs w:val="21"/>
        </w:rPr>
        <w:t>Taranaki</w:t>
      </w:r>
      <w:proofErr w:type="spellEnd"/>
      <w:r w:rsidRPr="00866679">
        <w:rPr>
          <w:rFonts w:cs="Arial"/>
          <w:b/>
          <w:i/>
          <w:sz w:val="21"/>
          <w:szCs w:val="21"/>
        </w:rPr>
        <w:t xml:space="preserve"> Bight?</w:t>
      </w:r>
    </w:p>
    <w:p w:rsidR="00EB625D" w:rsidRPr="006C11C4" w:rsidRDefault="00EB625D" w:rsidP="00EB625D">
      <w:pPr>
        <w:pStyle w:val="ListParagraph"/>
        <w:numPr>
          <w:ilvl w:val="0"/>
          <w:numId w:val="15"/>
        </w:numPr>
        <w:spacing w:after="240" w:line="240" w:lineRule="auto"/>
        <w:contextualSpacing w:val="0"/>
        <w:rPr>
          <w:rFonts w:cs="Arial"/>
          <w:spacing w:val="-1"/>
          <w:sz w:val="21"/>
          <w:szCs w:val="21"/>
        </w:rPr>
      </w:pPr>
      <w:r w:rsidRPr="006C11C4">
        <w:rPr>
          <w:rFonts w:cs="Arial"/>
          <w:spacing w:val="-1"/>
          <w:sz w:val="21"/>
          <w:szCs w:val="21"/>
        </w:rPr>
        <w:t xml:space="preserve">Inshore recreational settings are unlikely to be affected due to their distance from the mining site and naturally high background sediment levels. The main recreational effect is on diving at the North and South Traps, although adverse turbidity events will be limited to the periods when mining occurs in the eastern part of the mining area (so is not a persistent effect) and may influence recreation satisfaction when water clarity would be extreme and when diving is marginal for </w:t>
      </w:r>
      <w:proofErr w:type="spellStart"/>
      <w:r w:rsidRPr="006C11C4">
        <w:rPr>
          <w:rFonts w:cs="Arial"/>
          <w:spacing w:val="-1"/>
          <w:sz w:val="21"/>
          <w:szCs w:val="21"/>
        </w:rPr>
        <w:t>crayfishing</w:t>
      </w:r>
      <w:proofErr w:type="spellEnd"/>
      <w:r w:rsidRPr="006C11C4">
        <w:rPr>
          <w:rFonts w:cs="Arial"/>
          <w:spacing w:val="-1"/>
          <w:sz w:val="21"/>
          <w:szCs w:val="21"/>
        </w:rPr>
        <w:t xml:space="preserve">. TTR expects there will be a no more than moderate and temporary adverse effect on recreational diving in the South </w:t>
      </w:r>
      <w:proofErr w:type="spellStart"/>
      <w:r w:rsidRPr="006C11C4">
        <w:rPr>
          <w:rFonts w:cs="Arial"/>
          <w:spacing w:val="-1"/>
          <w:sz w:val="21"/>
          <w:szCs w:val="21"/>
        </w:rPr>
        <w:t>Taranaki</w:t>
      </w:r>
      <w:proofErr w:type="spellEnd"/>
      <w:r w:rsidRPr="006C11C4">
        <w:rPr>
          <w:rFonts w:cs="Arial"/>
          <w:spacing w:val="-1"/>
          <w:sz w:val="21"/>
          <w:szCs w:val="21"/>
        </w:rPr>
        <w:t xml:space="preserve"> Bight outside the 10 km radius from TTR’s operational area. There will be a no more than minor and temporary adverse effect on non-commercial fishing in the South </w:t>
      </w:r>
      <w:proofErr w:type="spellStart"/>
      <w:r w:rsidRPr="006C11C4">
        <w:rPr>
          <w:rFonts w:cs="Arial"/>
          <w:spacing w:val="-1"/>
          <w:sz w:val="21"/>
          <w:szCs w:val="21"/>
        </w:rPr>
        <w:t>Taranaki</w:t>
      </w:r>
      <w:proofErr w:type="spellEnd"/>
      <w:r w:rsidRPr="006C11C4">
        <w:rPr>
          <w:rFonts w:cs="Arial"/>
          <w:spacing w:val="-1"/>
          <w:sz w:val="21"/>
          <w:szCs w:val="21"/>
        </w:rPr>
        <w:t xml:space="preserve"> Bight. </w:t>
      </w:r>
    </w:p>
    <w:p w:rsidR="00EB625D" w:rsidRPr="00866679" w:rsidRDefault="00EB625D" w:rsidP="00EB625D">
      <w:pPr>
        <w:spacing w:after="240"/>
        <w:rPr>
          <w:rFonts w:cs="Arial"/>
          <w:b/>
          <w:i/>
          <w:sz w:val="21"/>
          <w:szCs w:val="21"/>
        </w:rPr>
      </w:pPr>
      <w:r w:rsidRPr="00866679">
        <w:rPr>
          <w:rFonts w:cs="Arial"/>
          <w:b/>
          <w:i/>
          <w:sz w:val="21"/>
          <w:szCs w:val="21"/>
        </w:rPr>
        <w:t>What impact is the project expected to have on commercial fishing?</w:t>
      </w:r>
    </w:p>
    <w:p w:rsidR="00EB625D" w:rsidRPr="00CC7FEB" w:rsidRDefault="00EB625D" w:rsidP="00EB625D">
      <w:pPr>
        <w:pStyle w:val="ListParagraph"/>
        <w:numPr>
          <w:ilvl w:val="0"/>
          <w:numId w:val="15"/>
        </w:numPr>
        <w:spacing w:after="240" w:line="240" w:lineRule="auto"/>
        <w:contextualSpacing w:val="0"/>
        <w:rPr>
          <w:rFonts w:cs="Arial"/>
          <w:b/>
          <w:i/>
          <w:sz w:val="21"/>
          <w:szCs w:val="21"/>
          <w:lang w:eastAsia="en-GB"/>
        </w:rPr>
      </w:pPr>
      <w:r w:rsidRPr="00090618">
        <w:rPr>
          <w:rFonts w:cs="Arial"/>
          <w:sz w:val="21"/>
          <w:szCs w:val="21"/>
        </w:rPr>
        <w:t>It is expected that there will be minimal or no negative</w:t>
      </w:r>
      <w:r w:rsidRPr="00090618">
        <w:rPr>
          <w:rFonts w:cs="Arial"/>
          <w:sz w:val="21"/>
          <w:szCs w:val="21"/>
          <w:lang w:eastAsia="en-GB"/>
        </w:rPr>
        <w:t xml:space="preserve"> impacts from TTR’s operations on existing commercial fishing rights </w:t>
      </w:r>
      <w:r w:rsidRPr="00090618">
        <w:rPr>
          <w:rFonts w:cs="Arial"/>
          <w:sz w:val="21"/>
          <w:szCs w:val="21"/>
        </w:rPr>
        <w:t xml:space="preserve">with regard to </w:t>
      </w:r>
      <w:r w:rsidRPr="00090618">
        <w:rPr>
          <w:rFonts w:cs="Arial"/>
          <w:sz w:val="21"/>
          <w:szCs w:val="21"/>
          <w:lang w:eastAsia="en-GB"/>
        </w:rPr>
        <w:t>quota value, downstream businesses, or fish stoc</w:t>
      </w:r>
      <w:r w:rsidRPr="00090618">
        <w:rPr>
          <w:rFonts w:cs="Arial"/>
          <w:sz w:val="21"/>
          <w:szCs w:val="21"/>
        </w:rPr>
        <w:t>k sustainability</w:t>
      </w:r>
      <w:r w:rsidRPr="00090618">
        <w:rPr>
          <w:rFonts w:cs="Arial"/>
          <w:sz w:val="21"/>
          <w:szCs w:val="21"/>
          <w:lang w:eastAsia="en-GB"/>
        </w:rPr>
        <w:t xml:space="preserve"> as a consequence o</w:t>
      </w:r>
      <w:r w:rsidRPr="00090618">
        <w:rPr>
          <w:rFonts w:cs="Arial"/>
          <w:sz w:val="21"/>
          <w:szCs w:val="21"/>
        </w:rPr>
        <w:t>f TTR’s operations, in particular in respect of spatial displacement.  TTR plans to work with commercial fishers in the region to develop conditions of consent to ensure TTR’s proposed operations do not adversely impact on existing commercial fishing rights.</w:t>
      </w:r>
    </w:p>
    <w:p w:rsidR="00EB625D" w:rsidRPr="00CC7FEB" w:rsidRDefault="00EB625D" w:rsidP="00EB625D">
      <w:pPr>
        <w:spacing w:after="240"/>
        <w:rPr>
          <w:rFonts w:cs="Arial"/>
          <w:b/>
          <w:i/>
          <w:sz w:val="21"/>
          <w:szCs w:val="21"/>
          <w:lang w:eastAsia="en-GB"/>
        </w:rPr>
      </w:pPr>
      <w:r>
        <w:rPr>
          <w:rFonts w:cs="Arial"/>
          <w:b/>
          <w:i/>
          <w:sz w:val="21"/>
          <w:szCs w:val="21"/>
        </w:rPr>
        <w:t>W</w:t>
      </w:r>
      <w:r w:rsidRPr="00CC7FEB">
        <w:rPr>
          <w:rFonts w:cs="Arial"/>
          <w:b/>
          <w:i/>
          <w:sz w:val="21"/>
          <w:szCs w:val="21"/>
        </w:rPr>
        <w:t>hat is the likely effect on marine mammals in the are</w:t>
      </w:r>
      <w:r w:rsidRPr="00CC7FEB">
        <w:rPr>
          <w:rFonts w:cs="Arial"/>
          <w:b/>
          <w:i/>
          <w:sz w:val="21"/>
          <w:szCs w:val="21"/>
          <w:lang w:eastAsia="en-GB"/>
        </w:rPr>
        <w:t>a, including Maui’s dolphin and blue whales?</w:t>
      </w:r>
    </w:p>
    <w:p w:rsidR="00EB625D" w:rsidRPr="006C11C4" w:rsidRDefault="00EB625D" w:rsidP="00EB625D">
      <w:pPr>
        <w:pStyle w:val="ListParagraph"/>
        <w:numPr>
          <w:ilvl w:val="0"/>
          <w:numId w:val="15"/>
        </w:numPr>
        <w:spacing w:after="240" w:line="240" w:lineRule="auto"/>
        <w:contextualSpacing w:val="0"/>
        <w:rPr>
          <w:rFonts w:cs="Arial"/>
          <w:sz w:val="21"/>
          <w:szCs w:val="21"/>
        </w:rPr>
      </w:pPr>
      <w:r w:rsidRPr="00402B7F">
        <w:rPr>
          <w:rFonts w:cs="Arial"/>
          <w:sz w:val="21"/>
          <w:szCs w:val="21"/>
        </w:rPr>
        <w:t>The project area is not a recognised habitat for marine mammals.  Based on sightings and habitat modelling, Maui’s dolphins and blue whale are not found in the vicinity of the project area. Regardless, should Blue whales and or Maui’s dolphins swim into the project area TTR’s activities are</w:t>
      </w:r>
      <w:r w:rsidRPr="006C11C4">
        <w:rPr>
          <w:rFonts w:cs="Arial"/>
          <w:sz w:val="21"/>
          <w:szCs w:val="21"/>
        </w:rPr>
        <w:t xml:space="preserve"> such that they are not expected to adversely affect either sp</w:t>
      </w:r>
      <w:r w:rsidR="00EB0BA3" w:rsidRPr="006C11C4">
        <w:rPr>
          <w:rFonts w:cs="Arial"/>
          <w:sz w:val="21"/>
          <w:szCs w:val="21"/>
        </w:rPr>
        <w:t>ecies.</w:t>
      </w:r>
      <w:r w:rsidRPr="006C11C4">
        <w:rPr>
          <w:rFonts w:cs="Arial"/>
          <w:sz w:val="21"/>
          <w:szCs w:val="21"/>
        </w:rPr>
        <w:t xml:space="preserve"> TTR will also establish protocols for encounters with marine mammals to ensure adverse effects do not arise.</w:t>
      </w:r>
    </w:p>
    <w:p w:rsidR="00EB625D" w:rsidRPr="00402B7F" w:rsidRDefault="00EB625D" w:rsidP="00402B7F">
      <w:pPr>
        <w:rPr>
          <w:rFonts w:cs="Arial"/>
          <w:b/>
          <w:i/>
          <w:sz w:val="21"/>
          <w:szCs w:val="21"/>
        </w:rPr>
      </w:pPr>
      <w:r w:rsidRPr="00CC7FEB">
        <w:rPr>
          <w:rFonts w:cs="Arial"/>
          <w:b/>
          <w:i/>
          <w:sz w:val="21"/>
          <w:szCs w:val="21"/>
        </w:rPr>
        <w:t>What will the sediment plume look like?</w:t>
      </w:r>
    </w:p>
    <w:p w:rsidR="00EB625D" w:rsidRPr="00CC7FEB" w:rsidRDefault="00EB625D" w:rsidP="00EB625D">
      <w:pPr>
        <w:pStyle w:val="ListParagraph"/>
        <w:numPr>
          <w:ilvl w:val="0"/>
          <w:numId w:val="15"/>
        </w:numPr>
        <w:spacing w:after="240" w:line="240" w:lineRule="auto"/>
        <w:contextualSpacing w:val="0"/>
        <w:rPr>
          <w:rFonts w:cs="Arial"/>
          <w:sz w:val="21"/>
          <w:szCs w:val="21"/>
        </w:rPr>
      </w:pPr>
      <w:r w:rsidRPr="00CC7FEB">
        <w:rPr>
          <w:rFonts w:cs="Arial"/>
          <w:sz w:val="21"/>
          <w:szCs w:val="21"/>
        </w:rPr>
        <w:lastRenderedPageBreak/>
        <w:t xml:space="preserve">A sediment plume derived from mining will contribute to the total suspended sediment concentrations within a few kilometres of the project area, but the sediment plume decreases with distance from the project area, and will be insignificant relative to the natural suspended sediment concentrations near the coast. The impact the sediment plume may have on the coastal and </w:t>
      </w:r>
      <w:proofErr w:type="spellStart"/>
      <w:r w:rsidRPr="00CC7FEB">
        <w:rPr>
          <w:rFonts w:cs="Arial"/>
          <w:sz w:val="21"/>
          <w:szCs w:val="21"/>
        </w:rPr>
        <w:t>nearshore</w:t>
      </w:r>
      <w:proofErr w:type="spellEnd"/>
      <w:r w:rsidRPr="00CC7FEB">
        <w:rPr>
          <w:rFonts w:cs="Arial"/>
          <w:sz w:val="21"/>
          <w:szCs w:val="21"/>
        </w:rPr>
        <w:t xml:space="preserve"> South </w:t>
      </w:r>
      <w:proofErr w:type="spellStart"/>
      <w:r w:rsidRPr="00CC7FEB">
        <w:rPr>
          <w:rFonts w:cs="Arial"/>
          <w:sz w:val="21"/>
          <w:szCs w:val="21"/>
        </w:rPr>
        <w:t>Taranaki</w:t>
      </w:r>
      <w:proofErr w:type="spellEnd"/>
      <w:r w:rsidRPr="00CC7FEB">
        <w:rPr>
          <w:rFonts w:cs="Arial"/>
          <w:sz w:val="21"/>
          <w:szCs w:val="21"/>
        </w:rPr>
        <w:t xml:space="preserve"> Bight waters including aquatic ecosystems, human observers, fishing and diving is therefore expected to be low. </w:t>
      </w:r>
    </w:p>
    <w:p w:rsidR="00EB625D" w:rsidRPr="00CC7FEB" w:rsidRDefault="00EB625D" w:rsidP="00EB625D">
      <w:pPr>
        <w:spacing w:after="240"/>
        <w:rPr>
          <w:rFonts w:cs="Arial"/>
          <w:b/>
          <w:i/>
          <w:sz w:val="21"/>
          <w:szCs w:val="21"/>
        </w:rPr>
      </w:pPr>
      <w:r w:rsidRPr="00CC7FEB">
        <w:rPr>
          <w:rFonts w:cs="Arial"/>
          <w:b/>
          <w:i/>
          <w:sz w:val="21"/>
          <w:szCs w:val="21"/>
        </w:rPr>
        <w:t xml:space="preserve">What impact will the project have on the South </w:t>
      </w:r>
      <w:proofErr w:type="spellStart"/>
      <w:r w:rsidRPr="00CC7FEB">
        <w:rPr>
          <w:rFonts w:cs="Arial"/>
          <w:b/>
          <w:i/>
          <w:sz w:val="21"/>
          <w:szCs w:val="21"/>
        </w:rPr>
        <w:t>Taranaki</w:t>
      </w:r>
      <w:proofErr w:type="spellEnd"/>
      <w:r w:rsidRPr="00CC7FEB">
        <w:rPr>
          <w:rFonts w:cs="Arial"/>
          <w:b/>
          <w:i/>
          <w:sz w:val="21"/>
          <w:szCs w:val="21"/>
        </w:rPr>
        <w:t xml:space="preserve"> coastline?</w:t>
      </w:r>
    </w:p>
    <w:p w:rsidR="00EB625D" w:rsidRPr="00FB45E4" w:rsidRDefault="00EB625D" w:rsidP="00EB625D">
      <w:pPr>
        <w:pStyle w:val="Default"/>
        <w:numPr>
          <w:ilvl w:val="0"/>
          <w:numId w:val="15"/>
        </w:numPr>
        <w:spacing w:after="240"/>
        <w:rPr>
          <w:rFonts w:asciiTheme="minorHAnsi" w:hAnsiTheme="minorHAnsi"/>
          <w:sz w:val="21"/>
          <w:szCs w:val="21"/>
        </w:rPr>
      </w:pPr>
      <w:r w:rsidRPr="00C03D91">
        <w:rPr>
          <w:rFonts w:asciiTheme="minorHAnsi" w:hAnsiTheme="minorHAnsi"/>
          <w:sz w:val="21"/>
          <w:szCs w:val="21"/>
        </w:rPr>
        <w:t xml:space="preserve">NIWA’s investigations and modelling have demonstrated that there will be no change to wave climate. Consequently no change to the topography of the coastline or its erosion characteristics is anticipated. </w:t>
      </w:r>
    </w:p>
    <w:p w:rsidR="00EB625D" w:rsidRPr="00CC7FEB" w:rsidRDefault="00EB625D" w:rsidP="00EB625D">
      <w:pPr>
        <w:spacing w:after="240"/>
        <w:rPr>
          <w:rFonts w:cs="Arial"/>
          <w:b/>
          <w:i/>
          <w:sz w:val="21"/>
          <w:szCs w:val="21"/>
        </w:rPr>
      </w:pPr>
      <w:r w:rsidRPr="00CC7FEB">
        <w:rPr>
          <w:rFonts w:cs="Arial"/>
          <w:b/>
          <w:i/>
          <w:sz w:val="21"/>
          <w:szCs w:val="21"/>
        </w:rPr>
        <w:t xml:space="preserve">Where else has similar seabed mining been undertaken? </w:t>
      </w:r>
    </w:p>
    <w:p w:rsidR="00EB625D" w:rsidRPr="00C03D91" w:rsidRDefault="00EB625D" w:rsidP="00EB625D">
      <w:pPr>
        <w:pStyle w:val="Default"/>
        <w:numPr>
          <w:ilvl w:val="0"/>
          <w:numId w:val="15"/>
        </w:numPr>
        <w:spacing w:after="240"/>
        <w:rPr>
          <w:rFonts w:asciiTheme="minorHAnsi" w:hAnsiTheme="minorHAnsi"/>
          <w:sz w:val="21"/>
          <w:szCs w:val="21"/>
        </w:rPr>
      </w:pPr>
      <w:r>
        <w:rPr>
          <w:rFonts w:asciiTheme="minorHAnsi" w:hAnsiTheme="minorHAnsi"/>
          <w:sz w:val="21"/>
          <w:szCs w:val="21"/>
        </w:rPr>
        <w:t xml:space="preserve">Since 1991 </w:t>
      </w:r>
      <w:r w:rsidRPr="00C03D91">
        <w:rPr>
          <w:rFonts w:asciiTheme="minorHAnsi" w:hAnsiTheme="minorHAnsi"/>
          <w:sz w:val="21"/>
          <w:szCs w:val="21"/>
        </w:rPr>
        <w:t xml:space="preserve">De Beers </w:t>
      </w:r>
      <w:r>
        <w:rPr>
          <w:rFonts w:asciiTheme="minorHAnsi" w:hAnsiTheme="minorHAnsi"/>
          <w:sz w:val="21"/>
          <w:szCs w:val="21"/>
        </w:rPr>
        <w:t>Marine has been using a</w:t>
      </w:r>
      <w:r w:rsidRPr="00C03D91">
        <w:rPr>
          <w:rFonts w:asciiTheme="minorHAnsi" w:hAnsiTheme="minorHAnsi"/>
          <w:sz w:val="21"/>
          <w:szCs w:val="21"/>
        </w:rPr>
        <w:t xml:space="preserve"> simil</w:t>
      </w:r>
      <w:r>
        <w:rPr>
          <w:rFonts w:asciiTheme="minorHAnsi" w:hAnsiTheme="minorHAnsi"/>
          <w:sz w:val="21"/>
          <w:szCs w:val="21"/>
        </w:rPr>
        <w:t>ar crawler technology to mine</w:t>
      </w:r>
      <w:r w:rsidRPr="00C03D91">
        <w:rPr>
          <w:rFonts w:asciiTheme="minorHAnsi" w:hAnsiTheme="minorHAnsi"/>
          <w:sz w:val="21"/>
          <w:szCs w:val="21"/>
        </w:rPr>
        <w:t xml:space="preserve"> diamond</w:t>
      </w:r>
      <w:r>
        <w:rPr>
          <w:rFonts w:asciiTheme="minorHAnsi" w:hAnsiTheme="minorHAnsi"/>
          <w:sz w:val="21"/>
          <w:szCs w:val="21"/>
        </w:rPr>
        <w:t xml:space="preserve">s off the Namibian coast in water depths of 100-150 m. </w:t>
      </w:r>
      <w:r w:rsidRPr="00C03D91">
        <w:rPr>
          <w:rFonts w:asciiTheme="minorHAnsi" w:hAnsiTheme="minorHAnsi"/>
          <w:sz w:val="21"/>
          <w:szCs w:val="21"/>
        </w:rPr>
        <w:t xml:space="preserve">IHC </w:t>
      </w:r>
      <w:proofErr w:type="spellStart"/>
      <w:r w:rsidRPr="00C03D91">
        <w:rPr>
          <w:rFonts w:asciiTheme="minorHAnsi" w:hAnsiTheme="minorHAnsi"/>
          <w:sz w:val="21"/>
          <w:szCs w:val="21"/>
        </w:rPr>
        <w:t>Merwede</w:t>
      </w:r>
      <w:proofErr w:type="spellEnd"/>
      <w:r w:rsidRPr="00C03D91">
        <w:rPr>
          <w:rFonts w:asciiTheme="minorHAnsi" w:hAnsiTheme="minorHAnsi"/>
          <w:sz w:val="21"/>
          <w:szCs w:val="21"/>
        </w:rPr>
        <w:t>, TTR’s technology partner</w:t>
      </w:r>
      <w:r>
        <w:rPr>
          <w:rFonts w:asciiTheme="minorHAnsi" w:hAnsiTheme="minorHAnsi"/>
          <w:sz w:val="21"/>
          <w:szCs w:val="21"/>
        </w:rPr>
        <w:t>, also</w:t>
      </w:r>
      <w:r w:rsidRPr="00C03D91">
        <w:rPr>
          <w:rFonts w:asciiTheme="minorHAnsi" w:hAnsiTheme="minorHAnsi"/>
          <w:sz w:val="21"/>
          <w:szCs w:val="21"/>
        </w:rPr>
        <w:t xml:space="preserve"> has decades of experience in</w:t>
      </w:r>
      <w:r>
        <w:rPr>
          <w:rFonts w:asciiTheme="minorHAnsi" w:hAnsiTheme="minorHAnsi"/>
          <w:sz w:val="21"/>
          <w:szCs w:val="21"/>
        </w:rPr>
        <w:t xml:space="preserve"> dredging</w:t>
      </w:r>
      <w:r w:rsidRPr="00C03D91">
        <w:rPr>
          <w:rFonts w:asciiTheme="minorHAnsi" w:hAnsiTheme="minorHAnsi"/>
          <w:sz w:val="21"/>
          <w:szCs w:val="21"/>
        </w:rPr>
        <w:t xml:space="preserve"> projects of a similar scale to TTR’s operation.  </w:t>
      </w:r>
    </w:p>
    <w:p w:rsidR="00EB625D" w:rsidRPr="00CC7FEB" w:rsidRDefault="00EB625D" w:rsidP="00EB625D">
      <w:pPr>
        <w:spacing w:after="240"/>
        <w:rPr>
          <w:rFonts w:cs="Arial"/>
          <w:b/>
          <w:i/>
          <w:sz w:val="21"/>
          <w:szCs w:val="21"/>
        </w:rPr>
      </w:pPr>
      <w:r w:rsidRPr="00CC7FEB">
        <w:rPr>
          <w:rFonts w:cs="Arial"/>
          <w:b/>
          <w:bCs/>
          <w:i/>
          <w:sz w:val="21"/>
          <w:szCs w:val="21"/>
        </w:rPr>
        <w:t>Is iron sand mining new in New Zealand?</w:t>
      </w:r>
    </w:p>
    <w:p w:rsidR="00EB625D" w:rsidRPr="00CC7FEB" w:rsidRDefault="00EB625D" w:rsidP="00EB625D">
      <w:pPr>
        <w:pStyle w:val="ListParagraph"/>
        <w:numPr>
          <w:ilvl w:val="0"/>
          <w:numId w:val="15"/>
        </w:numPr>
        <w:spacing w:after="240" w:line="240" w:lineRule="auto"/>
        <w:contextualSpacing w:val="0"/>
        <w:rPr>
          <w:rFonts w:cs="Arial"/>
          <w:sz w:val="21"/>
          <w:szCs w:val="21"/>
        </w:rPr>
      </w:pPr>
      <w:r w:rsidRPr="00CC7FEB">
        <w:rPr>
          <w:rFonts w:cs="Arial"/>
          <w:sz w:val="21"/>
          <w:szCs w:val="21"/>
        </w:rPr>
        <w:t xml:space="preserve">Iron sand mining is well established in New Zealand. New Zealand Steel produces about two million tonnes of iron sand per year, operating onshore iron sand mines at North Waikato Head and </w:t>
      </w:r>
      <w:proofErr w:type="spellStart"/>
      <w:r w:rsidRPr="00CC7FEB">
        <w:rPr>
          <w:rFonts w:cs="Arial"/>
          <w:sz w:val="21"/>
          <w:szCs w:val="21"/>
        </w:rPr>
        <w:t>Taharoa</w:t>
      </w:r>
      <w:proofErr w:type="spellEnd"/>
      <w:r w:rsidRPr="00CC7FEB">
        <w:rPr>
          <w:rFonts w:cs="Arial"/>
          <w:sz w:val="21"/>
          <w:szCs w:val="21"/>
        </w:rPr>
        <w:t xml:space="preserve">. </w:t>
      </w:r>
    </w:p>
    <w:p w:rsidR="00EB625D" w:rsidRPr="00CC7FEB" w:rsidRDefault="00EB625D" w:rsidP="00EB625D">
      <w:pPr>
        <w:spacing w:after="240"/>
        <w:rPr>
          <w:rFonts w:cs="Arial"/>
          <w:b/>
          <w:i/>
          <w:sz w:val="21"/>
          <w:szCs w:val="21"/>
        </w:rPr>
      </w:pPr>
      <w:r w:rsidRPr="00CC7FEB">
        <w:rPr>
          <w:rFonts w:cs="Arial"/>
          <w:b/>
          <w:i/>
          <w:sz w:val="21"/>
          <w:szCs w:val="21"/>
        </w:rPr>
        <w:t xml:space="preserve">Is this deep sea mining? </w:t>
      </w:r>
    </w:p>
    <w:p w:rsidR="00EB625D" w:rsidRDefault="00EB625D" w:rsidP="00EB625D">
      <w:pPr>
        <w:pStyle w:val="Default"/>
        <w:numPr>
          <w:ilvl w:val="0"/>
          <w:numId w:val="15"/>
        </w:numPr>
        <w:spacing w:after="240"/>
        <w:rPr>
          <w:rFonts w:asciiTheme="minorHAnsi" w:hAnsiTheme="minorHAnsi"/>
          <w:color w:val="auto"/>
          <w:sz w:val="21"/>
          <w:szCs w:val="21"/>
        </w:rPr>
      </w:pPr>
      <w:r w:rsidRPr="00C03D91">
        <w:rPr>
          <w:rFonts w:asciiTheme="minorHAnsi" w:hAnsiTheme="minorHAnsi"/>
          <w:sz w:val="21"/>
          <w:szCs w:val="21"/>
        </w:rPr>
        <w:t xml:space="preserve">No, the TTR project is located in relatively shallow water (between 20 and 45 m deep). Environmental information gathering and monitoring in the shallower waters is </w:t>
      </w:r>
      <w:r w:rsidR="003321AA">
        <w:rPr>
          <w:rFonts w:asciiTheme="minorHAnsi" w:hAnsiTheme="minorHAnsi"/>
          <w:sz w:val="21"/>
          <w:szCs w:val="21"/>
        </w:rPr>
        <w:t>relatively straightforward</w:t>
      </w:r>
      <w:r w:rsidRPr="00C03D91">
        <w:rPr>
          <w:rFonts w:asciiTheme="minorHAnsi" w:hAnsiTheme="minorHAnsi"/>
          <w:sz w:val="21"/>
          <w:szCs w:val="21"/>
        </w:rPr>
        <w:t xml:space="preserve">. </w:t>
      </w:r>
      <w:r w:rsidRPr="00C03D91">
        <w:rPr>
          <w:rFonts w:asciiTheme="minorHAnsi" w:hAnsiTheme="minorHAnsi"/>
          <w:color w:val="auto"/>
          <w:sz w:val="21"/>
          <w:szCs w:val="21"/>
        </w:rPr>
        <w:t xml:space="preserve"> </w:t>
      </w:r>
    </w:p>
    <w:p w:rsidR="00EB625D" w:rsidRDefault="00EB625D" w:rsidP="00EB625D">
      <w:pPr>
        <w:pStyle w:val="ListParagraph"/>
        <w:numPr>
          <w:ilvl w:val="0"/>
          <w:numId w:val="15"/>
        </w:numPr>
        <w:spacing w:after="0" w:line="240" w:lineRule="auto"/>
        <w:contextualSpacing w:val="0"/>
        <w:rPr>
          <w:rFonts w:cs="Arial"/>
          <w:sz w:val="21"/>
          <w:szCs w:val="21"/>
        </w:rPr>
      </w:pPr>
      <w:r w:rsidRPr="00CC7FEB">
        <w:rPr>
          <w:rFonts w:cs="Arial"/>
          <w:sz w:val="21"/>
          <w:szCs w:val="21"/>
        </w:rPr>
        <w:t xml:space="preserve">Another key difference is in </w:t>
      </w:r>
      <w:proofErr w:type="spellStart"/>
      <w:r w:rsidRPr="00CC7FEB">
        <w:rPr>
          <w:rFonts w:cs="Arial"/>
          <w:sz w:val="21"/>
          <w:szCs w:val="21"/>
        </w:rPr>
        <w:t>recolonisation</w:t>
      </w:r>
      <w:proofErr w:type="spellEnd"/>
      <w:r w:rsidRPr="00CC7FEB">
        <w:rPr>
          <w:rFonts w:cs="Arial"/>
          <w:sz w:val="21"/>
          <w:szCs w:val="21"/>
        </w:rPr>
        <w:t xml:space="preserve"> rates. In TTR’s shallow water it is expected species will repopulate relatively quickly due to both the proximity to light (which provides energy for food sources), that the substrate won’t be appreciably altered by TTR’s mining and a consequence of the organisms being adapted to a “disrupted” environment with frequent storms. In deep water ecosystems, the environment is very stable and so the organisms do not have a biological need to repopulate quickly and due to low light levels growth rates are low hence </w:t>
      </w:r>
      <w:proofErr w:type="spellStart"/>
      <w:r w:rsidRPr="00CC7FEB">
        <w:rPr>
          <w:rFonts w:cs="Arial"/>
          <w:sz w:val="21"/>
          <w:szCs w:val="21"/>
        </w:rPr>
        <w:t>recolonisation</w:t>
      </w:r>
      <w:proofErr w:type="spellEnd"/>
      <w:r w:rsidRPr="00CC7FEB">
        <w:rPr>
          <w:rFonts w:cs="Arial"/>
          <w:sz w:val="21"/>
          <w:szCs w:val="21"/>
        </w:rPr>
        <w:t xml:space="preserve"> takes a longer time.  </w:t>
      </w:r>
    </w:p>
    <w:p w:rsidR="00765444" w:rsidRPr="00765444" w:rsidRDefault="00765444" w:rsidP="00765444">
      <w:pPr>
        <w:pStyle w:val="ListParagraph"/>
        <w:spacing w:after="0" w:line="240" w:lineRule="auto"/>
        <w:contextualSpacing w:val="0"/>
        <w:rPr>
          <w:rFonts w:cs="Arial"/>
          <w:sz w:val="21"/>
          <w:szCs w:val="21"/>
        </w:rPr>
      </w:pPr>
    </w:p>
    <w:p w:rsidR="00EB625D" w:rsidRPr="00765444" w:rsidRDefault="00EB625D" w:rsidP="00765444">
      <w:pPr>
        <w:rPr>
          <w:rFonts w:cs="Arial"/>
          <w:b/>
          <w:i/>
          <w:sz w:val="21"/>
          <w:szCs w:val="21"/>
        </w:rPr>
      </w:pPr>
      <w:r w:rsidRPr="00CC7FEB">
        <w:rPr>
          <w:rFonts w:cs="Arial"/>
          <w:b/>
          <w:i/>
          <w:sz w:val="21"/>
          <w:szCs w:val="21"/>
        </w:rPr>
        <w:t xml:space="preserve">What are the uncertainties associated with the project? </w:t>
      </w:r>
    </w:p>
    <w:p w:rsidR="00EB625D" w:rsidRDefault="00EB625D" w:rsidP="00EB625D">
      <w:pPr>
        <w:pStyle w:val="ListParagraph"/>
        <w:numPr>
          <w:ilvl w:val="0"/>
          <w:numId w:val="16"/>
        </w:numPr>
        <w:spacing w:after="0" w:line="240" w:lineRule="auto"/>
        <w:contextualSpacing w:val="0"/>
        <w:rPr>
          <w:rFonts w:cs="Arial"/>
          <w:sz w:val="21"/>
          <w:szCs w:val="21"/>
        </w:rPr>
      </w:pPr>
      <w:r w:rsidRPr="00CC7FEB">
        <w:rPr>
          <w:rFonts w:cs="Arial"/>
          <w:sz w:val="21"/>
          <w:szCs w:val="21"/>
        </w:rPr>
        <w:t>We live in a society that seeks certainty however it is not always possible for science to provide this. Science is rarely about absolute certaint</w:t>
      </w:r>
      <w:r w:rsidR="006C11C4">
        <w:rPr>
          <w:rFonts w:cs="Arial"/>
          <w:sz w:val="21"/>
          <w:szCs w:val="21"/>
        </w:rPr>
        <w:t>y</w:t>
      </w:r>
      <w:r>
        <w:rPr>
          <w:rFonts w:cs="Arial"/>
          <w:sz w:val="21"/>
          <w:szCs w:val="21"/>
        </w:rPr>
        <w:t xml:space="preserve">. The </w:t>
      </w:r>
      <w:r w:rsidRPr="00CC7FEB">
        <w:rPr>
          <w:rFonts w:cs="Arial"/>
          <w:sz w:val="21"/>
          <w:szCs w:val="21"/>
        </w:rPr>
        <w:t xml:space="preserve">EEZ Act recognises this and provides a process of assessing the evidence while considering the uncertainties </w:t>
      </w:r>
      <w:bookmarkStart w:id="0" w:name="_GoBack"/>
      <w:bookmarkEnd w:id="0"/>
      <w:r w:rsidRPr="00CC7FEB">
        <w:rPr>
          <w:rFonts w:cs="Arial"/>
          <w:sz w:val="21"/>
          <w:szCs w:val="21"/>
        </w:rPr>
        <w:t>and hence forming conclusions that have taken all matters presented into consideration.</w:t>
      </w:r>
    </w:p>
    <w:p w:rsidR="00586DB9" w:rsidRPr="00586DB9" w:rsidRDefault="00586DB9" w:rsidP="00586DB9">
      <w:pPr>
        <w:pStyle w:val="ListParagraph"/>
        <w:spacing w:after="0" w:line="240" w:lineRule="auto"/>
        <w:contextualSpacing w:val="0"/>
        <w:rPr>
          <w:rFonts w:cs="Arial"/>
          <w:sz w:val="21"/>
          <w:szCs w:val="21"/>
        </w:rPr>
      </w:pPr>
    </w:p>
    <w:p w:rsidR="00EB625D" w:rsidRPr="00CC7FEB" w:rsidRDefault="00EB625D" w:rsidP="00EB625D">
      <w:pPr>
        <w:pStyle w:val="ListParagraph"/>
        <w:numPr>
          <w:ilvl w:val="0"/>
          <w:numId w:val="16"/>
        </w:numPr>
        <w:spacing w:after="0" w:line="240" w:lineRule="auto"/>
        <w:contextualSpacing w:val="0"/>
        <w:rPr>
          <w:rFonts w:cs="Arial"/>
          <w:sz w:val="21"/>
          <w:szCs w:val="21"/>
        </w:rPr>
      </w:pPr>
      <w:r w:rsidRPr="00CC7FEB">
        <w:rPr>
          <w:rFonts w:cs="Arial"/>
          <w:sz w:val="21"/>
          <w:szCs w:val="21"/>
        </w:rPr>
        <w:t xml:space="preserve">The research completed has provided valuable steps towards greater certainty about the environment and the effects of the project. This information will be complemented by further baseline monitoring, which TTR will undertake before commencing mining. </w:t>
      </w:r>
    </w:p>
    <w:p w:rsidR="00EB625D" w:rsidRDefault="00EB625D" w:rsidP="00EB625D">
      <w:pPr>
        <w:rPr>
          <w:rFonts w:cs="Arial"/>
          <w:b/>
          <w:sz w:val="21"/>
          <w:szCs w:val="21"/>
        </w:rPr>
      </w:pPr>
      <w:r>
        <w:rPr>
          <w:rFonts w:cs="Arial"/>
          <w:b/>
          <w:sz w:val="21"/>
          <w:szCs w:val="21"/>
        </w:rPr>
        <w:br w:type="page"/>
      </w:r>
    </w:p>
    <w:p w:rsidR="00755721" w:rsidRPr="00755721" w:rsidRDefault="00EB625D" w:rsidP="00755721">
      <w:pPr>
        <w:spacing w:after="240"/>
        <w:rPr>
          <w:rFonts w:ascii="HelveticaNeue-Light" w:eastAsiaTheme="minorHAnsi" w:hAnsi="HelveticaNeue-Light" w:cs="HelveticaNeue-Light"/>
          <w:color w:val="9A9A9A"/>
          <w:sz w:val="36"/>
          <w:szCs w:val="36"/>
          <w:lang w:val="en-US" w:eastAsia="en-US"/>
        </w:rPr>
      </w:pPr>
      <w:r w:rsidRPr="00755721">
        <w:rPr>
          <w:rFonts w:ascii="HelveticaNeue-Light" w:eastAsiaTheme="minorHAnsi" w:hAnsi="HelveticaNeue-Light" w:cs="HelveticaNeue-Light"/>
          <w:color w:val="9A9A9A"/>
          <w:sz w:val="36"/>
          <w:szCs w:val="36"/>
          <w:lang w:val="en-US" w:eastAsia="en-US"/>
        </w:rPr>
        <w:lastRenderedPageBreak/>
        <w:t>Marine Consents Process</w:t>
      </w:r>
    </w:p>
    <w:p w:rsidR="00EB625D" w:rsidRPr="003E5534" w:rsidRDefault="00EB625D" w:rsidP="00EB625D">
      <w:pPr>
        <w:spacing w:after="240"/>
        <w:rPr>
          <w:rFonts w:cs="Arial"/>
          <w:b/>
          <w:i/>
          <w:sz w:val="21"/>
          <w:szCs w:val="21"/>
        </w:rPr>
      </w:pPr>
      <w:r w:rsidRPr="00755721">
        <w:rPr>
          <w:rFonts w:cs="Arial"/>
          <w:b/>
          <w:i/>
          <w:sz w:val="21"/>
          <w:szCs w:val="21"/>
        </w:rPr>
        <w:t>How does the EPA’s</w:t>
      </w:r>
      <w:r w:rsidRPr="003E5534">
        <w:rPr>
          <w:rFonts w:cs="Arial"/>
          <w:b/>
          <w:i/>
          <w:sz w:val="21"/>
          <w:szCs w:val="21"/>
        </w:rPr>
        <w:t xml:space="preserve"> EEZ Act process work?</w:t>
      </w:r>
    </w:p>
    <w:p w:rsidR="00EB625D" w:rsidRPr="003E5534" w:rsidRDefault="00EB625D" w:rsidP="00EB625D">
      <w:pPr>
        <w:pStyle w:val="ListParagraph"/>
        <w:numPr>
          <w:ilvl w:val="0"/>
          <w:numId w:val="17"/>
        </w:numPr>
        <w:spacing w:after="240" w:line="240" w:lineRule="auto"/>
        <w:contextualSpacing w:val="0"/>
        <w:rPr>
          <w:rFonts w:cs="Arial"/>
          <w:sz w:val="21"/>
          <w:szCs w:val="21"/>
        </w:rPr>
      </w:pPr>
      <w:r w:rsidRPr="003E5534">
        <w:rPr>
          <w:rFonts w:cs="Arial"/>
          <w:sz w:val="21"/>
          <w:szCs w:val="21"/>
        </w:rPr>
        <w:t xml:space="preserve">Under the EEZ Act the Decision-making Committee’s decision is not based on the numbers of submissions for or against a particular proposal; rather the process considers the effects of the proposal on the environment and existing interests as well as the proposal’s economic benefit to New Zealand. </w:t>
      </w:r>
    </w:p>
    <w:p w:rsidR="00EB625D" w:rsidRPr="003E5534" w:rsidRDefault="00EB625D" w:rsidP="00EB625D">
      <w:pPr>
        <w:pStyle w:val="ListParagraph"/>
        <w:numPr>
          <w:ilvl w:val="0"/>
          <w:numId w:val="17"/>
        </w:numPr>
        <w:spacing w:after="240" w:line="240" w:lineRule="auto"/>
        <w:contextualSpacing w:val="0"/>
        <w:rPr>
          <w:rFonts w:cs="Arial"/>
          <w:sz w:val="21"/>
          <w:szCs w:val="21"/>
        </w:rPr>
      </w:pPr>
      <w:r w:rsidRPr="003E5534">
        <w:rPr>
          <w:rFonts w:cs="Arial"/>
          <w:sz w:val="21"/>
          <w:szCs w:val="21"/>
        </w:rPr>
        <w:t xml:space="preserve">The EPA’s decision can then be appealed to the High Court on points of law only. </w:t>
      </w:r>
    </w:p>
    <w:p w:rsidR="00EB625D" w:rsidRPr="003E5534" w:rsidRDefault="00EB625D" w:rsidP="00EB625D">
      <w:pPr>
        <w:spacing w:after="240"/>
        <w:rPr>
          <w:rFonts w:cs="Arial"/>
          <w:b/>
          <w:i/>
          <w:sz w:val="21"/>
          <w:szCs w:val="21"/>
        </w:rPr>
      </w:pPr>
      <w:r w:rsidRPr="003E5534">
        <w:rPr>
          <w:rFonts w:cs="Arial"/>
          <w:b/>
          <w:bCs/>
          <w:i/>
          <w:sz w:val="21"/>
          <w:szCs w:val="21"/>
        </w:rPr>
        <w:t>Are Health and Safety and Maritime regulators also involved?</w:t>
      </w:r>
    </w:p>
    <w:p w:rsidR="00EB625D" w:rsidRPr="003E5534" w:rsidRDefault="00EB625D" w:rsidP="00EB625D">
      <w:pPr>
        <w:pStyle w:val="ListParagraph"/>
        <w:numPr>
          <w:ilvl w:val="0"/>
          <w:numId w:val="18"/>
        </w:numPr>
        <w:spacing w:after="240" w:line="240" w:lineRule="auto"/>
        <w:contextualSpacing w:val="0"/>
        <w:rPr>
          <w:rFonts w:cs="Arial"/>
          <w:sz w:val="21"/>
          <w:szCs w:val="21"/>
        </w:rPr>
      </w:pPr>
      <w:r w:rsidRPr="003E5534">
        <w:rPr>
          <w:rFonts w:cs="Arial"/>
          <w:sz w:val="21"/>
          <w:szCs w:val="21"/>
        </w:rPr>
        <w:t xml:space="preserve">The mining vessel is considered a “workplace” under the general Health &amp; Safety legislation and as the mining vessel will be a New Zealand registered ship, it will fall under Maritime NZ jurisdiction as the Health &amp; Safety regulator (as well as under general maritime safety legislation). </w:t>
      </w:r>
    </w:p>
    <w:p w:rsidR="00EB625D" w:rsidRPr="00A86003" w:rsidRDefault="00EB625D" w:rsidP="00EB625D"/>
    <w:p w:rsidR="00BE29FB" w:rsidRDefault="00BE29FB" w:rsidP="00EB625D">
      <w:pPr>
        <w:spacing w:before="600"/>
      </w:pPr>
    </w:p>
    <w:sectPr w:rsidR="00BE29FB" w:rsidSect="00434A3D">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13" w:rsidRDefault="00C00C13" w:rsidP="008C032B">
      <w:pPr>
        <w:spacing w:after="0" w:line="240" w:lineRule="auto"/>
      </w:pPr>
      <w:r>
        <w:separator/>
      </w:r>
    </w:p>
  </w:endnote>
  <w:endnote w:type="continuationSeparator" w:id="0">
    <w:p w:rsidR="00C00C13" w:rsidRDefault="00C00C13" w:rsidP="008C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7E" w:rsidRDefault="0032757E">
    <w:pPr>
      <w:pStyle w:val="Footer"/>
      <w:jc w:val="right"/>
    </w:pPr>
  </w:p>
  <w:p w:rsidR="009C3C9A" w:rsidRDefault="0050240E" w:rsidP="009C3C9A">
    <w:pPr>
      <w:pStyle w:val="Footer"/>
      <w:jc w:val="right"/>
    </w:pPr>
    <w:sdt>
      <w:sdtPr>
        <w:id w:val="860082579"/>
        <w:docPartObj>
          <w:docPartGallery w:val="Page Numbers (Top of Page)"/>
          <w:docPartUnique/>
        </w:docPartObj>
      </w:sdtPr>
      <w:sdtContent>
        <w:r w:rsidR="009C3C9A">
          <w:tab/>
        </w:r>
        <w:r w:rsidR="009C3C9A">
          <w:tab/>
          <w:t xml:space="preserve">Page </w:t>
        </w:r>
        <w:r>
          <w:rPr>
            <w:b/>
            <w:bCs/>
            <w:sz w:val="24"/>
            <w:szCs w:val="24"/>
          </w:rPr>
          <w:fldChar w:fldCharType="begin"/>
        </w:r>
        <w:r w:rsidR="009C3C9A">
          <w:rPr>
            <w:b/>
            <w:bCs/>
          </w:rPr>
          <w:instrText xml:space="preserve"> PAGE </w:instrText>
        </w:r>
        <w:r>
          <w:rPr>
            <w:b/>
            <w:bCs/>
            <w:sz w:val="24"/>
            <w:szCs w:val="24"/>
          </w:rPr>
          <w:fldChar w:fldCharType="separate"/>
        </w:r>
        <w:r w:rsidR="003321AA">
          <w:rPr>
            <w:b/>
            <w:bCs/>
            <w:noProof/>
          </w:rPr>
          <w:t>6</w:t>
        </w:r>
        <w:r>
          <w:rPr>
            <w:b/>
            <w:bCs/>
            <w:sz w:val="24"/>
            <w:szCs w:val="24"/>
          </w:rPr>
          <w:fldChar w:fldCharType="end"/>
        </w:r>
        <w:r w:rsidR="009C3C9A">
          <w:t xml:space="preserve"> of </w:t>
        </w:r>
        <w:r>
          <w:rPr>
            <w:b/>
            <w:bCs/>
            <w:sz w:val="24"/>
            <w:szCs w:val="24"/>
          </w:rPr>
          <w:fldChar w:fldCharType="begin"/>
        </w:r>
        <w:r w:rsidR="009C3C9A">
          <w:rPr>
            <w:b/>
            <w:bCs/>
          </w:rPr>
          <w:instrText xml:space="preserve"> NUMPAGES  </w:instrText>
        </w:r>
        <w:r>
          <w:rPr>
            <w:b/>
            <w:bCs/>
            <w:sz w:val="24"/>
            <w:szCs w:val="24"/>
          </w:rPr>
          <w:fldChar w:fldCharType="separate"/>
        </w:r>
        <w:r w:rsidR="003321AA">
          <w:rPr>
            <w:b/>
            <w:bCs/>
            <w:noProof/>
          </w:rPr>
          <w:t>7</w:t>
        </w:r>
        <w:r>
          <w:rPr>
            <w:b/>
            <w:bCs/>
            <w:sz w:val="24"/>
            <w:szCs w:val="24"/>
          </w:rPr>
          <w:fldChar w:fldCharType="end"/>
        </w:r>
      </w:sdtContent>
    </w:sdt>
  </w:p>
  <w:p w:rsidR="0032757E" w:rsidRPr="009C3C9A" w:rsidRDefault="0032757E" w:rsidP="009C3C9A">
    <w:pPr>
      <w:pStyle w:val="Footer"/>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B9" w:rsidRPr="00BF42EE" w:rsidRDefault="00E268B9" w:rsidP="00531D2B">
    <w:pPr>
      <w:spacing w:before="240" w:after="0" w:line="240" w:lineRule="aut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13" w:rsidRDefault="00C00C13" w:rsidP="008C032B">
      <w:pPr>
        <w:spacing w:after="0" w:line="240" w:lineRule="auto"/>
      </w:pPr>
      <w:r>
        <w:separator/>
      </w:r>
    </w:p>
  </w:footnote>
  <w:footnote w:type="continuationSeparator" w:id="0">
    <w:p w:rsidR="00C00C13" w:rsidRDefault="00C00C13" w:rsidP="008C0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B9" w:rsidRDefault="00BF42EE">
    <w:pPr>
      <w:pStyle w:val="Header"/>
    </w:pPr>
    <w:r>
      <w:tab/>
    </w:r>
    <w:r>
      <w:tab/>
    </w:r>
    <w:r>
      <w:rPr>
        <w:noProof/>
      </w:rPr>
      <w:drawing>
        <wp:inline distT="0" distB="0" distL="0" distR="0">
          <wp:extent cx="1233778" cy="933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3778" cy="933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242"/>
    <w:multiLevelType w:val="hybridMultilevel"/>
    <w:tmpl w:val="30D02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1A7968"/>
    <w:multiLevelType w:val="hybridMultilevel"/>
    <w:tmpl w:val="C1AEE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F23DAA"/>
    <w:multiLevelType w:val="hybridMultilevel"/>
    <w:tmpl w:val="0EA42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D85ED7"/>
    <w:multiLevelType w:val="hybridMultilevel"/>
    <w:tmpl w:val="4BCEA8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633759"/>
    <w:multiLevelType w:val="hybridMultilevel"/>
    <w:tmpl w:val="C256D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2A0AA3"/>
    <w:multiLevelType w:val="hybridMultilevel"/>
    <w:tmpl w:val="5CA8E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F254A9"/>
    <w:multiLevelType w:val="hybridMultilevel"/>
    <w:tmpl w:val="2332B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BBB6EB6"/>
    <w:multiLevelType w:val="hybridMultilevel"/>
    <w:tmpl w:val="9C643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275043"/>
    <w:multiLevelType w:val="hybridMultilevel"/>
    <w:tmpl w:val="A0CEAD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C35D8A"/>
    <w:multiLevelType w:val="hybridMultilevel"/>
    <w:tmpl w:val="68A4D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7150A8"/>
    <w:multiLevelType w:val="hybridMultilevel"/>
    <w:tmpl w:val="00028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192EA0"/>
    <w:multiLevelType w:val="hybridMultilevel"/>
    <w:tmpl w:val="D2E08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A400083"/>
    <w:multiLevelType w:val="hybridMultilevel"/>
    <w:tmpl w:val="A834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ABC2794"/>
    <w:multiLevelType w:val="hybridMultilevel"/>
    <w:tmpl w:val="2B6AF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7E20C7C"/>
    <w:multiLevelType w:val="hybridMultilevel"/>
    <w:tmpl w:val="C08C4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88B6574"/>
    <w:multiLevelType w:val="hybridMultilevel"/>
    <w:tmpl w:val="CBA2C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26A259A"/>
    <w:multiLevelType w:val="hybridMultilevel"/>
    <w:tmpl w:val="94C4B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68D57F4"/>
    <w:multiLevelType w:val="hybridMultilevel"/>
    <w:tmpl w:val="7CBA9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13"/>
  </w:num>
  <w:num w:numId="6">
    <w:abstractNumId w:val="6"/>
  </w:num>
  <w:num w:numId="7">
    <w:abstractNumId w:val="4"/>
  </w:num>
  <w:num w:numId="8">
    <w:abstractNumId w:val="3"/>
  </w:num>
  <w:num w:numId="9">
    <w:abstractNumId w:val="5"/>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9"/>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C00C13"/>
    <w:rsid w:val="00006C52"/>
    <w:rsid w:val="00017927"/>
    <w:rsid w:val="00030986"/>
    <w:rsid w:val="000448AB"/>
    <w:rsid w:val="0005755C"/>
    <w:rsid w:val="000579E6"/>
    <w:rsid w:val="000A4CD4"/>
    <w:rsid w:val="000B25E7"/>
    <w:rsid w:val="000F0EA0"/>
    <w:rsid w:val="000F4911"/>
    <w:rsid w:val="001008D6"/>
    <w:rsid w:val="0013095E"/>
    <w:rsid w:val="00130CE1"/>
    <w:rsid w:val="00193A31"/>
    <w:rsid w:val="001A2DB3"/>
    <w:rsid w:val="001E22AB"/>
    <w:rsid w:val="002143AB"/>
    <w:rsid w:val="0026345C"/>
    <w:rsid w:val="00281D73"/>
    <w:rsid w:val="002A5AE9"/>
    <w:rsid w:val="002F5518"/>
    <w:rsid w:val="00322611"/>
    <w:rsid w:val="0032757E"/>
    <w:rsid w:val="003321AA"/>
    <w:rsid w:val="00345AD1"/>
    <w:rsid w:val="00350622"/>
    <w:rsid w:val="00385F41"/>
    <w:rsid w:val="003D62FA"/>
    <w:rsid w:val="003E2356"/>
    <w:rsid w:val="00402B7F"/>
    <w:rsid w:val="00434A3D"/>
    <w:rsid w:val="00457635"/>
    <w:rsid w:val="00474BC3"/>
    <w:rsid w:val="00475B58"/>
    <w:rsid w:val="00484402"/>
    <w:rsid w:val="0050240E"/>
    <w:rsid w:val="005254DB"/>
    <w:rsid w:val="00527EDA"/>
    <w:rsid w:val="00531D2B"/>
    <w:rsid w:val="0056666B"/>
    <w:rsid w:val="00586C88"/>
    <w:rsid w:val="00586DB9"/>
    <w:rsid w:val="00593BC6"/>
    <w:rsid w:val="0059417B"/>
    <w:rsid w:val="005A3746"/>
    <w:rsid w:val="005A7C45"/>
    <w:rsid w:val="005C7B90"/>
    <w:rsid w:val="005D5A91"/>
    <w:rsid w:val="00617FD8"/>
    <w:rsid w:val="00640DD0"/>
    <w:rsid w:val="006444AF"/>
    <w:rsid w:val="00645089"/>
    <w:rsid w:val="00686934"/>
    <w:rsid w:val="006B004E"/>
    <w:rsid w:val="006C11C4"/>
    <w:rsid w:val="00707418"/>
    <w:rsid w:val="007135ED"/>
    <w:rsid w:val="007150D4"/>
    <w:rsid w:val="007237EE"/>
    <w:rsid w:val="007471A5"/>
    <w:rsid w:val="00755721"/>
    <w:rsid w:val="00765444"/>
    <w:rsid w:val="007B6D53"/>
    <w:rsid w:val="007B7100"/>
    <w:rsid w:val="007D3CC1"/>
    <w:rsid w:val="00832924"/>
    <w:rsid w:val="00837D51"/>
    <w:rsid w:val="00861E9A"/>
    <w:rsid w:val="0087069A"/>
    <w:rsid w:val="00887127"/>
    <w:rsid w:val="00891133"/>
    <w:rsid w:val="008917E4"/>
    <w:rsid w:val="0089485E"/>
    <w:rsid w:val="008A1486"/>
    <w:rsid w:val="008C032B"/>
    <w:rsid w:val="008C137D"/>
    <w:rsid w:val="008F7207"/>
    <w:rsid w:val="0091729E"/>
    <w:rsid w:val="00942624"/>
    <w:rsid w:val="0095532F"/>
    <w:rsid w:val="009610A8"/>
    <w:rsid w:val="0097029D"/>
    <w:rsid w:val="00982671"/>
    <w:rsid w:val="009B1699"/>
    <w:rsid w:val="009B6779"/>
    <w:rsid w:val="009C3C9A"/>
    <w:rsid w:val="009C72D3"/>
    <w:rsid w:val="009C7D11"/>
    <w:rsid w:val="009D692C"/>
    <w:rsid w:val="00A05400"/>
    <w:rsid w:val="00A32BB8"/>
    <w:rsid w:val="00A4255A"/>
    <w:rsid w:val="00A54DA9"/>
    <w:rsid w:val="00A60658"/>
    <w:rsid w:val="00A61739"/>
    <w:rsid w:val="00A76BC2"/>
    <w:rsid w:val="00A94BC1"/>
    <w:rsid w:val="00AD727C"/>
    <w:rsid w:val="00AE3168"/>
    <w:rsid w:val="00B22ED3"/>
    <w:rsid w:val="00B34412"/>
    <w:rsid w:val="00B367E7"/>
    <w:rsid w:val="00B379F4"/>
    <w:rsid w:val="00B765DF"/>
    <w:rsid w:val="00BC2422"/>
    <w:rsid w:val="00BC6D0E"/>
    <w:rsid w:val="00BD0856"/>
    <w:rsid w:val="00BE29FB"/>
    <w:rsid w:val="00BF42EE"/>
    <w:rsid w:val="00BF70DF"/>
    <w:rsid w:val="00C00C13"/>
    <w:rsid w:val="00C21734"/>
    <w:rsid w:val="00C4264A"/>
    <w:rsid w:val="00C9130B"/>
    <w:rsid w:val="00CB07EE"/>
    <w:rsid w:val="00CD1899"/>
    <w:rsid w:val="00CE4D0D"/>
    <w:rsid w:val="00D077DB"/>
    <w:rsid w:val="00D11B97"/>
    <w:rsid w:val="00D121C5"/>
    <w:rsid w:val="00D402CE"/>
    <w:rsid w:val="00D62B04"/>
    <w:rsid w:val="00D73BBC"/>
    <w:rsid w:val="00DC03B5"/>
    <w:rsid w:val="00DC5281"/>
    <w:rsid w:val="00E268B9"/>
    <w:rsid w:val="00E5492D"/>
    <w:rsid w:val="00E77034"/>
    <w:rsid w:val="00E95514"/>
    <w:rsid w:val="00EA4E67"/>
    <w:rsid w:val="00EB0724"/>
    <w:rsid w:val="00EB0BA3"/>
    <w:rsid w:val="00EB625D"/>
    <w:rsid w:val="00ED5FB2"/>
    <w:rsid w:val="00ED79FA"/>
    <w:rsid w:val="00F30194"/>
    <w:rsid w:val="00F377EB"/>
    <w:rsid w:val="00F62880"/>
    <w:rsid w:val="00F746B7"/>
    <w:rsid w:val="00F84D7F"/>
    <w:rsid w:val="00FB45E4"/>
    <w:rsid w:val="00FD70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99"/>
  </w:style>
  <w:style w:type="paragraph" w:styleId="Heading1">
    <w:name w:val="heading 1"/>
    <w:basedOn w:val="Normal"/>
    <w:next w:val="Normal"/>
    <w:link w:val="Heading1Char"/>
    <w:uiPriority w:val="9"/>
    <w:qFormat/>
    <w:rsid w:val="00EB6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81"/>
    <w:rPr>
      <w:rFonts w:ascii="Tahoma" w:hAnsi="Tahoma" w:cs="Tahoma"/>
      <w:sz w:val="16"/>
      <w:szCs w:val="16"/>
    </w:rPr>
  </w:style>
  <w:style w:type="paragraph" w:styleId="ListParagraph">
    <w:name w:val="List Paragraph"/>
    <w:basedOn w:val="Normal"/>
    <w:uiPriority w:val="34"/>
    <w:qFormat/>
    <w:rsid w:val="00DC5281"/>
    <w:pPr>
      <w:ind w:left="720"/>
      <w:contextualSpacing/>
    </w:pPr>
  </w:style>
  <w:style w:type="character" w:styleId="Hyperlink">
    <w:name w:val="Hyperlink"/>
    <w:basedOn w:val="DefaultParagraphFont"/>
    <w:uiPriority w:val="99"/>
    <w:unhideWhenUsed/>
    <w:rsid w:val="00527EDA"/>
    <w:rPr>
      <w:color w:val="0000FF" w:themeColor="hyperlink"/>
      <w:u w:val="single"/>
    </w:rPr>
  </w:style>
  <w:style w:type="table" w:styleId="TableGrid">
    <w:name w:val="Table Grid"/>
    <w:basedOn w:val="TableNormal"/>
    <w:uiPriority w:val="59"/>
    <w:rsid w:val="00345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0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2B"/>
  </w:style>
  <w:style w:type="paragraph" w:styleId="Footer">
    <w:name w:val="footer"/>
    <w:basedOn w:val="Normal"/>
    <w:link w:val="FooterChar"/>
    <w:uiPriority w:val="99"/>
    <w:unhideWhenUsed/>
    <w:rsid w:val="008C0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2B"/>
  </w:style>
  <w:style w:type="character" w:styleId="PlaceholderText">
    <w:name w:val="Placeholder Text"/>
    <w:basedOn w:val="DefaultParagraphFont"/>
    <w:uiPriority w:val="99"/>
    <w:semiHidden/>
    <w:rsid w:val="00B765DF"/>
    <w:rPr>
      <w:color w:val="808080"/>
    </w:rPr>
  </w:style>
  <w:style w:type="character" w:styleId="Strong">
    <w:name w:val="Strong"/>
    <w:basedOn w:val="DefaultParagraphFont"/>
    <w:uiPriority w:val="22"/>
    <w:qFormat/>
    <w:rsid w:val="00B765DF"/>
    <w:rPr>
      <w:b/>
      <w:bCs/>
    </w:rPr>
  </w:style>
  <w:style w:type="paragraph" w:customStyle="1" w:styleId="Signoff">
    <w:name w:val="Signoff"/>
    <w:basedOn w:val="Normal"/>
    <w:link w:val="SignoffChar"/>
    <w:qFormat/>
    <w:rsid w:val="00B765DF"/>
    <w:pPr>
      <w:spacing w:before="120" w:after="1200"/>
    </w:pPr>
  </w:style>
  <w:style w:type="character" w:customStyle="1" w:styleId="SignoffChar">
    <w:name w:val="Signoff Char"/>
    <w:basedOn w:val="DefaultParagraphFont"/>
    <w:link w:val="Signoff"/>
    <w:rsid w:val="00B765DF"/>
  </w:style>
  <w:style w:type="paragraph" w:customStyle="1" w:styleId="AddressBlock">
    <w:name w:val="Address Block"/>
    <w:basedOn w:val="Normal"/>
    <w:link w:val="AddressBlockChar"/>
    <w:qFormat/>
    <w:rsid w:val="00D121C5"/>
    <w:pPr>
      <w:spacing w:after="0"/>
    </w:pPr>
  </w:style>
  <w:style w:type="character" w:customStyle="1" w:styleId="AddressBlockChar">
    <w:name w:val="Address Block Char"/>
    <w:basedOn w:val="DefaultParagraphFont"/>
    <w:link w:val="AddressBlock"/>
    <w:rsid w:val="00D121C5"/>
  </w:style>
  <w:style w:type="paragraph" w:customStyle="1" w:styleId="Default">
    <w:name w:val="Default"/>
    <w:rsid w:val="00B22ED3"/>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basedOn w:val="Normal"/>
    <w:next w:val="Heading1"/>
    <w:link w:val="HeadingChar"/>
    <w:qFormat/>
    <w:rsid w:val="00EB625D"/>
    <w:pPr>
      <w:autoSpaceDE w:val="0"/>
      <w:autoSpaceDN w:val="0"/>
      <w:adjustRightInd w:val="0"/>
      <w:spacing w:after="0" w:line="240" w:lineRule="auto"/>
    </w:pPr>
    <w:rPr>
      <w:rFonts w:ascii="HelveticaNeue-Light" w:eastAsiaTheme="minorHAnsi" w:hAnsi="HelveticaNeue-Light" w:cs="HelveticaNeue-Light"/>
      <w:color w:val="9A9A9A"/>
      <w:sz w:val="36"/>
      <w:szCs w:val="36"/>
      <w:lang w:val="en-US" w:eastAsia="en-US"/>
    </w:rPr>
  </w:style>
  <w:style w:type="character" w:customStyle="1" w:styleId="HeadingChar">
    <w:name w:val="Heading Char"/>
    <w:basedOn w:val="DefaultParagraphFont"/>
    <w:link w:val="Heading"/>
    <w:rsid w:val="00EB625D"/>
    <w:rPr>
      <w:rFonts w:ascii="HelveticaNeue-Light" w:eastAsiaTheme="minorHAnsi" w:hAnsi="HelveticaNeue-Light" w:cs="HelveticaNeue-Light"/>
      <w:color w:val="9A9A9A"/>
      <w:sz w:val="36"/>
      <w:szCs w:val="36"/>
      <w:lang w:val="en-US" w:eastAsia="en-US"/>
    </w:rPr>
  </w:style>
  <w:style w:type="character" w:styleId="CommentReference">
    <w:name w:val="annotation reference"/>
    <w:basedOn w:val="DefaultParagraphFont"/>
    <w:uiPriority w:val="99"/>
    <w:semiHidden/>
    <w:unhideWhenUsed/>
    <w:rsid w:val="00EB625D"/>
    <w:rPr>
      <w:sz w:val="16"/>
      <w:szCs w:val="16"/>
    </w:rPr>
  </w:style>
  <w:style w:type="paragraph" w:styleId="CommentText">
    <w:name w:val="annotation text"/>
    <w:basedOn w:val="Normal"/>
    <w:link w:val="CommentTextChar"/>
    <w:uiPriority w:val="99"/>
    <w:unhideWhenUsed/>
    <w:rsid w:val="00EB625D"/>
    <w:pPr>
      <w:spacing w:after="0" w:line="240" w:lineRule="auto"/>
    </w:pPr>
    <w:rPr>
      <w:rFonts w:ascii="Calibri" w:eastAsiaTheme="minorHAnsi" w:hAnsi="Calibri" w:cs="Times New Roman"/>
      <w:sz w:val="20"/>
      <w:szCs w:val="20"/>
      <w:lang w:val="en-US" w:eastAsia="en-US"/>
    </w:rPr>
  </w:style>
  <w:style w:type="character" w:customStyle="1" w:styleId="CommentTextChar">
    <w:name w:val="Comment Text Char"/>
    <w:basedOn w:val="DefaultParagraphFont"/>
    <w:link w:val="CommentText"/>
    <w:uiPriority w:val="99"/>
    <w:rsid w:val="00EB625D"/>
    <w:rPr>
      <w:rFonts w:ascii="Calibri" w:eastAsiaTheme="minorHAnsi" w:hAnsi="Calibri" w:cs="Times New Roman"/>
      <w:sz w:val="20"/>
      <w:szCs w:val="20"/>
      <w:lang w:val="en-US" w:eastAsia="en-US"/>
    </w:rPr>
  </w:style>
  <w:style w:type="character" w:customStyle="1" w:styleId="Heading1Char">
    <w:name w:val="Heading 1 Char"/>
    <w:basedOn w:val="DefaultParagraphFont"/>
    <w:link w:val="Heading1"/>
    <w:uiPriority w:val="9"/>
    <w:rsid w:val="00EB62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95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0F8A-AC0A-4DFC-85D2-0BDC2E9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Trans Tasman Resources</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Treacy</dc:creator>
  <cp:lastModifiedBy>ruth</cp:lastModifiedBy>
  <cp:revision>43</cp:revision>
  <cp:lastPrinted>2014-06-17T22:00:00Z</cp:lastPrinted>
  <dcterms:created xsi:type="dcterms:W3CDTF">2014-06-16T22:07:00Z</dcterms:created>
  <dcterms:modified xsi:type="dcterms:W3CDTF">2014-06-17T23:32:00Z</dcterms:modified>
</cp:coreProperties>
</file>