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56" w:rsidRDefault="00524A56" w:rsidP="002E53A9">
      <w:pPr>
        <w:pStyle w:val="BodyText"/>
        <w:jc w:val="center"/>
        <w:rPr>
          <w:b/>
          <w:sz w:val="40"/>
        </w:rPr>
        <w:sectPr w:rsidR="00524A56" w:rsidSect="00524A56">
          <w:type w:val="continuous"/>
          <w:pgSz w:w="11906" w:h="16838"/>
          <w:pgMar w:top="568" w:right="1440" w:bottom="1440" w:left="567" w:header="708" w:footer="708" w:gutter="0"/>
          <w:cols w:space="708"/>
          <w:docGrid w:linePitch="360"/>
        </w:sectPr>
      </w:pPr>
      <w:r w:rsidRPr="00524A56">
        <w:rPr>
          <w:b/>
          <w:noProof/>
          <w:sz w:val="40"/>
          <w:lang w:eastAsia="en-NZ"/>
        </w:rPr>
        <w:drawing>
          <wp:inline distT="0" distB="0" distL="0" distR="0">
            <wp:extent cx="6933138" cy="1419225"/>
            <wp:effectExtent l="0" t="0" r="1270" b="0"/>
            <wp:docPr id="1" name="Picture 0" descr="FSC_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C_Letter 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08" cy="142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C1" w:rsidRDefault="002C4CC1" w:rsidP="002E53A9">
      <w:pPr>
        <w:pStyle w:val="BodyText"/>
        <w:sectPr w:rsidR="002C4CC1" w:rsidSect="00524A56">
          <w:type w:val="continuous"/>
          <w:pgSz w:w="11906" w:h="16838"/>
          <w:pgMar w:top="142" w:right="1440" w:bottom="1440" w:left="1440" w:header="708" w:footer="708" w:gutter="0"/>
          <w:cols w:space="708"/>
          <w:docGrid w:linePitch="360"/>
        </w:sectPr>
      </w:pPr>
    </w:p>
    <w:p w:rsidR="002E53A9" w:rsidRDefault="00CE5D8E" w:rsidP="002E53A9">
      <w:pPr>
        <w:pStyle w:val="BodyText"/>
      </w:pPr>
      <w:r>
        <w:lastRenderedPageBreak/>
        <w:t>6 May</w:t>
      </w:r>
      <w:r w:rsidR="002E53A9">
        <w:t xml:space="preserve"> 2014</w:t>
      </w:r>
    </w:p>
    <w:p w:rsidR="00292D18" w:rsidRDefault="00292D18" w:rsidP="002E53A9">
      <w:pPr>
        <w:pStyle w:val="BodyText"/>
      </w:pPr>
    </w:p>
    <w:p w:rsidR="00292D18" w:rsidRDefault="00292D18" w:rsidP="002E53A9">
      <w:pPr>
        <w:pStyle w:val="BodyText"/>
      </w:pPr>
      <w:r>
        <w:t>Dear</w:t>
      </w:r>
    </w:p>
    <w:p w:rsidR="002E53A9" w:rsidRPr="00096CDD" w:rsidRDefault="002E53A9" w:rsidP="002E53A9">
      <w:pPr>
        <w:pStyle w:val="Heading1"/>
        <w:spacing w:after="0"/>
        <w:rPr>
          <w:rFonts w:asciiTheme="minorHAnsi" w:hAnsiTheme="minorHAnsi" w:cstheme="minorHAnsi"/>
          <w:u w:val="single"/>
        </w:rPr>
      </w:pPr>
      <w:r w:rsidRPr="00096CDD">
        <w:rPr>
          <w:rFonts w:asciiTheme="minorHAnsi" w:hAnsiTheme="minorHAnsi" w:cstheme="minorHAnsi"/>
          <w:u w:val="single"/>
        </w:rPr>
        <w:t>Making KiwiSaver Fairer and Affordable</w:t>
      </w:r>
    </w:p>
    <w:p w:rsidR="00FF6F82" w:rsidRDefault="00FF6F82" w:rsidP="002E53A9">
      <w:pPr>
        <w:pStyle w:val="Heading1"/>
        <w:spacing w:before="0"/>
        <w:rPr>
          <w:rFonts w:asciiTheme="minorHAnsi" w:hAnsiTheme="minorHAnsi" w:cstheme="minorHAnsi"/>
        </w:rPr>
      </w:pPr>
    </w:p>
    <w:p w:rsidR="00FF6F82" w:rsidRDefault="00FF6F82" w:rsidP="00CE5D8E">
      <w:pPr>
        <w:pStyle w:val="BodyText"/>
      </w:pPr>
      <w:r>
        <w:t xml:space="preserve">Like me, I expect you have a considerable interest in how we can double retirement incomes for New Zealand employees. </w:t>
      </w:r>
    </w:p>
    <w:p w:rsidR="00FF6F82" w:rsidRDefault="00FF6F82" w:rsidP="00CE5D8E">
      <w:pPr>
        <w:pStyle w:val="BodyText"/>
      </w:pPr>
      <w:r>
        <w:t>A key question is how we do this in ways New Zealanders will support and the country can afford while leaving the NZ Super pension in place.</w:t>
      </w:r>
    </w:p>
    <w:p w:rsidR="00FF6F82" w:rsidRDefault="00FF6F82" w:rsidP="00CE5D8E">
      <w:pPr>
        <w:pStyle w:val="BodyText"/>
      </w:pPr>
      <w:r>
        <w:t>The Financial Services Council has suggested a package of policies which will achieve this.</w:t>
      </w:r>
    </w:p>
    <w:p w:rsidR="00FF6F82" w:rsidRDefault="00FF6F82" w:rsidP="00CE5D8E">
      <w:pPr>
        <w:pStyle w:val="BodyText"/>
      </w:pPr>
      <w:r>
        <w:t xml:space="preserve">I am pleased to provide you with a copy of a special report the FSC commissioned from </w:t>
      </w:r>
      <w:r w:rsidR="00A4484E">
        <w:t>Infometrics</w:t>
      </w:r>
      <w:r>
        <w:t xml:space="preserve"> to analyse the </w:t>
      </w:r>
      <w:r w:rsidR="00A4484E">
        <w:t>impact</w:t>
      </w:r>
      <w:r>
        <w:t xml:space="preserve"> the FSC’s policy suggestions might have.</w:t>
      </w:r>
    </w:p>
    <w:p w:rsidR="00FF6F82" w:rsidRDefault="00FF6F82" w:rsidP="00CE5D8E">
      <w:pPr>
        <w:pStyle w:val="BodyText"/>
      </w:pPr>
      <w:r>
        <w:t>As you would expect, only 8% of New Zealand adults believe they could live comfortably on the $282 per week paid by NZ Super for each person in a couple over 65.</w:t>
      </w:r>
    </w:p>
    <w:p w:rsidR="00FF6F82" w:rsidRDefault="00FF6F82" w:rsidP="00CE5D8E">
      <w:pPr>
        <w:pStyle w:val="BodyText"/>
      </w:pPr>
      <w:r>
        <w:t>We know that, under FSC proposals</w:t>
      </w:r>
      <w:r w:rsidR="006619F7">
        <w:t xml:space="preserve"> to achieve a KiwiSaver + NZ Super </w:t>
      </w:r>
      <w:r w:rsidR="00A4484E">
        <w:t>pay-out</w:t>
      </w:r>
      <w:r w:rsidR="006619F7">
        <w:t xml:space="preserve"> at twice that level, New Zealand employees on </w:t>
      </w:r>
      <w:r w:rsidR="00CE5D8E">
        <w:t>a low</w:t>
      </w:r>
      <w:r w:rsidR="006619F7">
        <w:t xml:space="preserve"> wage will need to save 13% of </w:t>
      </w:r>
      <w:r w:rsidR="006C6CFA">
        <w:t xml:space="preserve">their pre-tax </w:t>
      </w:r>
      <w:r w:rsidR="006619F7">
        <w:t>income on current policy settings.</w:t>
      </w:r>
    </w:p>
    <w:p w:rsidR="006619F7" w:rsidRDefault="006619F7" w:rsidP="00CE5D8E">
      <w:pPr>
        <w:pStyle w:val="BodyText"/>
      </w:pPr>
      <w:r>
        <w:t xml:space="preserve">The FSC package proposes </w:t>
      </w:r>
      <w:r w:rsidR="00CE5D8E">
        <w:t xml:space="preserve">employees </w:t>
      </w:r>
      <w:r>
        <w:t xml:space="preserve">would need to save only 6 to 9% of pre-tax income </w:t>
      </w:r>
      <w:r w:rsidR="00CE5D8E">
        <w:t xml:space="preserve">split with their employer </w:t>
      </w:r>
      <w:r>
        <w:t>to achieve a comfortable retirement income</w:t>
      </w:r>
      <w:r w:rsidR="0010272C">
        <w:t>,</w:t>
      </w:r>
      <w:r>
        <w:t xml:space="preserve"> twice that of NZ Super.</w:t>
      </w:r>
    </w:p>
    <w:p w:rsidR="006619F7" w:rsidRDefault="006619F7" w:rsidP="00CE5D8E">
      <w:pPr>
        <w:pStyle w:val="BodyText"/>
      </w:pPr>
      <w:r>
        <w:t>Among the two main policy changes to deliver higher retirement income</w:t>
      </w:r>
      <w:r w:rsidR="0010272C">
        <w:t>s</w:t>
      </w:r>
      <w:r>
        <w:t xml:space="preserve"> </w:t>
      </w:r>
      <w:r w:rsidR="0010272C">
        <w:t>on</w:t>
      </w:r>
      <w:r>
        <w:t xml:space="preserve"> lower and affordable contribution rates to KiwiSaver are:</w:t>
      </w:r>
    </w:p>
    <w:p w:rsidR="006619F7" w:rsidRDefault="006619F7" w:rsidP="00CE5D8E">
      <w:pPr>
        <w:pStyle w:val="BodyText"/>
        <w:numPr>
          <w:ilvl w:val="0"/>
          <w:numId w:val="12"/>
        </w:numPr>
      </w:pPr>
      <w:r>
        <w:t xml:space="preserve">Moving KiwiSaver members from Conservative to Balanced Funds, </w:t>
      </w:r>
      <w:r w:rsidR="00073953">
        <w:t>specially</w:t>
      </w:r>
      <w:r>
        <w:t xml:space="preserve"> in the earlier stages of their lives, and</w:t>
      </w:r>
    </w:p>
    <w:p w:rsidR="006619F7" w:rsidRPr="00E80DD3" w:rsidRDefault="006619F7" w:rsidP="00CE5D8E">
      <w:pPr>
        <w:pStyle w:val="BodyText"/>
        <w:numPr>
          <w:ilvl w:val="0"/>
          <w:numId w:val="12"/>
        </w:numPr>
      </w:pPr>
      <w:r>
        <w:t xml:space="preserve">Changing the way we tax </w:t>
      </w:r>
      <w:r w:rsidR="00DC0A70">
        <w:t xml:space="preserve">retirement </w:t>
      </w:r>
      <w:r>
        <w:t xml:space="preserve">savings: we now tax </w:t>
      </w:r>
      <w:r w:rsidR="00DC0A70">
        <w:t xml:space="preserve">the initial earnings and the interest on </w:t>
      </w:r>
      <w:r>
        <w:t xml:space="preserve">interest </w:t>
      </w:r>
      <w:r w:rsidR="00DC0A70">
        <w:t xml:space="preserve">(compound returns) </w:t>
      </w:r>
      <w:r>
        <w:t xml:space="preserve">earned on funds invested in KiwiSaver. That makes it one of most punitive savings taxes in the world. </w:t>
      </w:r>
      <w:r w:rsidR="00CE5D8E">
        <w:t>For someone on the average wage over 40 years the impact of tax is to reduce your retirement nest egg by half.</w:t>
      </w:r>
      <w:r w:rsidR="00DC0A70">
        <w:t xml:space="preserve">  </w:t>
      </w:r>
      <w:r>
        <w:t xml:space="preserve">As the Infometrics report points out, if we </w:t>
      </w:r>
      <w:r w:rsidR="00A4484E">
        <w:t>cut tax</w:t>
      </w:r>
      <w:r>
        <w:t xml:space="preserve"> rates </w:t>
      </w:r>
      <w:r w:rsidR="00DC0A70">
        <w:t xml:space="preserve">on returns </w:t>
      </w:r>
      <w:r>
        <w:t xml:space="preserve">earned </w:t>
      </w:r>
      <w:r w:rsidR="00DC0A70">
        <w:t>i</w:t>
      </w:r>
      <w:r>
        <w:t>n KiwiSaver funds from</w:t>
      </w:r>
      <w:r w:rsidR="009F019B">
        <w:t xml:space="preserve"> </w:t>
      </w:r>
      <w:r w:rsidRPr="009F019B">
        <w:t xml:space="preserve">28%, 17.5% and 10.5% to 15%, to 8% and 4.3% respectively most of the cost </w:t>
      </w:r>
      <w:r w:rsidR="00963089">
        <w:t>can</w:t>
      </w:r>
      <w:r w:rsidRPr="009F019B">
        <w:t xml:space="preserve"> be made up by abolishing the annual $521 KiwiSaver member tax credit.</w:t>
      </w:r>
    </w:p>
    <w:p w:rsidR="006619F7" w:rsidRPr="009F019B" w:rsidRDefault="00E80DD3" w:rsidP="009F019B">
      <w:pPr>
        <w:pStyle w:val="BodyText"/>
      </w:pPr>
      <w:r>
        <w:t xml:space="preserve">You’ll see </w:t>
      </w:r>
      <w:r w:rsidR="008938D7">
        <w:t xml:space="preserve">in the </w:t>
      </w:r>
      <w:r w:rsidR="006619F7" w:rsidRPr="009F019B">
        <w:t>report these proposed changes would mean someone on an average income, if they moved from a conservative to a balanced fund, could</w:t>
      </w:r>
      <w:r w:rsidR="009F019B">
        <w:t xml:space="preserve"> </w:t>
      </w:r>
      <w:r w:rsidR="006619F7" w:rsidRPr="009F019B">
        <w:t>cut their KiwiSaver contributions over 40 years by $164,000 and</w:t>
      </w:r>
      <w:r w:rsidR="009F019B">
        <w:t xml:space="preserve"> </w:t>
      </w:r>
      <w:r w:rsidR="006619F7" w:rsidRPr="009F019B">
        <w:t>reduce the impact of tax</w:t>
      </w:r>
      <w:r>
        <w:t xml:space="preserve">, to </w:t>
      </w:r>
      <w:r w:rsidR="00AE438F" w:rsidRPr="009F019B">
        <w:t xml:space="preserve">increase </w:t>
      </w:r>
      <w:r w:rsidR="006619F7" w:rsidRPr="009F019B">
        <w:t xml:space="preserve">their KiwiSaver </w:t>
      </w:r>
      <w:r w:rsidR="008938D7">
        <w:t>nest egg</w:t>
      </w:r>
      <w:r w:rsidR="006619F7" w:rsidRPr="009F019B">
        <w:t xml:space="preserve"> by $288,000</w:t>
      </w:r>
      <w:r w:rsidR="0092416D">
        <w:t>.</w:t>
      </w:r>
      <w:bookmarkStart w:id="0" w:name="_GoBack"/>
      <w:bookmarkEnd w:id="0"/>
    </w:p>
    <w:p w:rsidR="006619F7" w:rsidRPr="009F019B" w:rsidRDefault="006619F7" w:rsidP="009F019B">
      <w:pPr>
        <w:pStyle w:val="BodyText"/>
      </w:pPr>
      <w:r w:rsidRPr="009F019B">
        <w:t>At a practical level this means a person on an average income would have to save $16 a day</w:t>
      </w:r>
      <w:r w:rsidR="008F5401">
        <w:t>, split with their employer,</w:t>
      </w:r>
      <w:r w:rsidRPr="009F019B">
        <w:t xml:space="preserve"> rather than $27 (63% less) to achieve a comfortable retirement income.</w:t>
      </w:r>
    </w:p>
    <w:p w:rsidR="006619F7" w:rsidRPr="009F019B" w:rsidRDefault="006619F7" w:rsidP="009F019B">
      <w:pPr>
        <w:pStyle w:val="BodyText"/>
      </w:pPr>
      <w:r w:rsidRPr="009F019B">
        <w:lastRenderedPageBreak/>
        <w:t xml:space="preserve">Our </w:t>
      </w:r>
      <w:r w:rsidR="007D11E9">
        <w:t xml:space="preserve">polling </w:t>
      </w:r>
      <w:r w:rsidRPr="009F019B">
        <w:t>research fin</w:t>
      </w:r>
      <w:r w:rsidR="0070101D" w:rsidRPr="009F019B">
        <w:t>d</w:t>
      </w:r>
      <w:r w:rsidRPr="009F019B">
        <w:t>s the public w</w:t>
      </w:r>
      <w:r w:rsidR="00AE438F" w:rsidRPr="009F019B">
        <w:t>i</w:t>
      </w:r>
      <w:r w:rsidRPr="009F019B">
        <w:t>ll support the changes we are suggesting.</w:t>
      </w:r>
    </w:p>
    <w:p w:rsidR="0019692A" w:rsidRPr="009F019B" w:rsidRDefault="006619F7" w:rsidP="009F019B">
      <w:pPr>
        <w:pStyle w:val="BodyText"/>
      </w:pPr>
      <w:r w:rsidRPr="009F019B">
        <w:t xml:space="preserve">I commend the report and policy options to you as </w:t>
      </w:r>
      <w:r w:rsidR="0019692A" w:rsidRPr="009F019B">
        <w:t xml:space="preserve">a worthwhile option to </w:t>
      </w:r>
      <w:r w:rsidR="00A4484E" w:rsidRPr="009F019B">
        <w:t>pursue</w:t>
      </w:r>
      <w:r w:rsidR="0019692A" w:rsidRPr="009F019B">
        <w:t xml:space="preserve"> and develop </w:t>
      </w:r>
      <w:r w:rsidR="00565217">
        <w:t xml:space="preserve">a </w:t>
      </w:r>
      <w:r w:rsidR="0019692A" w:rsidRPr="009F019B">
        <w:t xml:space="preserve">position before the September general election – in the </w:t>
      </w:r>
      <w:r w:rsidR="00A4484E" w:rsidRPr="009F019B">
        <w:t>long</w:t>
      </w:r>
      <w:r w:rsidR="0019692A" w:rsidRPr="009F019B">
        <w:t xml:space="preserve"> term interests of New Zealanders and the country.</w:t>
      </w:r>
    </w:p>
    <w:p w:rsidR="0019692A" w:rsidRPr="009F019B" w:rsidRDefault="0019692A" w:rsidP="00CE5D8E">
      <w:pPr>
        <w:pStyle w:val="BodyText"/>
      </w:pPr>
      <w:r w:rsidRPr="009F019B">
        <w:t xml:space="preserve">Please don’t </w:t>
      </w:r>
      <w:r w:rsidR="00A4484E" w:rsidRPr="009F019B">
        <w:t>hesitate</w:t>
      </w:r>
      <w:r w:rsidRPr="009F019B">
        <w:t xml:space="preserve"> to contact me to discuss this and other research we have on this issue, including its support among those who voted for your party at the 2011 general election.</w:t>
      </w:r>
    </w:p>
    <w:p w:rsidR="0070101D" w:rsidRDefault="0070101D" w:rsidP="0070101D">
      <w:pPr>
        <w:pStyle w:val="BodyText"/>
      </w:pPr>
      <w:r>
        <w:t xml:space="preserve">The FSC and its members are working to ensure that more KiwiSavers understand that the current KiwiSaver fund tax and default investment style policy settings are </w:t>
      </w:r>
      <w:r w:rsidR="005C5E11">
        <w:t xml:space="preserve">both </w:t>
      </w:r>
      <w:r>
        <w:t>unfair and make saving for a comfortable retirement unaffordable for many.</w:t>
      </w:r>
    </w:p>
    <w:p w:rsidR="0070101D" w:rsidRDefault="0070101D" w:rsidP="0070101D">
      <w:pPr>
        <w:pStyle w:val="BodyText"/>
      </w:pPr>
      <w:r>
        <w:t>We would ask that you read this and our earlier reports as this is going to be an election issue this year for the many New Zealanders who wish to have a comfortable retirement.</w:t>
      </w:r>
    </w:p>
    <w:p w:rsidR="0070101D" w:rsidRDefault="0070101D" w:rsidP="0070101D">
      <w:pPr>
        <w:pStyle w:val="BodyText"/>
      </w:pPr>
    </w:p>
    <w:p w:rsidR="0070101D" w:rsidRDefault="0070101D" w:rsidP="0070101D">
      <w:pPr>
        <w:pStyle w:val="BodyText"/>
      </w:pPr>
      <w:r>
        <w:t>Regards</w:t>
      </w:r>
    </w:p>
    <w:p w:rsidR="0070101D" w:rsidRDefault="0070101D" w:rsidP="0070101D">
      <w:pPr>
        <w:pStyle w:val="BodyText"/>
      </w:pPr>
      <w:r>
        <w:rPr>
          <w:noProof/>
          <w:lang w:eastAsia="en-NZ"/>
        </w:rPr>
        <w:drawing>
          <wp:inline distT="0" distB="0" distL="0" distR="0" wp14:anchorId="695602B3" wp14:editId="23B26DC3">
            <wp:extent cx="1338072" cy="7040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-PeterNeilso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1D" w:rsidRDefault="0070101D" w:rsidP="0070101D">
      <w:pPr>
        <w:pStyle w:val="BodyText"/>
        <w:spacing w:after="0"/>
      </w:pPr>
      <w:r>
        <w:t>Peter Neilson</w:t>
      </w:r>
    </w:p>
    <w:p w:rsidR="0070101D" w:rsidRDefault="0070101D" w:rsidP="0070101D">
      <w:pPr>
        <w:pStyle w:val="BodyText"/>
        <w:spacing w:after="0"/>
      </w:pPr>
      <w:r>
        <w:t>Chief Executive</w:t>
      </w:r>
    </w:p>
    <w:p w:rsidR="0070101D" w:rsidRPr="0069720D" w:rsidRDefault="0070101D" w:rsidP="0070101D">
      <w:pPr>
        <w:pStyle w:val="BodyText"/>
        <w:spacing w:after="0"/>
        <w:rPr>
          <w:b/>
        </w:rPr>
      </w:pPr>
      <w:r w:rsidRPr="0069720D">
        <w:rPr>
          <w:b/>
        </w:rPr>
        <w:t>Financial Services Council</w:t>
      </w:r>
    </w:p>
    <w:p w:rsidR="00C449D7" w:rsidRDefault="00C449D7">
      <w:pPr>
        <w:spacing w:line="264" w:lineRule="auto"/>
        <w:rPr>
          <w:rFonts w:ascii="Arial" w:hAnsi="Arial" w:cs="Arial"/>
          <w:color w:val="4C4C4C"/>
          <w:sz w:val="20"/>
          <w:shd w:val="clear" w:color="auto" w:fill="FFFFFF"/>
        </w:rPr>
        <w:sectPr w:rsidR="00C449D7" w:rsidSect="002C4CC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E438F" w:rsidRDefault="00AE438F">
      <w:pPr>
        <w:spacing w:line="264" w:lineRule="auto"/>
        <w:rPr>
          <w:rFonts w:ascii="Arial" w:hAnsi="Arial" w:cs="Arial"/>
          <w:color w:val="4C4C4C"/>
          <w:sz w:val="20"/>
          <w:shd w:val="clear" w:color="auto" w:fill="FFFFFF"/>
        </w:rPr>
      </w:pPr>
    </w:p>
    <w:sectPr w:rsidR="00AE438F" w:rsidSect="00C449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56" w:rsidRDefault="00524A56" w:rsidP="00524A56">
      <w:pPr>
        <w:spacing w:after="0" w:line="240" w:lineRule="auto"/>
      </w:pPr>
      <w:r>
        <w:separator/>
      </w:r>
    </w:p>
  </w:endnote>
  <w:endnote w:type="continuationSeparator" w:id="0">
    <w:p w:rsidR="00524A56" w:rsidRDefault="00524A56" w:rsidP="005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56" w:rsidRDefault="00524A56" w:rsidP="00524A56">
      <w:pPr>
        <w:spacing w:after="0" w:line="240" w:lineRule="auto"/>
      </w:pPr>
      <w:r>
        <w:separator/>
      </w:r>
    </w:p>
  </w:footnote>
  <w:footnote w:type="continuationSeparator" w:id="0">
    <w:p w:rsidR="00524A56" w:rsidRDefault="00524A56" w:rsidP="0052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6D04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F27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07D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EED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96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0F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20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23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16F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62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4091"/>
    <w:multiLevelType w:val="hybridMultilevel"/>
    <w:tmpl w:val="03F2B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F4F57"/>
    <w:multiLevelType w:val="hybridMultilevel"/>
    <w:tmpl w:val="04EAD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7BE"/>
    <w:multiLevelType w:val="hybridMultilevel"/>
    <w:tmpl w:val="D1B221C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C141253"/>
    <w:multiLevelType w:val="multilevel"/>
    <w:tmpl w:val="715441A6"/>
    <w:lvl w:ilvl="0">
      <w:start w:val="1"/>
      <w:numFmt w:val="decimal"/>
      <w:pStyle w:val="Numbering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Bullet2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3">
      <w:start w:val="1"/>
      <w:numFmt w:val="lowerLetter"/>
      <w:pStyle w:val="Alpha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pStyle w:val="Roman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127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A9"/>
    <w:rsid w:val="00073953"/>
    <w:rsid w:val="0008082D"/>
    <w:rsid w:val="000876C6"/>
    <w:rsid w:val="00096CDD"/>
    <w:rsid w:val="000B2A2F"/>
    <w:rsid w:val="000F381A"/>
    <w:rsid w:val="0010272C"/>
    <w:rsid w:val="0019692A"/>
    <w:rsid w:val="001C70CC"/>
    <w:rsid w:val="00241DB1"/>
    <w:rsid w:val="00280FD3"/>
    <w:rsid w:val="00292D18"/>
    <w:rsid w:val="002C4CC1"/>
    <w:rsid w:val="002D36DA"/>
    <w:rsid w:val="002D735D"/>
    <w:rsid w:val="002E53A9"/>
    <w:rsid w:val="00302301"/>
    <w:rsid w:val="00336A9E"/>
    <w:rsid w:val="00380868"/>
    <w:rsid w:val="00425942"/>
    <w:rsid w:val="00431085"/>
    <w:rsid w:val="004631A8"/>
    <w:rsid w:val="00512970"/>
    <w:rsid w:val="00524A56"/>
    <w:rsid w:val="00565217"/>
    <w:rsid w:val="005763B6"/>
    <w:rsid w:val="0059700F"/>
    <w:rsid w:val="005C5E11"/>
    <w:rsid w:val="006619F7"/>
    <w:rsid w:val="00673F03"/>
    <w:rsid w:val="006809C5"/>
    <w:rsid w:val="00681735"/>
    <w:rsid w:val="0068782F"/>
    <w:rsid w:val="0069720D"/>
    <w:rsid w:val="006A2014"/>
    <w:rsid w:val="006C6CFA"/>
    <w:rsid w:val="0070101D"/>
    <w:rsid w:val="0076414B"/>
    <w:rsid w:val="00774152"/>
    <w:rsid w:val="007C079B"/>
    <w:rsid w:val="007D11E9"/>
    <w:rsid w:val="007F0002"/>
    <w:rsid w:val="007F15E3"/>
    <w:rsid w:val="008938D7"/>
    <w:rsid w:val="008F5401"/>
    <w:rsid w:val="0092416D"/>
    <w:rsid w:val="0093747A"/>
    <w:rsid w:val="00963089"/>
    <w:rsid w:val="00986653"/>
    <w:rsid w:val="009F019B"/>
    <w:rsid w:val="00A1074C"/>
    <w:rsid w:val="00A4148C"/>
    <w:rsid w:val="00A4484E"/>
    <w:rsid w:val="00A44DA7"/>
    <w:rsid w:val="00AE438F"/>
    <w:rsid w:val="00B10B6A"/>
    <w:rsid w:val="00B4214E"/>
    <w:rsid w:val="00C024DB"/>
    <w:rsid w:val="00C26B4C"/>
    <w:rsid w:val="00C449D7"/>
    <w:rsid w:val="00C8709C"/>
    <w:rsid w:val="00CA0DF8"/>
    <w:rsid w:val="00CE5D8E"/>
    <w:rsid w:val="00D6500C"/>
    <w:rsid w:val="00DC0A70"/>
    <w:rsid w:val="00DE2B8F"/>
    <w:rsid w:val="00E400C4"/>
    <w:rsid w:val="00E42532"/>
    <w:rsid w:val="00E80DD3"/>
    <w:rsid w:val="00EF197D"/>
    <w:rsid w:val="00F02061"/>
    <w:rsid w:val="00FC3824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3F8E53-7206-40E7-B616-28ECBF2E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7F15E3"/>
    <w:pPr>
      <w:spacing w:line="280" w:lineRule="atLeast"/>
    </w:pPr>
    <w:rPr>
      <w:rFonts w:ascii="Calibri" w:hAnsi="Calibri"/>
      <w:sz w:val="22"/>
    </w:rPr>
  </w:style>
  <w:style w:type="paragraph" w:styleId="Heading1">
    <w:name w:val="heading 1"/>
    <w:basedOn w:val="Normal"/>
    <w:next w:val="BodyText"/>
    <w:link w:val="Heading1Char"/>
    <w:qFormat/>
    <w:rsid w:val="007F0002"/>
    <w:pPr>
      <w:keepNext/>
      <w:keepLines/>
      <w:spacing w:before="320" w:line="300" w:lineRule="atLeast"/>
      <w:outlineLvl w:val="0"/>
    </w:pPr>
    <w:rPr>
      <w:rFonts w:eastAsiaTheme="majorEastAsia" w:cstheme="majorBidi"/>
      <w:b/>
      <w:sz w:val="28"/>
      <w:szCs w:val="30"/>
    </w:rPr>
  </w:style>
  <w:style w:type="paragraph" w:styleId="Heading2">
    <w:name w:val="heading 2"/>
    <w:basedOn w:val="Normal"/>
    <w:next w:val="BodyText"/>
    <w:link w:val="Heading2Char"/>
    <w:qFormat/>
    <w:rsid w:val="007C079B"/>
    <w:pPr>
      <w:keepNext/>
      <w:keepLines/>
      <w:spacing w:before="240" w:after="80" w:line="260" w:lineRule="atLeast"/>
      <w:outlineLvl w:val="1"/>
    </w:pPr>
    <w:rPr>
      <w:rFonts w:eastAsiaTheme="majorEastAsia" w:cstheme="majorBidi"/>
      <w:b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7C079B"/>
    <w:pPr>
      <w:keepNext/>
      <w:keepLines/>
      <w:spacing w:before="160" w:after="0" w:line="240" w:lineRule="atLeast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5E3"/>
    <w:rPr>
      <w:rFonts w:ascii="Calibri" w:eastAsiaTheme="majorEastAsia" w:hAnsi="Calibri" w:cstheme="majorBidi"/>
      <w:b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7F0002"/>
    <w:rPr>
      <w:rFonts w:ascii="Calibri" w:eastAsiaTheme="majorEastAsia" w:hAnsi="Calibri" w:cstheme="majorBidi"/>
      <w:b/>
      <w:sz w:val="28"/>
      <w:szCs w:val="3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641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F15E3"/>
    <w:rPr>
      <w:rFonts w:asciiTheme="majorHAnsi" w:eastAsiaTheme="majorEastAsia" w:hAnsiTheme="majorHAnsi" w:cstheme="majorBidi"/>
      <w:color w:val="ED7D31" w:themeColor="accent2"/>
      <w:spacing w:val="-10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414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15E3"/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809C5"/>
  </w:style>
  <w:style w:type="character" w:customStyle="1" w:styleId="BodyTextChar">
    <w:name w:val="Body Text Char"/>
    <w:basedOn w:val="DefaultParagraphFont"/>
    <w:link w:val="BodyText"/>
    <w:uiPriority w:val="1"/>
    <w:rsid w:val="007F15E3"/>
    <w:rPr>
      <w:rFonts w:ascii="Calibri" w:hAnsi="Calibri"/>
      <w:sz w:val="22"/>
    </w:rPr>
  </w:style>
  <w:style w:type="paragraph" w:customStyle="1" w:styleId="Indent1">
    <w:name w:val="Indent 1"/>
    <w:basedOn w:val="Normal"/>
    <w:uiPriority w:val="7"/>
    <w:qFormat/>
    <w:rsid w:val="002D735D"/>
    <w:pPr>
      <w:ind w:left="425"/>
    </w:pPr>
  </w:style>
  <w:style w:type="character" w:customStyle="1" w:styleId="Heading3Char">
    <w:name w:val="Heading 3 Char"/>
    <w:basedOn w:val="DefaultParagraphFont"/>
    <w:link w:val="Heading3"/>
    <w:rsid w:val="007F15E3"/>
    <w:rPr>
      <w:rFonts w:ascii="Calibri" w:eastAsiaTheme="majorEastAsia" w:hAnsi="Calibri" w:cstheme="majorBidi"/>
      <w:b/>
      <w:sz w:val="22"/>
      <w:szCs w:val="24"/>
    </w:rPr>
  </w:style>
  <w:style w:type="paragraph" w:customStyle="1" w:styleId="Numbering">
    <w:name w:val="Numbering"/>
    <w:basedOn w:val="Normal"/>
    <w:uiPriority w:val="2"/>
    <w:qFormat/>
    <w:rsid w:val="007C079B"/>
    <w:pPr>
      <w:numPr>
        <w:numId w:val="11"/>
      </w:numPr>
    </w:pPr>
  </w:style>
  <w:style w:type="paragraph" w:customStyle="1" w:styleId="Bullet1">
    <w:name w:val="Bullet 1"/>
    <w:basedOn w:val="Normal"/>
    <w:uiPriority w:val="3"/>
    <w:qFormat/>
    <w:rsid w:val="00512970"/>
    <w:pPr>
      <w:numPr>
        <w:ilvl w:val="1"/>
        <w:numId w:val="11"/>
      </w:numPr>
    </w:pPr>
  </w:style>
  <w:style w:type="paragraph" w:customStyle="1" w:styleId="Bullet2">
    <w:name w:val="Bullet 2"/>
    <w:basedOn w:val="Normal"/>
    <w:uiPriority w:val="4"/>
    <w:qFormat/>
    <w:rsid w:val="00512970"/>
    <w:pPr>
      <w:numPr>
        <w:ilvl w:val="2"/>
        <w:numId w:val="11"/>
      </w:numPr>
    </w:pPr>
  </w:style>
  <w:style w:type="paragraph" w:customStyle="1" w:styleId="Alpha">
    <w:name w:val="Alpha"/>
    <w:basedOn w:val="Normal"/>
    <w:uiPriority w:val="5"/>
    <w:qFormat/>
    <w:rsid w:val="00512970"/>
    <w:pPr>
      <w:numPr>
        <w:ilvl w:val="3"/>
        <w:numId w:val="11"/>
      </w:numPr>
    </w:pPr>
  </w:style>
  <w:style w:type="paragraph" w:customStyle="1" w:styleId="Roman">
    <w:name w:val="Roman"/>
    <w:basedOn w:val="Normal"/>
    <w:uiPriority w:val="6"/>
    <w:qFormat/>
    <w:rsid w:val="00512970"/>
    <w:pPr>
      <w:numPr>
        <w:ilvl w:val="4"/>
        <w:numId w:val="11"/>
      </w:numPr>
    </w:pPr>
  </w:style>
  <w:style w:type="paragraph" w:customStyle="1" w:styleId="Indent2">
    <w:name w:val="Indent 2"/>
    <w:basedOn w:val="Normal"/>
    <w:uiPriority w:val="7"/>
    <w:qFormat/>
    <w:rsid w:val="00512970"/>
    <w:pPr>
      <w:ind w:left="851"/>
    </w:pPr>
  </w:style>
  <w:style w:type="paragraph" w:customStyle="1" w:styleId="Indent3">
    <w:name w:val="Indent 3"/>
    <w:basedOn w:val="Normal"/>
    <w:uiPriority w:val="7"/>
    <w:qFormat/>
    <w:rsid w:val="00C024DB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7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56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2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5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\Documents\Custom%20Office%20Templates\FSC%20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 General</Template>
  <TotalTime>104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36</cp:revision>
  <cp:lastPrinted>2014-05-06T03:29:00Z</cp:lastPrinted>
  <dcterms:created xsi:type="dcterms:W3CDTF">2014-05-06T00:37:00Z</dcterms:created>
  <dcterms:modified xsi:type="dcterms:W3CDTF">2014-05-06T03:34:00Z</dcterms:modified>
</cp:coreProperties>
</file>