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5D" w:rsidRPr="005B59F8" w:rsidRDefault="00B60E5D" w:rsidP="00C3622A">
      <w:pPr>
        <w:pStyle w:val="Heading3"/>
        <w:jc w:val="both"/>
        <w:rPr>
          <w:rFonts w:ascii="Segoe UI" w:hAnsi="Segoe UI" w:cs="Segoe UI"/>
          <w:sz w:val="20"/>
          <w:szCs w:val="20"/>
        </w:rPr>
      </w:pPr>
      <w:r w:rsidRPr="0088688B">
        <w:rPr>
          <w:rFonts w:ascii="Calibri" w:hAnsi="Calibri"/>
          <w:szCs w:val="28"/>
        </w:rPr>
        <w:t xml:space="preserve">Media </w:t>
      </w:r>
      <w:r w:rsidRPr="005B59F8">
        <w:rPr>
          <w:rFonts w:asciiTheme="minorHAnsi" w:hAnsiTheme="minorHAnsi" w:cstheme="minorHAnsi"/>
          <w:szCs w:val="28"/>
        </w:rPr>
        <w:t>release</w:t>
      </w:r>
    </w:p>
    <w:p w:rsidR="00B60E5D" w:rsidRPr="005B59F8" w:rsidRDefault="006E77EE" w:rsidP="0088688B">
      <w:pPr>
        <w:jc w:val="both"/>
        <w:rPr>
          <w:rFonts w:ascii="Segoe UI" w:hAnsi="Segoe UI" w:cs="Segoe UI"/>
          <w:sz w:val="20"/>
          <w:szCs w:val="20"/>
        </w:rPr>
      </w:pPr>
      <w:r w:rsidRPr="005B59F8">
        <w:rPr>
          <w:rFonts w:ascii="Segoe UI" w:hAnsi="Segoe UI" w:cs="Segoe UI"/>
          <w:sz w:val="20"/>
          <w:szCs w:val="20"/>
        </w:rPr>
        <w:t>10 February</w:t>
      </w:r>
    </w:p>
    <w:p w:rsidR="00C92EF3" w:rsidRPr="005B59F8" w:rsidRDefault="00787C8D" w:rsidP="008C0C0F">
      <w:pPr>
        <w:spacing w:after="0" w:line="240" w:lineRule="auto"/>
        <w:rPr>
          <w:rFonts w:ascii="Segoe UI" w:hAnsi="Segoe UI" w:cs="Segoe UI"/>
          <w:b/>
          <w:sz w:val="20"/>
          <w:szCs w:val="20"/>
        </w:rPr>
      </w:pPr>
      <w:r>
        <w:rPr>
          <w:rFonts w:ascii="Segoe UI" w:hAnsi="Segoe UI" w:cs="Segoe UI"/>
          <w:b/>
          <w:sz w:val="20"/>
          <w:szCs w:val="20"/>
        </w:rPr>
        <w:t>Property value growth rate slows</w:t>
      </w:r>
    </w:p>
    <w:p w:rsidR="00D16219" w:rsidRPr="005B59F8" w:rsidRDefault="00D16219" w:rsidP="008C0C0F">
      <w:pPr>
        <w:spacing w:after="0" w:line="240" w:lineRule="auto"/>
        <w:rPr>
          <w:rFonts w:ascii="Segoe UI" w:hAnsi="Segoe UI" w:cs="Segoe UI"/>
          <w:b/>
          <w:sz w:val="20"/>
          <w:szCs w:val="20"/>
        </w:rPr>
      </w:pPr>
    </w:p>
    <w:p w:rsidR="00DD0840" w:rsidRPr="005B59F8" w:rsidRDefault="002111DB" w:rsidP="008C0C0F">
      <w:pPr>
        <w:spacing w:after="0" w:line="240" w:lineRule="auto"/>
        <w:rPr>
          <w:rFonts w:ascii="Segoe UI" w:hAnsi="Segoe UI" w:cs="Segoe UI"/>
          <w:sz w:val="20"/>
          <w:szCs w:val="20"/>
        </w:rPr>
      </w:pPr>
      <w:r w:rsidRPr="005B59F8">
        <w:rPr>
          <w:rFonts w:ascii="Segoe UI" w:hAnsi="Segoe UI" w:cs="Segoe UI"/>
          <w:sz w:val="20"/>
          <w:szCs w:val="20"/>
        </w:rPr>
        <w:t>The latest monthly property value index shows that nationwide residential valu</w:t>
      </w:r>
      <w:r w:rsidR="00F51D7D" w:rsidRPr="005B59F8">
        <w:rPr>
          <w:rFonts w:ascii="Segoe UI" w:hAnsi="Segoe UI" w:cs="Segoe UI"/>
          <w:sz w:val="20"/>
          <w:szCs w:val="20"/>
        </w:rPr>
        <w:t>es</w:t>
      </w:r>
      <w:r w:rsidR="00C92EF3" w:rsidRPr="005B59F8">
        <w:rPr>
          <w:rFonts w:ascii="Segoe UI" w:hAnsi="Segoe UI" w:cs="Segoe UI"/>
          <w:sz w:val="20"/>
          <w:szCs w:val="20"/>
        </w:rPr>
        <w:t xml:space="preserve"> </w:t>
      </w:r>
      <w:r w:rsidR="007E09F8" w:rsidRPr="005B59F8">
        <w:rPr>
          <w:rFonts w:ascii="Segoe UI" w:hAnsi="Segoe UI" w:cs="Segoe UI"/>
          <w:sz w:val="20"/>
          <w:szCs w:val="20"/>
        </w:rPr>
        <w:t xml:space="preserve">for </w:t>
      </w:r>
      <w:r w:rsidR="006E77EE" w:rsidRPr="005B59F8">
        <w:rPr>
          <w:rFonts w:ascii="Segoe UI" w:hAnsi="Segoe UI" w:cs="Segoe UI"/>
          <w:sz w:val="20"/>
          <w:szCs w:val="20"/>
        </w:rPr>
        <w:t>January</w:t>
      </w:r>
      <w:r w:rsidR="007E09F8" w:rsidRPr="005B59F8">
        <w:rPr>
          <w:rFonts w:ascii="Segoe UI" w:hAnsi="Segoe UI" w:cs="Segoe UI"/>
          <w:sz w:val="20"/>
          <w:szCs w:val="20"/>
        </w:rPr>
        <w:t xml:space="preserve"> </w:t>
      </w:r>
      <w:r w:rsidR="008D5330" w:rsidRPr="005B59F8">
        <w:rPr>
          <w:rFonts w:ascii="Segoe UI" w:hAnsi="Segoe UI" w:cs="Segoe UI"/>
          <w:sz w:val="20"/>
          <w:szCs w:val="20"/>
        </w:rPr>
        <w:t xml:space="preserve">have increased </w:t>
      </w:r>
      <w:r w:rsidR="003D03DB">
        <w:rPr>
          <w:rFonts w:ascii="Segoe UI" w:hAnsi="Segoe UI" w:cs="Segoe UI"/>
          <w:sz w:val="20"/>
          <w:szCs w:val="20"/>
        </w:rPr>
        <w:t>9.6%</w:t>
      </w:r>
      <w:r w:rsidR="008D5330" w:rsidRPr="005B59F8">
        <w:rPr>
          <w:rFonts w:ascii="Segoe UI" w:hAnsi="Segoe UI" w:cs="Segoe UI"/>
          <w:sz w:val="20"/>
          <w:szCs w:val="20"/>
        </w:rPr>
        <w:t xml:space="preserve"> over the past year, and </w:t>
      </w:r>
      <w:r w:rsidR="003D03DB">
        <w:rPr>
          <w:rFonts w:ascii="Segoe UI" w:hAnsi="Segoe UI" w:cs="Segoe UI"/>
          <w:sz w:val="20"/>
          <w:szCs w:val="20"/>
        </w:rPr>
        <w:t>2.2</w:t>
      </w:r>
      <w:r w:rsidR="003D2062" w:rsidRPr="005B59F8">
        <w:rPr>
          <w:rFonts w:ascii="Segoe UI" w:hAnsi="Segoe UI" w:cs="Segoe UI"/>
          <w:sz w:val="20"/>
          <w:szCs w:val="20"/>
        </w:rPr>
        <w:t xml:space="preserve"> over the past three months</w:t>
      </w:r>
      <w:r w:rsidR="008D5330" w:rsidRPr="005B59F8">
        <w:rPr>
          <w:rFonts w:ascii="Segoe UI" w:hAnsi="Segoe UI" w:cs="Segoe UI"/>
          <w:sz w:val="20"/>
          <w:szCs w:val="20"/>
        </w:rPr>
        <w:t>.  This means they are</w:t>
      </w:r>
      <w:r w:rsidR="00D16219" w:rsidRPr="005B59F8">
        <w:rPr>
          <w:rFonts w:ascii="Segoe UI" w:hAnsi="Segoe UI" w:cs="Segoe UI"/>
          <w:sz w:val="20"/>
          <w:szCs w:val="20"/>
        </w:rPr>
        <w:t xml:space="preserve"> now </w:t>
      </w:r>
      <w:r w:rsidR="003D03DB">
        <w:rPr>
          <w:rFonts w:ascii="Segoe UI" w:hAnsi="Segoe UI" w:cs="Segoe UI"/>
          <w:sz w:val="20"/>
          <w:szCs w:val="20"/>
        </w:rPr>
        <w:t>12.8%</w:t>
      </w:r>
      <w:r w:rsidR="00DD0840" w:rsidRPr="005B59F8">
        <w:rPr>
          <w:rFonts w:ascii="Segoe UI" w:hAnsi="Segoe UI" w:cs="Segoe UI"/>
          <w:sz w:val="20"/>
          <w:szCs w:val="20"/>
        </w:rPr>
        <w:t xml:space="preserve"> </w:t>
      </w:r>
      <w:r w:rsidR="00D16219" w:rsidRPr="005B59F8">
        <w:rPr>
          <w:rFonts w:ascii="Segoe UI" w:hAnsi="Segoe UI" w:cs="Segoe UI"/>
          <w:sz w:val="20"/>
          <w:szCs w:val="20"/>
        </w:rPr>
        <w:t>above</w:t>
      </w:r>
      <w:r w:rsidR="00DD0840" w:rsidRPr="005B59F8">
        <w:rPr>
          <w:rFonts w:ascii="Segoe UI" w:hAnsi="Segoe UI" w:cs="Segoe UI"/>
          <w:sz w:val="20"/>
          <w:szCs w:val="20"/>
        </w:rPr>
        <w:t xml:space="preserve"> the previous market peak of late 2007</w:t>
      </w:r>
      <w:r w:rsidR="00542AB2" w:rsidRPr="005B59F8">
        <w:rPr>
          <w:rFonts w:ascii="Segoe UI" w:hAnsi="Segoe UI" w:cs="Segoe UI"/>
          <w:sz w:val="20"/>
          <w:szCs w:val="20"/>
        </w:rPr>
        <w:t>. When adjusted for inflation the</w:t>
      </w:r>
      <w:r w:rsidR="00D16219" w:rsidRPr="005B59F8">
        <w:rPr>
          <w:rFonts w:ascii="Segoe UI" w:hAnsi="Segoe UI" w:cs="Segoe UI"/>
          <w:sz w:val="20"/>
          <w:szCs w:val="20"/>
        </w:rPr>
        <w:t xml:space="preserve"> nationwide </w:t>
      </w:r>
      <w:r w:rsidR="00542AB2" w:rsidRPr="005B59F8">
        <w:rPr>
          <w:rFonts w:ascii="Segoe UI" w:hAnsi="Segoe UI" w:cs="Segoe UI"/>
          <w:sz w:val="20"/>
          <w:szCs w:val="20"/>
        </w:rPr>
        <w:t xml:space="preserve">annual increase drops </w:t>
      </w:r>
      <w:r w:rsidR="00787C8D">
        <w:rPr>
          <w:rFonts w:ascii="Segoe UI" w:hAnsi="Segoe UI" w:cs="Segoe UI"/>
          <w:sz w:val="20"/>
          <w:szCs w:val="20"/>
        </w:rPr>
        <w:t>slightly to 7.9</w:t>
      </w:r>
      <w:r w:rsidR="001C69AD" w:rsidRPr="005B59F8">
        <w:rPr>
          <w:rFonts w:ascii="Segoe UI" w:hAnsi="Segoe UI" w:cs="Segoe UI"/>
          <w:sz w:val="20"/>
          <w:szCs w:val="20"/>
        </w:rPr>
        <w:t>%</w:t>
      </w:r>
      <w:r w:rsidR="00926115" w:rsidRPr="005B59F8">
        <w:rPr>
          <w:rFonts w:ascii="Segoe UI" w:hAnsi="Segoe UI" w:cs="Segoe UI"/>
          <w:sz w:val="20"/>
          <w:szCs w:val="20"/>
        </w:rPr>
        <w:t xml:space="preserve"> </w:t>
      </w:r>
      <w:r w:rsidR="00542AB2" w:rsidRPr="005B59F8">
        <w:rPr>
          <w:rFonts w:ascii="Segoe UI" w:hAnsi="Segoe UI" w:cs="Segoe UI"/>
          <w:sz w:val="20"/>
          <w:szCs w:val="20"/>
        </w:rPr>
        <w:t>and values r</w:t>
      </w:r>
      <w:r w:rsidR="00614443" w:rsidRPr="005B59F8">
        <w:rPr>
          <w:rFonts w:ascii="Segoe UI" w:hAnsi="Segoe UI" w:cs="Segoe UI"/>
          <w:sz w:val="20"/>
          <w:szCs w:val="20"/>
        </w:rPr>
        <w:t xml:space="preserve">emain below the 2007 peak by </w:t>
      </w:r>
      <w:r w:rsidR="00787C8D">
        <w:rPr>
          <w:rFonts w:ascii="Segoe UI" w:hAnsi="Segoe UI" w:cs="Segoe UI"/>
          <w:sz w:val="20"/>
          <w:szCs w:val="20"/>
        </w:rPr>
        <w:t>2.8</w:t>
      </w:r>
      <w:r w:rsidR="00542AB2" w:rsidRPr="005B59F8">
        <w:rPr>
          <w:rFonts w:ascii="Segoe UI" w:hAnsi="Segoe UI" w:cs="Segoe UI"/>
          <w:sz w:val="20"/>
          <w:szCs w:val="20"/>
        </w:rPr>
        <w:t>%.</w:t>
      </w:r>
    </w:p>
    <w:p w:rsidR="00542AB2" w:rsidRPr="005B59F8" w:rsidRDefault="00542AB2" w:rsidP="008C0C0F">
      <w:pPr>
        <w:spacing w:after="0" w:line="240" w:lineRule="auto"/>
        <w:rPr>
          <w:rFonts w:ascii="Segoe UI" w:hAnsi="Segoe UI" w:cs="Segoe UI"/>
          <w:sz w:val="20"/>
          <w:szCs w:val="20"/>
        </w:rPr>
      </w:pPr>
    </w:p>
    <w:p w:rsidR="00542AB2" w:rsidRPr="005B59F8" w:rsidRDefault="00542AB2" w:rsidP="008C0C0F">
      <w:pPr>
        <w:spacing w:after="0" w:line="240" w:lineRule="auto"/>
        <w:rPr>
          <w:rFonts w:ascii="Segoe UI" w:hAnsi="Segoe UI" w:cs="Segoe UI"/>
          <w:sz w:val="20"/>
          <w:szCs w:val="20"/>
        </w:rPr>
      </w:pPr>
      <w:r w:rsidRPr="005B59F8">
        <w:rPr>
          <w:rFonts w:ascii="Segoe UI" w:hAnsi="Segoe UI" w:cs="Segoe UI"/>
          <w:sz w:val="20"/>
          <w:szCs w:val="20"/>
        </w:rPr>
        <w:t xml:space="preserve">The Auckland market has increased </w:t>
      </w:r>
      <w:r w:rsidR="003D03DB">
        <w:rPr>
          <w:rFonts w:ascii="Segoe UI" w:hAnsi="Segoe UI" w:cs="Segoe UI"/>
          <w:sz w:val="20"/>
          <w:szCs w:val="20"/>
        </w:rPr>
        <w:t>14.5%</w:t>
      </w:r>
      <w:r w:rsidRPr="005B59F8">
        <w:rPr>
          <w:rFonts w:ascii="Segoe UI" w:hAnsi="Segoe UI" w:cs="Segoe UI"/>
          <w:sz w:val="20"/>
          <w:szCs w:val="20"/>
        </w:rPr>
        <w:t xml:space="preserve"> year on year </w:t>
      </w:r>
      <w:r w:rsidR="008D5330" w:rsidRPr="005B59F8">
        <w:rPr>
          <w:rFonts w:ascii="Segoe UI" w:hAnsi="Segoe UI" w:cs="Segoe UI"/>
          <w:sz w:val="20"/>
          <w:szCs w:val="20"/>
        </w:rPr>
        <w:t xml:space="preserve">and </w:t>
      </w:r>
      <w:r w:rsidR="003D03DB">
        <w:rPr>
          <w:rFonts w:ascii="Segoe UI" w:hAnsi="Segoe UI" w:cs="Segoe UI"/>
          <w:sz w:val="20"/>
          <w:szCs w:val="20"/>
        </w:rPr>
        <w:t>values are 27.2%</w:t>
      </w:r>
      <w:r w:rsidR="003D03DB" w:rsidRPr="005B59F8">
        <w:rPr>
          <w:rFonts w:ascii="Segoe UI" w:hAnsi="Segoe UI" w:cs="Segoe UI"/>
          <w:sz w:val="20"/>
          <w:szCs w:val="20"/>
        </w:rPr>
        <w:t xml:space="preserve"> </w:t>
      </w:r>
      <w:r w:rsidRPr="005B59F8">
        <w:rPr>
          <w:rFonts w:ascii="Segoe UI" w:hAnsi="Segoe UI" w:cs="Segoe UI"/>
          <w:sz w:val="20"/>
          <w:szCs w:val="20"/>
        </w:rPr>
        <w:t xml:space="preserve">above the previous peak. </w:t>
      </w:r>
      <w:r w:rsidR="008D5330" w:rsidRPr="005B59F8">
        <w:rPr>
          <w:rFonts w:ascii="Segoe UI" w:hAnsi="Segoe UI" w:cs="Segoe UI"/>
          <w:sz w:val="20"/>
          <w:szCs w:val="20"/>
        </w:rPr>
        <w:t xml:space="preserve"> </w:t>
      </w:r>
      <w:r w:rsidRPr="005B59F8">
        <w:rPr>
          <w:rFonts w:ascii="Segoe UI" w:hAnsi="Segoe UI" w:cs="Segoe UI"/>
          <w:sz w:val="20"/>
          <w:szCs w:val="20"/>
        </w:rPr>
        <w:t xml:space="preserve">When adjusted for inflation values are up </w:t>
      </w:r>
      <w:r w:rsidR="00787C8D">
        <w:rPr>
          <w:rFonts w:ascii="Segoe UI" w:hAnsi="Segoe UI" w:cs="Segoe UI"/>
          <w:sz w:val="20"/>
          <w:szCs w:val="20"/>
        </w:rPr>
        <w:t>12.6</w:t>
      </w:r>
      <w:r w:rsidRPr="005B59F8">
        <w:rPr>
          <w:rFonts w:ascii="Segoe UI" w:hAnsi="Segoe UI" w:cs="Segoe UI"/>
          <w:sz w:val="20"/>
          <w:szCs w:val="20"/>
        </w:rPr>
        <w:t>% over the past year and are</w:t>
      </w:r>
      <w:r w:rsidR="00D16219" w:rsidRPr="005B59F8">
        <w:rPr>
          <w:rFonts w:ascii="Segoe UI" w:hAnsi="Segoe UI" w:cs="Segoe UI"/>
          <w:sz w:val="20"/>
          <w:szCs w:val="20"/>
        </w:rPr>
        <w:t xml:space="preserve"> </w:t>
      </w:r>
      <w:r w:rsidR="00787C8D">
        <w:rPr>
          <w:rFonts w:ascii="Segoe UI" w:hAnsi="Segoe UI" w:cs="Segoe UI"/>
          <w:sz w:val="20"/>
          <w:szCs w:val="20"/>
        </w:rPr>
        <w:t>9.6</w:t>
      </w:r>
      <w:r w:rsidRPr="005B59F8">
        <w:rPr>
          <w:rFonts w:ascii="Segoe UI" w:hAnsi="Segoe UI" w:cs="Segoe UI"/>
          <w:sz w:val="20"/>
          <w:szCs w:val="20"/>
        </w:rPr>
        <w:t>% above the 2007 peak.</w:t>
      </w:r>
    </w:p>
    <w:p w:rsidR="00B60E5D" w:rsidRPr="005B59F8" w:rsidRDefault="00B60E5D" w:rsidP="007537D5">
      <w:pPr>
        <w:spacing w:after="0" w:line="240" w:lineRule="auto"/>
        <w:rPr>
          <w:rFonts w:ascii="Segoe UI" w:hAnsi="Segoe UI" w:cs="Segoe UI"/>
          <w:noProof/>
          <w:sz w:val="20"/>
          <w:szCs w:val="20"/>
          <w:lang w:eastAsia="en-NZ"/>
        </w:rPr>
      </w:pPr>
    </w:p>
    <w:p w:rsidR="00F51D7D" w:rsidRPr="005B59F8" w:rsidRDefault="00926115" w:rsidP="007537D5">
      <w:pPr>
        <w:spacing w:after="0" w:line="240" w:lineRule="auto"/>
        <w:rPr>
          <w:rFonts w:ascii="Segoe UI" w:hAnsi="Segoe UI" w:cs="Segoe UI"/>
          <w:sz w:val="20"/>
          <w:szCs w:val="20"/>
        </w:rPr>
      </w:pPr>
      <w:r w:rsidRPr="005B59F8">
        <w:rPr>
          <w:rFonts w:ascii="Segoe UI" w:hAnsi="Segoe UI" w:cs="Segoe UI"/>
          <w:noProof/>
          <w:sz w:val="20"/>
          <w:szCs w:val="20"/>
          <w:lang w:val="en-US"/>
        </w:rPr>
        <w:drawing>
          <wp:inline distT="0" distB="0" distL="0" distR="0">
            <wp:extent cx="5196417" cy="4445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7A4B" w:rsidRPr="005B59F8" w:rsidRDefault="00717A4B" w:rsidP="007537D5">
      <w:pPr>
        <w:spacing w:after="0" w:line="240" w:lineRule="auto"/>
        <w:rPr>
          <w:rFonts w:ascii="Segoe UI" w:hAnsi="Segoe UI" w:cs="Segoe UI"/>
          <w:sz w:val="20"/>
          <w:szCs w:val="20"/>
        </w:rPr>
      </w:pPr>
    </w:p>
    <w:p w:rsidR="00016F6A" w:rsidRPr="005B59F8" w:rsidRDefault="00447315" w:rsidP="00FD6A6F">
      <w:pPr>
        <w:pStyle w:val="NoSpacing"/>
        <w:rPr>
          <w:rFonts w:ascii="Segoe UI" w:hAnsi="Segoe UI" w:cs="Segoe UI"/>
          <w:sz w:val="20"/>
          <w:szCs w:val="20"/>
        </w:rPr>
      </w:pPr>
      <w:proofErr w:type="spellStart"/>
      <w:r w:rsidRPr="005B59F8">
        <w:rPr>
          <w:rFonts w:ascii="Segoe UI" w:hAnsi="Segoe UI" w:cs="Segoe UI"/>
          <w:sz w:val="20"/>
          <w:szCs w:val="20"/>
        </w:rPr>
        <w:t>Jonno</w:t>
      </w:r>
      <w:proofErr w:type="spellEnd"/>
      <w:r w:rsidRPr="005B59F8">
        <w:rPr>
          <w:rFonts w:ascii="Segoe UI" w:hAnsi="Segoe UI" w:cs="Segoe UI"/>
          <w:sz w:val="20"/>
          <w:szCs w:val="20"/>
        </w:rPr>
        <w:t xml:space="preserve"> </w:t>
      </w:r>
      <w:proofErr w:type="spellStart"/>
      <w:r w:rsidRPr="005B59F8">
        <w:rPr>
          <w:rFonts w:ascii="Segoe UI" w:hAnsi="Segoe UI" w:cs="Segoe UI"/>
          <w:sz w:val="20"/>
          <w:szCs w:val="20"/>
        </w:rPr>
        <w:t>Ingerson</w:t>
      </w:r>
      <w:proofErr w:type="spellEnd"/>
      <w:r w:rsidR="0067130F" w:rsidRPr="005B59F8">
        <w:rPr>
          <w:rFonts w:ascii="Segoe UI" w:hAnsi="Segoe UI" w:cs="Segoe UI"/>
          <w:sz w:val="20"/>
          <w:szCs w:val="20"/>
        </w:rPr>
        <w:t xml:space="preserve">, </w:t>
      </w:r>
      <w:r w:rsidRPr="005B59F8">
        <w:rPr>
          <w:rFonts w:ascii="Segoe UI" w:hAnsi="Segoe UI" w:cs="Segoe UI"/>
          <w:sz w:val="20"/>
          <w:szCs w:val="20"/>
        </w:rPr>
        <w:t>Q</w:t>
      </w:r>
      <w:r w:rsidR="0067130F" w:rsidRPr="005B59F8">
        <w:rPr>
          <w:rFonts w:ascii="Segoe UI" w:hAnsi="Segoe UI" w:cs="Segoe UI"/>
          <w:sz w:val="20"/>
          <w:szCs w:val="20"/>
        </w:rPr>
        <w:t>V</w:t>
      </w:r>
      <w:r w:rsidRPr="005B59F8">
        <w:rPr>
          <w:rFonts w:ascii="Segoe UI" w:hAnsi="Segoe UI" w:cs="Segoe UI"/>
          <w:sz w:val="20"/>
          <w:szCs w:val="20"/>
        </w:rPr>
        <w:t>.co.nz Research Directo</w:t>
      </w:r>
      <w:r w:rsidR="0067130F" w:rsidRPr="005B59F8">
        <w:rPr>
          <w:rFonts w:ascii="Segoe UI" w:hAnsi="Segoe UI" w:cs="Segoe UI"/>
          <w:sz w:val="20"/>
          <w:szCs w:val="20"/>
        </w:rPr>
        <w:t>r said</w:t>
      </w:r>
      <w:r w:rsidR="006965AD" w:rsidRPr="005B59F8">
        <w:rPr>
          <w:rFonts w:ascii="Segoe UI" w:hAnsi="Segoe UI" w:cs="Segoe UI"/>
          <w:sz w:val="20"/>
          <w:szCs w:val="20"/>
        </w:rPr>
        <w:t xml:space="preserve"> </w:t>
      </w:r>
      <w:r w:rsidR="00CD62BB" w:rsidRPr="005B59F8">
        <w:rPr>
          <w:rFonts w:ascii="Segoe UI" w:hAnsi="Segoe UI" w:cs="Segoe UI"/>
          <w:sz w:val="20"/>
          <w:szCs w:val="20"/>
        </w:rPr>
        <w:t>“</w:t>
      </w:r>
      <w:r w:rsidR="002D0C36">
        <w:rPr>
          <w:rFonts w:ascii="Segoe UI" w:hAnsi="Segoe UI" w:cs="Segoe UI"/>
          <w:sz w:val="20"/>
          <w:szCs w:val="20"/>
        </w:rPr>
        <w:t>P</w:t>
      </w:r>
      <w:r w:rsidR="00CB5041">
        <w:rPr>
          <w:rFonts w:ascii="Segoe UI" w:hAnsi="Segoe UI" w:cs="Segoe UI"/>
          <w:sz w:val="20"/>
          <w:szCs w:val="20"/>
        </w:rPr>
        <w:t xml:space="preserve">roperty value growth has slowed down in the first month of the year. The January index shows that nationwide values increased 0.3% compared to December, while a month earlier the increase was 1.3%. </w:t>
      </w:r>
      <w:r w:rsidR="009936B3">
        <w:rPr>
          <w:rFonts w:ascii="Segoe UI" w:hAnsi="Segoe UI" w:cs="Segoe UI"/>
          <w:sz w:val="20"/>
          <w:szCs w:val="20"/>
        </w:rPr>
        <w:t>So while values are still increasing the rate of this increase has slowed considerably.</w:t>
      </w:r>
      <w:r w:rsidR="00AF61C2" w:rsidRPr="005B59F8">
        <w:rPr>
          <w:rFonts w:ascii="Segoe UI" w:hAnsi="Segoe UI" w:cs="Segoe UI"/>
          <w:sz w:val="20"/>
          <w:szCs w:val="20"/>
        </w:rPr>
        <w:t>"</w:t>
      </w:r>
    </w:p>
    <w:p w:rsidR="007C3677" w:rsidRPr="005B59F8" w:rsidRDefault="007C3677" w:rsidP="00FD6A6F">
      <w:pPr>
        <w:pStyle w:val="NoSpacing"/>
        <w:rPr>
          <w:rFonts w:ascii="Segoe UI" w:hAnsi="Segoe UI" w:cs="Segoe UI"/>
          <w:sz w:val="20"/>
          <w:szCs w:val="20"/>
        </w:rPr>
      </w:pPr>
    </w:p>
    <w:p w:rsidR="007C3677" w:rsidRPr="005B59F8" w:rsidRDefault="008F7637" w:rsidP="00FD6A6F">
      <w:pPr>
        <w:pStyle w:val="NoSpacing"/>
        <w:rPr>
          <w:rFonts w:ascii="Segoe UI" w:hAnsi="Segoe UI" w:cs="Segoe UI"/>
          <w:sz w:val="20"/>
          <w:szCs w:val="20"/>
        </w:rPr>
      </w:pPr>
      <w:r w:rsidRPr="005B59F8">
        <w:rPr>
          <w:rFonts w:ascii="Segoe UI" w:hAnsi="Segoe UI" w:cs="Segoe UI"/>
          <w:sz w:val="20"/>
          <w:szCs w:val="20"/>
        </w:rPr>
        <w:t>"</w:t>
      </w:r>
      <w:r w:rsidR="009936B3">
        <w:rPr>
          <w:rFonts w:ascii="Segoe UI" w:hAnsi="Segoe UI" w:cs="Segoe UI"/>
          <w:sz w:val="20"/>
          <w:szCs w:val="20"/>
        </w:rPr>
        <w:t xml:space="preserve">This pattern of slowing value increases is evident across Auckland also. In most parts of central Auckland the January index shows a slight decrease in values in the last month, while across wider Auckland the rate of growth slowed. Most of the other main centres have also slowed considerably </w:t>
      </w:r>
      <w:r w:rsidR="00FE7247">
        <w:rPr>
          <w:rFonts w:ascii="Segoe UI" w:hAnsi="Segoe UI" w:cs="Segoe UI"/>
          <w:sz w:val="20"/>
          <w:szCs w:val="20"/>
        </w:rPr>
        <w:t>to the point where values were either flat or slightl</w:t>
      </w:r>
      <w:r w:rsidR="002D0C36">
        <w:rPr>
          <w:rFonts w:ascii="Segoe UI" w:hAnsi="Segoe UI" w:cs="Segoe UI"/>
          <w:sz w:val="20"/>
          <w:szCs w:val="20"/>
        </w:rPr>
        <w:t>y decreased in the past month."</w:t>
      </w:r>
    </w:p>
    <w:p w:rsidR="008F7637" w:rsidRPr="005B59F8" w:rsidRDefault="008F7637" w:rsidP="00FD6A6F">
      <w:pPr>
        <w:pStyle w:val="NoSpacing"/>
        <w:rPr>
          <w:rFonts w:ascii="Segoe UI" w:hAnsi="Segoe UI" w:cs="Segoe UI"/>
          <w:sz w:val="20"/>
          <w:szCs w:val="20"/>
        </w:rPr>
      </w:pPr>
    </w:p>
    <w:p w:rsidR="008F7637" w:rsidRDefault="008F7637" w:rsidP="00FD6A6F">
      <w:pPr>
        <w:pStyle w:val="NoSpacing"/>
        <w:rPr>
          <w:rFonts w:ascii="Segoe UI" w:hAnsi="Segoe UI" w:cs="Segoe UI"/>
          <w:sz w:val="20"/>
          <w:szCs w:val="20"/>
        </w:rPr>
      </w:pPr>
      <w:r w:rsidRPr="005B59F8">
        <w:rPr>
          <w:rFonts w:ascii="Segoe UI" w:hAnsi="Segoe UI" w:cs="Segoe UI"/>
          <w:sz w:val="20"/>
          <w:szCs w:val="20"/>
        </w:rPr>
        <w:lastRenderedPageBreak/>
        <w:t>"</w:t>
      </w:r>
      <w:r w:rsidR="00FE7247">
        <w:rPr>
          <w:rFonts w:ascii="Segoe UI" w:hAnsi="Segoe UI" w:cs="Segoe UI"/>
          <w:sz w:val="20"/>
          <w:szCs w:val="20"/>
        </w:rPr>
        <w:t xml:space="preserve">While this is the first month that values appear to have slowed, and generally we would wait for subsequent months before claiming a trend, the timing does align to the </w:t>
      </w:r>
      <w:r w:rsidR="009936B3">
        <w:rPr>
          <w:rFonts w:ascii="Segoe UI" w:hAnsi="Segoe UI" w:cs="Segoe UI"/>
          <w:sz w:val="20"/>
          <w:szCs w:val="20"/>
        </w:rPr>
        <w:t>LVR speed limits. These speed limits have reduced the number of first home buyers active in the market, but perhaps more importantly have led to increased caution amongst buyers. This caution is offsetting any potential upward pressure on prices due to a lack of listings in many areas</w:t>
      </w:r>
      <w:r w:rsidR="002D0C36">
        <w:rPr>
          <w:rFonts w:ascii="Segoe UI" w:hAnsi="Segoe UI" w:cs="Segoe UI"/>
          <w:sz w:val="20"/>
          <w:szCs w:val="20"/>
        </w:rPr>
        <w:t>.</w:t>
      </w:r>
      <w:r w:rsidR="00AF61C2" w:rsidRPr="005B59F8">
        <w:rPr>
          <w:rFonts w:ascii="Segoe UI" w:hAnsi="Segoe UI" w:cs="Segoe UI"/>
          <w:sz w:val="20"/>
          <w:szCs w:val="20"/>
        </w:rPr>
        <w:t>"</w:t>
      </w:r>
    </w:p>
    <w:p w:rsidR="009936B3" w:rsidRDefault="009936B3" w:rsidP="00FD6A6F">
      <w:pPr>
        <w:pStyle w:val="NoSpacing"/>
        <w:rPr>
          <w:rFonts w:ascii="Segoe UI" w:hAnsi="Segoe UI" w:cs="Segoe UI"/>
          <w:sz w:val="20"/>
          <w:szCs w:val="20"/>
        </w:rPr>
      </w:pPr>
    </w:p>
    <w:p w:rsidR="008F7637" w:rsidRDefault="009936B3" w:rsidP="00FD6A6F">
      <w:pPr>
        <w:pStyle w:val="NoSpacing"/>
        <w:rPr>
          <w:rFonts w:ascii="Segoe UI" w:hAnsi="Segoe UI" w:cs="Segoe UI"/>
          <w:sz w:val="20"/>
          <w:szCs w:val="20"/>
        </w:rPr>
      </w:pPr>
      <w:r>
        <w:rPr>
          <w:rFonts w:ascii="Segoe UI" w:hAnsi="Segoe UI" w:cs="Segoe UI"/>
          <w:sz w:val="20"/>
          <w:szCs w:val="20"/>
        </w:rPr>
        <w:t>"</w:t>
      </w:r>
      <w:r w:rsidR="00FE7247">
        <w:rPr>
          <w:rFonts w:ascii="Segoe UI" w:hAnsi="Segoe UI" w:cs="Segoe UI"/>
          <w:sz w:val="20"/>
          <w:szCs w:val="20"/>
        </w:rPr>
        <w:t>There was widespread expectation that the LVR speed limits would slow down value increases, at least temporarily. However we did not expect values in Auckland to slow as they appear to have, given the supply demand imbalance. We also expected the other parts of the country, particularly provincial and rural areas, to be hit harder by the LVR speed limits, but at this stage this does not appear to be the case</w:t>
      </w:r>
      <w:r w:rsidR="002D0C36">
        <w:rPr>
          <w:rFonts w:ascii="Segoe UI" w:hAnsi="Segoe UI" w:cs="Segoe UI"/>
          <w:sz w:val="20"/>
          <w:szCs w:val="20"/>
        </w:rPr>
        <w:t>.</w:t>
      </w:r>
      <w:r w:rsidR="00FE7247">
        <w:rPr>
          <w:rFonts w:ascii="Segoe UI" w:hAnsi="Segoe UI" w:cs="Segoe UI"/>
          <w:sz w:val="20"/>
          <w:szCs w:val="20"/>
        </w:rPr>
        <w:t>"</w:t>
      </w:r>
    </w:p>
    <w:p w:rsidR="00FE7247" w:rsidRDefault="00FE7247" w:rsidP="00FD6A6F">
      <w:pPr>
        <w:pStyle w:val="NoSpacing"/>
        <w:rPr>
          <w:rFonts w:ascii="Segoe UI" w:hAnsi="Segoe UI" w:cs="Segoe UI"/>
          <w:sz w:val="20"/>
          <w:szCs w:val="20"/>
        </w:rPr>
      </w:pPr>
    </w:p>
    <w:p w:rsidR="00FE7247" w:rsidRPr="005B59F8" w:rsidRDefault="00FE7247" w:rsidP="00FD6A6F">
      <w:pPr>
        <w:pStyle w:val="NoSpacing"/>
        <w:rPr>
          <w:rFonts w:ascii="Segoe UI" w:hAnsi="Segoe UI" w:cs="Segoe UI"/>
          <w:sz w:val="20"/>
          <w:szCs w:val="20"/>
        </w:rPr>
      </w:pPr>
      <w:r>
        <w:rPr>
          <w:rFonts w:ascii="Segoe UI" w:hAnsi="Segoe UI" w:cs="Segoe UI"/>
          <w:sz w:val="20"/>
          <w:szCs w:val="20"/>
        </w:rPr>
        <w:t>"The predicted increase in mortgage interest rates in the near future are likely to also slow down values further. This may in fact already be affecting buyer confidence and contributing to the slowing we are seeing</w:t>
      </w:r>
      <w:r w:rsidR="002D0C36">
        <w:rPr>
          <w:rFonts w:ascii="Segoe UI" w:hAnsi="Segoe UI" w:cs="Segoe UI"/>
          <w:sz w:val="20"/>
          <w:szCs w:val="20"/>
        </w:rPr>
        <w:t>.</w:t>
      </w:r>
      <w:r>
        <w:rPr>
          <w:rFonts w:ascii="Segoe UI" w:hAnsi="Segoe UI" w:cs="Segoe UI"/>
          <w:sz w:val="20"/>
          <w:szCs w:val="20"/>
        </w:rPr>
        <w:t>"</w:t>
      </w:r>
    </w:p>
    <w:p w:rsidR="00401FCE" w:rsidRPr="005B59F8" w:rsidRDefault="00401FCE" w:rsidP="00FD6A6F">
      <w:pPr>
        <w:pStyle w:val="NoSpacing"/>
        <w:rPr>
          <w:rFonts w:ascii="Segoe UI" w:hAnsi="Segoe UI" w:cs="Segoe UI"/>
          <w:sz w:val="20"/>
          <w:szCs w:val="20"/>
        </w:rPr>
      </w:pPr>
    </w:p>
    <w:p w:rsidR="00401FCE" w:rsidRPr="005B59F8" w:rsidRDefault="00401FCE" w:rsidP="00FD6A6F">
      <w:pPr>
        <w:pStyle w:val="NoSpacing"/>
        <w:rPr>
          <w:rFonts w:ascii="Segoe UI" w:hAnsi="Segoe UI" w:cs="Segoe UI"/>
          <w:sz w:val="20"/>
          <w:szCs w:val="20"/>
        </w:rPr>
      </w:pPr>
    </w:p>
    <w:p w:rsidR="00157342" w:rsidRPr="003E4B46" w:rsidRDefault="00157342" w:rsidP="00157342">
      <w:pPr>
        <w:pStyle w:val="NoSpacing"/>
        <w:rPr>
          <w:rFonts w:ascii="Segoe UI" w:hAnsi="Segoe UI" w:cs="Segoe UI"/>
          <w:b/>
          <w:bCs/>
          <w:sz w:val="20"/>
          <w:szCs w:val="20"/>
        </w:rPr>
      </w:pPr>
      <w:r w:rsidRPr="003E4B46">
        <w:rPr>
          <w:rFonts w:ascii="Segoe UI" w:hAnsi="Segoe UI" w:cs="Segoe UI"/>
          <w:b/>
          <w:bCs/>
          <w:sz w:val="20"/>
          <w:szCs w:val="20"/>
        </w:rPr>
        <w:t>Auckland</w:t>
      </w:r>
    </w:p>
    <w:p w:rsidR="00157342" w:rsidRPr="003E4B46" w:rsidRDefault="00157342" w:rsidP="00157342">
      <w:pPr>
        <w:pStyle w:val="NoSpacing"/>
        <w:rPr>
          <w:rFonts w:ascii="Segoe UI" w:hAnsi="Segoe UI" w:cs="Segoe UI"/>
          <w:sz w:val="20"/>
          <w:szCs w:val="20"/>
        </w:rPr>
      </w:pPr>
    </w:p>
    <w:p w:rsidR="00157342" w:rsidRPr="003E4B46" w:rsidRDefault="009F351F" w:rsidP="00157342">
      <w:pPr>
        <w:pStyle w:val="NoSpacing"/>
        <w:rPr>
          <w:rFonts w:ascii="Segoe UI" w:hAnsi="Segoe UI" w:cs="Segoe UI"/>
          <w:sz w:val="20"/>
          <w:szCs w:val="20"/>
        </w:rPr>
      </w:pPr>
      <w:r w:rsidRPr="003E4B46">
        <w:rPr>
          <w:rFonts w:ascii="Segoe UI" w:hAnsi="Segoe UI" w:cs="Segoe UI"/>
          <w:sz w:val="20"/>
          <w:szCs w:val="20"/>
        </w:rPr>
        <w:t xml:space="preserve">Values in the Super City are up 14.5% since January 2013 however </w:t>
      </w:r>
      <w:r w:rsidR="00157342" w:rsidRPr="003E4B46">
        <w:rPr>
          <w:rFonts w:ascii="Segoe UI" w:hAnsi="Segoe UI" w:cs="Segoe UI"/>
          <w:sz w:val="20"/>
          <w:szCs w:val="20"/>
        </w:rPr>
        <w:t xml:space="preserve">there are early indications that the rate of increase in property prices across the Auckland region </w:t>
      </w:r>
      <w:r w:rsidRPr="003E4B46">
        <w:rPr>
          <w:rFonts w:ascii="Segoe UI" w:hAnsi="Segoe UI" w:cs="Segoe UI"/>
          <w:sz w:val="20"/>
          <w:szCs w:val="20"/>
        </w:rPr>
        <w:t>is slowing.</w:t>
      </w:r>
    </w:p>
    <w:p w:rsidR="00157342" w:rsidRPr="003E4B46" w:rsidRDefault="00157342" w:rsidP="00157342">
      <w:pPr>
        <w:pStyle w:val="NoSpacing"/>
        <w:rPr>
          <w:rFonts w:ascii="Segoe UI" w:hAnsi="Segoe UI" w:cs="Segoe UI"/>
          <w:sz w:val="20"/>
          <w:szCs w:val="20"/>
        </w:rPr>
      </w:pPr>
    </w:p>
    <w:p w:rsidR="00157342" w:rsidRPr="003E4B46" w:rsidRDefault="00157342" w:rsidP="00157342">
      <w:pPr>
        <w:pStyle w:val="NoSpacing"/>
        <w:rPr>
          <w:rFonts w:ascii="Segoe UI" w:hAnsi="Segoe UI" w:cs="Segoe UI"/>
          <w:sz w:val="20"/>
          <w:szCs w:val="20"/>
        </w:rPr>
      </w:pPr>
      <w:proofErr w:type="spellStart"/>
      <w:r w:rsidRPr="003E4B46">
        <w:rPr>
          <w:rFonts w:ascii="Segoe UI" w:hAnsi="Segoe UI" w:cs="Segoe UI"/>
          <w:sz w:val="20"/>
          <w:szCs w:val="20"/>
        </w:rPr>
        <w:t>Waitakere</w:t>
      </w:r>
      <w:proofErr w:type="spellEnd"/>
      <w:r w:rsidRPr="003E4B46">
        <w:rPr>
          <w:rFonts w:ascii="Segoe UI" w:hAnsi="Segoe UI" w:cs="Segoe UI"/>
          <w:sz w:val="20"/>
          <w:szCs w:val="20"/>
        </w:rPr>
        <w:t xml:space="preserve"> is once again leading this increase with values up 19.2% year on year, with </w:t>
      </w:r>
      <w:proofErr w:type="spellStart"/>
      <w:r w:rsidRPr="003E4B46">
        <w:rPr>
          <w:rFonts w:ascii="Segoe UI" w:hAnsi="Segoe UI" w:cs="Segoe UI"/>
          <w:sz w:val="20"/>
          <w:szCs w:val="20"/>
        </w:rPr>
        <w:t>Manukau</w:t>
      </w:r>
      <w:proofErr w:type="spellEnd"/>
      <w:r w:rsidRPr="003E4B46">
        <w:rPr>
          <w:rFonts w:ascii="Segoe UI" w:hAnsi="Segoe UI" w:cs="Segoe UI"/>
          <w:sz w:val="20"/>
          <w:szCs w:val="20"/>
        </w:rPr>
        <w:t xml:space="preserve"> City coming in as the second best performer with an increase of 16.1% in the past year. </w:t>
      </w:r>
    </w:p>
    <w:p w:rsidR="00157342" w:rsidRPr="003E4B46" w:rsidRDefault="00157342" w:rsidP="00157342">
      <w:pPr>
        <w:pStyle w:val="NoSpacing"/>
        <w:rPr>
          <w:rFonts w:ascii="Segoe UI" w:hAnsi="Segoe UI" w:cs="Segoe UI"/>
          <w:sz w:val="20"/>
          <w:szCs w:val="20"/>
        </w:rPr>
      </w:pPr>
    </w:p>
    <w:p w:rsidR="00A41A11" w:rsidRPr="003E4B46" w:rsidRDefault="00157342" w:rsidP="00157342">
      <w:pPr>
        <w:pStyle w:val="NoSpacing"/>
        <w:rPr>
          <w:rFonts w:ascii="Segoe UI" w:hAnsi="Segoe UI" w:cs="Segoe UI"/>
          <w:sz w:val="20"/>
          <w:szCs w:val="20"/>
        </w:rPr>
      </w:pPr>
      <w:r w:rsidRPr="003E4B46">
        <w:rPr>
          <w:rFonts w:ascii="Segoe UI" w:hAnsi="Segoe UI" w:cs="Segoe UI"/>
          <w:sz w:val="20"/>
          <w:szCs w:val="20"/>
        </w:rPr>
        <w:t>In the past three months</w:t>
      </w:r>
      <w:r w:rsidR="00A41A11" w:rsidRPr="003E4B46">
        <w:rPr>
          <w:rFonts w:ascii="Segoe UI" w:hAnsi="Segoe UI" w:cs="Segoe UI"/>
          <w:sz w:val="20"/>
          <w:szCs w:val="20"/>
        </w:rPr>
        <w:t>,</w:t>
      </w:r>
      <w:r w:rsidRPr="003E4B46">
        <w:rPr>
          <w:rFonts w:ascii="Segoe UI" w:hAnsi="Segoe UI" w:cs="Segoe UI"/>
          <w:sz w:val="20"/>
          <w:szCs w:val="20"/>
        </w:rPr>
        <w:t xml:space="preserve"> values in </w:t>
      </w:r>
      <w:proofErr w:type="spellStart"/>
      <w:r w:rsidRPr="003E4B46">
        <w:rPr>
          <w:rFonts w:ascii="Segoe UI" w:hAnsi="Segoe UI" w:cs="Segoe UI"/>
          <w:sz w:val="20"/>
          <w:szCs w:val="20"/>
        </w:rPr>
        <w:t>Papakura</w:t>
      </w:r>
      <w:proofErr w:type="spellEnd"/>
      <w:r w:rsidRPr="003E4B46">
        <w:rPr>
          <w:rFonts w:ascii="Segoe UI" w:hAnsi="Segoe UI" w:cs="Segoe UI"/>
          <w:sz w:val="20"/>
          <w:szCs w:val="20"/>
        </w:rPr>
        <w:t xml:space="preserve"> have risen the most with a 4.8% increase</w:t>
      </w:r>
      <w:r w:rsidR="00A41A11" w:rsidRPr="003E4B46">
        <w:rPr>
          <w:rFonts w:ascii="Segoe UI" w:hAnsi="Segoe UI" w:cs="Segoe UI"/>
          <w:sz w:val="20"/>
          <w:szCs w:val="20"/>
        </w:rPr>
        <w:t>,</w:t>
      </w:r>
      <w:r w:rsidRPr="003E4B46">
        <w:rPr>
          <w:rFonts w:ascii="Segoe UI" w:hAnsi="Segoe UI" w:cs="Segoe UI"/>
          <w:sz w:val="20"/>
          <w:szCs w:val="20"/>
        </w:rPr>
        <w:t xml:space="preserve"> with Franklin and </w:t>
      </w:r>
      <w:proofErr w:type="spellStart"/>
      <w:r w:rsidRPr="003E4B46">
        <w:rPr>
          <w:rFonts w:ascii="Segoe UI" w:hAnsi="Segoe UI" w:cs="Segoe UI"/>
          <w:sz w:val="20"/>
          <w:szCs w:val="20"/>
        </w:rPr>
        <w:t>Manukau</w:t>
      </w:r>
      <w:proofErr w:type="spellEnd"/>
      <w:r w:rsidRPr="003E4B46">
        <w:rPr>
          <w:rFonts w:ascii="Segoe UI" w:hAnsi="Segoe UI" w:cs="Segoe UI"/>
          <w:sz w:val="20"/>
          <w:szCs w:val="20"/>
        </w:rPr>
        <w:t xml:space="preserve"> Central close behind</w:t>
      </w:r>
      <w:r w:rsidR="00A41A11" w:rsidRPr="003E4B46">
        <w:rPr>
          <w:rFonts w:ascii="Segoe UI" w:hAnsi="Segoe UI" w:cs="Segoe UI"/>
          <w:sz w:val="20"/>
          <w:szCs w:val="20"/>
        </w:rPr>
        <w:t>,</w:t>
      </w:r>
      <w:r w:rsidRPr="003E4B46">
        <w:rPr>
          <w:rFonts w:ascii="Segoe UI" w:hAnsi="Segoe UI" w:cs="Segoe UI"/>
          <w:sz w:val="20"/>
          <w:szCs w:val="20"/>
        </w:rPr>
        <w:t xml:space="preserve"> with a rise of 4.6%. There appears to be an element of “catch up” in these movements as most other parts of Auckland have moved ahead strongly over th</w:t>
      </w:r>
      <w:r w:rsidR="00A41A11" w:rsidRPr="003E4B46">
        <w:rPr>
          <w:rFonts w:ascii="Segoe UI" w:hAnsi="Segoe UI" w:cs="Segoe UI"/>
          <w:sz w:val="20"/>
          <w:szCs w:val="20"/>
        </w:rPr>
        <w:t xml:space="preserve">e past year. </w:t>
      </w:r>
    </w:p>
    <w:p w:rsidR="00A41A11" w:rsidRPr="003E4B46" w:rsidRDefault="00A41A11" w:rsidP="00157342">
      <w:pPr>
        <w:pStyle w:val="NoSpacing"/>
        <w:rPr>
          <w:rFonts w:ascii="Segoe UI" w:hAnsi="Segoe UI" w:cs="Segoe UI"/>
          <w:sz w:val="20"/>
          <w:szCs w:val="20"/>
        </w:rPr>
      </w:pPr>
    </w:p>
    <w:p w:rsidR="00157342" w:rsidRPr="003E4B46" w:rsidRDefault="00157342" w:rsidP="00157342">
      <w:pPr>
        <w:pStyle w:val="NoSpacing"/>
        <w:rPr>
          <w:rFonts w:ascii="Segoe UI" w:hAnsi="Segoe UI" w:cs="Segoe UI"/>
          <w:sz w:val="20"/>
          <w:szCs w:val="20"/>
        </w:rPr>
      </w:pPr>
      <w:r w:rsidRPr="003E4B46">
        <w:rPr>
          <w:rFonts w:ascii="Segoe UI" w:hAnsi="Segoe UI" w:cs="Segoe UI"/>
          <w:sz w:val="20"/>
          <w:szCs w:val="20"/>
        </w:rPr>
        <w:t xml:space="preserve">In comparison the old Auckland City had a significantly lower increase of 1.6% during the same quarter but values in the central suburbs are still 31.9% above the previous peak in 2007 which is one of the largest increases in the country. </w:t>
      </w:r>
    </w:p>
    <w:p w:rsidR="00157342" w:rsidRPr="003E4B46" w:rsidRDefault="00157342" w:rsidP="00157342">
      <w:pPr>
        <w:pStyle w:val="NoSpacing"/>
        <w:rPr>
          <w:rFonts w:ascii="Segoe UI" w:hAnsi="Segoe UI" w:cs="Segoe UI"/>
          <w:sz w:val="20"/>
          <w:szCs w:val="20"/>
          <w:highlight w:val="yellow"/>
        </w:rPr>
      </w:pPr>
    </w:p>
    <w:p w:rsidR="00157342" w:rsidRPr="003E4B46" w:rsidRDefault="00157342" w:rsidP="00157342">
      <w:pPr>
        <w:rPr>
          <w:rFonts w:ascii="Segoe UI" w:hAnsi="Segoe UI" w:cs="Segoe UI"/>
          <w:sz w:val="20"/>
          <w:szCs w:val="20"/>
        </w:rPr>
      </w:pPr>
      <w:r w:rsidRPr="003E4B46">
        <w:rPr>
          <w:rFonts w:ascii="Segoe UI" w:hAnsi="Segoe UI" w:cs="Segoe UI"/>
          <w:sz w:val="20"/>
          <w:szCs w:val="20"/>
        </w:rPr>
        <w:t xml:space="preserve">QV Valuer Bruce Wiggins said “There is limited stock on the market at present and real estate agents are having to work hard to sell </w:t>
      </w:r>
      <w:r w:rsidR="005E1E4A" w:rsidRPr="003E4B46">
        <w:rPr>
          <w:rFonts w:ascii="Segoe UI" w:hAnsi="Segoe UI" w:cs="Segoe UI"/>
          <w:sz w:val="20"/>
          <w:szCs w:val="20"/>
        </w:rPr>
        <w:t>properties</w:t>
      </w:r>
      <w:r w:rsidRPr="003E4B46">
        <w:rPr>
          <w:rFonts w:ascii="Segoe UI" w:hAnsi="Segoe UI" w:cs="Segoe UI"/>
          <w:sz w:val="20"/>
          <w:szCs w:val="20"/>
        </w:rPr>
        <w:t xml:space="preserve">. Although first home buyers have had their wings clipped with the LVR caps, there is still activity and plenty of other buyers to fill the gap.” </w:t>
      </w:r>
    </w:p>
    <w:p w:rsidR="005E1E4A" w:rsidRPr="003E4B46" w:rsidRDefault="00157342" w:rsidP="00157342">
      <w:pPr>
        <w:rPr>
          <w:rFonts w:ascii="Segoe UI" w:hAnsi="Segoe UI" w:cs="Segoe UI"/>
          <w:sz w:val="20"/>
          <w:szCs w:val="20"/>
        </w:rPr>
      </w:pPr>
      <w:r w:rsidRPr="003E4B46">
        <w:rPr>
          <w:rFonts w:ascii="Segoe UI" w:hAnsi="Segoe UI" w:cs="Segoe UI"/>
          <w:sz w:val="20"/>
          <w:szCs w:val="20"/>
        </w:rPr>
        <w:t xml:space="preserve">“Land values have remained high and we are seeing fewer auctions than last year with many properties </w:t>
      </w:r>
      <w:r w:rsidR="00A41A11" w:rsidRPr="003E4B46">
        <w:rPr>
          <w:rFonts w:ascii="Segoe UI" w:hAnsi="Segoe UI" w:cs="Segoe UI"/>
          <w:sz w:val="20"/>
          <w:szCs w:val="20"/>
        </w:rPr>
        <w:t xml:space="preserve">now </w:t>
      </w:r>
      <w:r w:rsidR="005E1E4A" w:rsidRPr="003E4B46">
        <w:rPr>
          <w:rFonts w:ascii="Segoe UI" w:hAnsi="Segoe UI" w:cs="Segoe UI"/>
          <w:sz w:val="20"/>
          <w:szCs w:val="20"/>
        </w:rPr>
        <w:t>advertised as ‘</w:t>
      </w:r>
      <w:r w:rsidRPr="003E4B46">
        <w:rPr>
          <w:rFonts w:ascii="Segoe UI" w:hAnsi="Segoe UI" w:cs="Segoe UI"/>
          <w:sz w:val="20"/>
          <w:szCs w:val="20"/>
        </w:rPr>
        <w:t>Price by Negotiation</w:t>
      </w:r>
      <w:r w:rsidR="005E1E4A" w:rsidRPr="003E4B46">
        <w:rPr>
          <w:rFonts w:ascii="Segoe UI" w:hAnsi="Segoe UI" w:cs="Segoe UI"/>
          <w:sz w:val="20"/>
          <w:szCs w:val="20"/>
        </w:rPr>
        <w:t>’</w:t>
      </w:r>
      <w:r w:rsidR="00A41A11" w:rsidRPr="003E4B46">
        <w:rPr>
          <w:rFonts w:ascii="Segoe UI" w:hAnsi="Segoe UI" w:cs="Segoe UI"/>
          <w:sz w:val="20"/>
          <w:szCs w:val="20"/>
        </w:rPr>
        <w:t xml:space="preserve">. </w:t>
      </w:r>
    </w:p>
    <w:p w:rsidR="00157342" w:rsidRPr="003E4B46" w:rsidRDefault="00157342" w:rsidP="00157342">
      <w:pPr>
        <w:rPr>
          <w:rFonts w:ascii="Segoe UI" w:hAnsi="Segoe UI" w:cs="Segoe UI"/>
          <w:sz w:val="20"/>
          <w:szCs w:val="20"/>
        </w:rPr>
      </w:pPr>
      <w:r w:rsidRPr="003E4B46">
        <w:rPr>
          <w:rFonts w:ascii="Segoe UI" w:hAnsi="Segoe UI" w:cs="Segoe UI"/>
          <w:sz w:val="20"/>
          <w:szCs w:val="20"/>
        </w:rPr>
        <w:t xml:space="preserve">We are </w:t>
      </w:r>
      <w:r w:rsidR="00A41A11" w:rsidRPr="003E4B46">
        <w:rPr>
          <w:rFonts w:ascii="Segoe UI" w:hAnsi="Segoe UI" w:cs="Segoe UI"/>
          <w:sz w:val="20"/>
          <w:szCs w:val="20"/>
        </w:rPr>
        <w:t>also seeing increased numbers of a</w:t>
      </w:r>
      <w:r w:rsidRPr="003E4B46">
        <w:rPr>
          <w:rFonts w:ascii="Segoe UI" w:hAnsi="Segoe UI" w:cs="Segoe UI"/>
          <w:sz w:val="20"/>
          <w:szCs w:val="20"/>
        </w:rPr>
        <w:t xml:space="preserve">uctions that are resulting in no bids or being passed in which will </w:t>
      </w:r>
      <w:r w:rsidR="005E1E4A" w:rsidRPr="003E4B46">
        <w:rPr>
          <w:rFonts w:ascii="Segoe UI" w:hAnsi="Segoe UI" w:cs="Segoe UI"/>
          <w:sz w:val="20"/>
          <w:szCs w:val="20"/>
        </w:rPr>
        <w:t xml:space="preserve">by its very nature will </w:t>
      </w:r>
      <w:r w:rsidRPr="003E4B46">
        <w:rPr>
          <w:rFonts w:ascii="Segoe UI" w:hAnsi="Segoe UI" w:cs="Segoe UI"/>
          <w:sz w:val="20"/>
          <w:szCs w:val="20"/>
        </w:rPr>
        <w:t>slow down the volume of sales as the time to negotiate a sale post auction is extended.”</w:t>
      </w:r>
    </w:p>
    <w:p w:rsidR="00157342" w:rsidRPr="003E4B46" w:rsidRDefault="00157342" w:rsidP="00157342">
      <w:pPr>
        <w:rPr>
          <w:rFonts w:ascii="Segoe UI" w:hAnsi="Segoe UI" w:cs="Segoe UI"/>
          <w:sz w:val="20"/>
          <w:szCs w:val="20"/>
        </w:rPr>
      </w:pPr>
      <w:r w:rsidRPr="003E4B46">
        <w:rPr>
          <w:rFonts w:ascii="Segoe UI" w:hAnsi="Segoe UI" w:cs="Segoe UI"/>
          <w:sz w:val="20"/>
          <w:szCs w:val="20"/>
        </w:rPr>
        <w:t>“When properties are sold by negotiation it allows buyers to undertake more due diligence and some may play ‘hard ball’ when negotiating on price. This is particularly so with investors who tend to be more hard-nosed and may be willing to walk away from a property if it does not meet their investment requirements.”</w:t>
      </w:r>
    </w:p>
    <w:p w:rsidR="007216CF" w:rsidRPr="003E4B46" w:rsidRDefault="00EE32B5" w:rsidP="0043598F">
      <w:pPr>
        <w:pStyle w:val="NoSpacing"/>
        <w:rPr>
          <w:rFonts w:ascii="Segoe UI" w:hAnsi="Segoe UI" w:cs="Segoe UI"/>
          <w:b/>
          <w:sz w:val="20"/>
          <w:szCs w:val="20"/>
        </w:rPr>
      </w:pPr>
      <w:r w:rsidRPr="003E4B46">
        <w:rPr>
          <w:rFonts w:ascii="Segoe UI" w:hAnsi="Segoe UI" w:cs="Segoe UI"/>
          <w:b/>
          <w:sz w:val="20"/>
          <w:szCs w:val="20"/>
        </w:rPr>
        <w:t>Hamilton and Tauranga</w:t>
      </w:r>
    </w:p>
    <w:p w:rsidR="00A41A11" w:rsidRPr="003E4B46" w:rsidRDefault="00A41A11" w:rsidP="009226A6">
      <w:pPr>
        <w:pStyle w:val="NoSpacing"/>
        <w:rPr>
          <w:rFonts w:ascii="Segoe UI" w:hAnsi="Segoe UI" w:cs="Segoe UI"/>
          <w:sz w:val="20"/>
          <w:szCs w:val="20"/>
        </w:rPr>
      </w:pPr>
    </w:p>
    <w:p w:rsidR="00A2187B" w:rsidRPr="003E4B46" w:rsidRDefault="00184ACD" w:rsidP="009226A6">
      <w:pPr>
        <w:pStyle w:val="NoSpacing"/>
        <w:rPr>
          <w:rFonts w:ascii="Segoe UI" w:hAnsi="Segoe UI" w:cs="Segoe UI"/>
          <w:sz w:val="20"/>
          <w:szCs w:val="20"/>
        </w:rPr>
      </w:pPr>
      <w:r w:rsidRPr="003E4B46">
        <w:rPr>
          <w:rFonts w:ascii="Segoe UI" w:hAnsi="Segoe UI" w:cs="Segoe UI"/>
          <w:sz w:val="20"/>
          <w:szCs w:val="20"/>
        </w:rPr>
        <w:lastRenderedPageBreak/>
        <w:t xml:space="preserve">Values in </w:t>
      </w:r>
      <w:r w:rsidR="00F87EC9" w:rsidRPr="003E4B46">
        <w:rPr>
          <w:rFonts w:ascii="Segoe UI" w:hAnsi="Segoe UI" w:cs="Segoe UI"/>
          <w:sz w:val="20"/>
          <w:szCs w:val="20"/>
        </w:rPr>
        <w:t>Hamilton</w:t>
      </w:r>
      <w:r w:rsidR="000930F4" w:rsidRPr="003E4B46">
        <w:rPr>
          <w:rFonts w:ascii="Segoe UI" w:hAnsi="Segoe UI" w:cs="Segoe UI"/>
          <w:sz w:val="20"/>
          <w:szCs w:val="20"/>
        </w:rPr>
        <w:t xml:space="preserve"> city</w:t>
      </w:r>
      <w:r w:rsidR="00F87EC9" w:rsidRPr="003E4B46">
        <w:rPr>
          <w:rFonts w:ascii="Segoe UI" w:hAnsi="Segoe UI" w:cs="Segoe UI"/>
          <w:sz w:val="20"/>
          <w:szCs w:val="20"/>
        </w:rPr>
        <w:t xml:space="preserve"> </w:t>
      </w:r>
      <w:r w:rsidR="00325D3D" w:rsidRPr="003E4B46">
        <w:rPr>
          <w:rFonts w:ascii="Segoe UI" w:hAnsi="Segoe UI" w:cs="Segoe UI"/>
          <w:sz w:val="20"/>
          <w:szCs w:val="20"/>
        </w:rPr>
        <w:t>have remained relative stable with an increase of 1.4</w:t>
      </w:r>
      <w:r w:rsidR="00967FB0" w:rsidRPr="003E4B46">
        <w:rPr>
          <w:rFonts w:ascii="Segoe UI" w:hAnsi="Segoe UI" w:cs="Segoe UI"/>
          <w:sz w:val="20"/>
          <w:szCs w:val="20"/>
        </w:rPr>
        <w:t xml:space="preserve">% over the </w:t>
      </w:r>
      <w:r w:rsidR="00F371AA" w:rsidRPr="003E4B46">
        <w:rPr>
          <w:rFonts w:ascii="Segoe UI" w:hAnsi="Segoe UI" w:cs="Segoe UI"/>
          <w:sz w:val="20"/>
          <w:szCs w:val="20"/>
        </w:rPr>
        <w:t>p</w:t>
      </w:r>
      <w:r w:rsidR="00967FB0" w:rsidRPr="003E4B46">
        <w:rPr>
          <w:rFonts w:ascii="Segoe UI" w:hAnsi="Segoe UI" w:cs="Segoe UI"/>
          <w:sz w:val="20"/>
          <w:szCs w:val="20"/>
        </w:rPr>
        <w:t>ast three months</w:t>
      </w:r>
      <w:r w:rsidR="00A41A11" w:rsidRPr="003E4B46">
        <w:rPr>
          <w:rFonts w:ascii="Segoe UI" w:hAnsi="Segoe UI" w:cs="Segoe UI"/>
          <w:sz w:val="20"/>
          <w:szCs w:val="20"/>
        </w:rPr>
        <w:t>, and 5.6</w:t>
      </w:r>
      <w:r w:rsidR="00A2187B" w:rsidRPr="003E4B46">
        <w:rPr>
          <w:rFonts w:ascii="Segoe UI" w:hAnsi="Segoe UI" w:cs="Segoe UI"/>
          <w:sz w:val="20"/>
          <w:szCs w:val="20"/>
        </w:rPr>
        <w:t>% over the past year</w:t>
      </w:r>
      <w:r w:rsidR="000930F4" w:rsidRPr="003E4B46">
        <w:rPr>
          <w:rFonts w:ascii="Segoe UI" w:hAnsi="Segoe UI" w:cs="Segoe UI"/>
          <w:sz w:val="20"/>
          <w:szCs w:val="20"/>
        </w:rPr>
        <w:t xml:space="preserve"> and -0.2% below the 2007 peak</w:t>
      </w:r>
      <w:r w:rsidR="00967FB0" w:rsidRPr="003E4B46">
        <w:rPr>
          <w:rFonts w:ascii="Segoe UI" w:hAnsi="Segoe UI" w:cs="Segoe UI"/>
          <w:sz w:val="20"/>
          <w:szCs w:val="20"/>
        </w:rPr>
        <w:t>.</w:t>
      </w:r>
      <w:r w:rsidR="000930F4" w:rsidRPr="003E4B46">
        <w:rPr>
          <w:rFonts w:ascii="Segoe UI" w:hAnsi="Segoe UI" w:cs="Segoe UI"/>
          <w:sz w:val="20"/>
          <w:szCs w:val="20"/>
        </w:rPr>
        <w:t xml:space="preserve"> The Tauranga city market is</w:t>
      </w:r>
      <w:r w:rsidR="009F351F" w:rsidRPr="003E4B46">
        <w:rPr>
          <w:rFonts w:ascii="Segoe UI" w:hAnsi="Segoe UI" w:cs="Segoe UI"/>
          <w:sz w:val="20"/>
          <w:szCs w:val="20"/>
        </w:rPr>
        <w:t xml:space="preserve"> increasing</w:t>
      </w:r>
      <w:r w:rsidR="005E572B" w:rsidRPr="003E4B46">
        <w:rPr>
          <w:rFonts w:ascii="Segoe UI" w:hAnsi="Segoe UI" w:cs="Segoe UI"/>
          <w:sz w:val="20"/>
          <w:szCs w:val="20"/>
        </w:rPr>
        <w:t xml:space="preserve"> even more slowly</w:t>
      </w:r>
      <w:r w:rsidR="009F351F" w:rsidRPr="003E4B46">
        <w:rPr>
          <w:rFonts w:ascii="Segoe UI" w:hAnsi="Segoe UI" w:cs="Segoe UI"/>
          <w:sz w:val="20"/>
          <w:szCs w:val="20"/>
        </w:rPr>
        <w:t xml:space="preserve"> with a 3.8% rise in values since January 2013 and a 1% rise in the past three months. The market there remains at</w:t>
      </w:r>
      <w:r w:rsidR="000930F4" w:rsidRPr="003E4B46">
        <w:rPr>
          <w:rFonts w:ascii="Segoe UI" w:hAnsi="Segoe UI" w:cs="Segoe UI"/>
          <w:sz w:val="20"/>
          <w:szCs w:val="20"/>
        </w:rPr>
        <w:t xml:space="preserve"> </w:t>
      </w:r>
      <w:r w:rsidR="009F351F" w:rsidRPr="003E4B46">
        <w:rPr>
          <w:rFonts w:ascii="Segoe UI" w:hAnsi="Segoe UI" w:cs="Segoe UI"/>
          <w:sz w:val="20"/>
          <w:szCs w:val="20"/>
        </w:rPr>
        <w:t>8.6% below the peak of 2007.</w:t>
      </w:r>
    </w:p>
    <w:p w:rsidR="00967FB0" w:rsidRPr="003E4B46" w:rsidRDefault="00A2187B" w:rsidP="009226A6">
      <w:pPr>
        <w:pStyle w:val="NoSpacing"/>
        <w:rPr>
          <w:rFonts w:ascii="Segoe UI" w:hAnsi="Segoe UI" w:cs="Segoe UI"/>
          <w:sz w:val="20"/>
          <w:szCs w:val="20"/>
          <w:highlight w:val="yellow"/>
        </w:rPr>
      </w:pPr>
      <w:r w:rsidRPr="003E4B46">
        <w:rPr>
          <w:rFonts w:ascii="Segoe UI" w:hAnsi="Segoe UI" w:cs="Segoe UI"/>
          <w:sz w:val="20"/>
          <w:szCs w:val="20"/>
          <w:highlight w:val="yellow"/>
        </w:rPr>
        <w:t xml:space="preserve"> </w:t>
      </w:r>
    </w:p>
    <w:p w:rsidR="00A41A11" w:rsidRPr="003E4B46" w:rsidRDefault="00967FB0" w:rsidP="00A41A11">
      <w:pPr>
        <w:pStyle w:val="NoSpacing"/>
        <w:rPr>
          <w:rFonts w:ascii="Segoe UI" w:hAnsi="Segoe UI" w:cs="Segoe UI"/>
          <w:sz w:val="20"/>
          <w:szCs w:val="20"/>
        </w:rPr>
      </w:pPr>
      <w:r w:rsidRPr="003E4B46">
        <w:rPr>
          <w:rFonts w:ascii="Segoe UI" w:hAnsi="Segoe UI" w:cs="Segoe UI"/>
          <w:sz w:val="20"/>
          <w:szCs w:val="20"/>
        </w:rPr>
        <w:t>QV Valuer Richard Allen sai</w:t>
      </w:r>
      <w:r w:rsidR="00A41A11" w:rsidRPr="003E4B46">
        <w:rPr>
          <w:rFonts w:ascii="Segoe UI" w:hAnsi="Segoe UI" w:cs="Segoe UI"/>
          <w:sz w:val="20"/>
          <w:szCs w:val="20"/>
        </w:rPr>
        <w:t>d, “The LVR restrictions seem to be taking hold with the signs being that there is less demand from buyers and also a lack of supply with less listings on the market.</w:t>
      </w:r>
    </w:p>
    <w:p w:rsidR="00A41A11" w:rsidRPr="003E4B46" w:rsidRDefault="00A41A11" w:rsidP="00A41A11">
      <w:pPr>
        <w:pStyle w:val="NoSpacing"/>
        <w:rPr>
          <w:rFonts w:ascii="Segoe UI" w:hAnsi="Segoe UI" w:cs="Segoe UI"/>
          <w:sz w:val="20"/>
          <w:szCs w:val="20"/>
        </w:rPr>
      </w:pPr>
    </w:p>
    <w:p w:rsidR="00A41A11" w:rsidRPr="003E4B46" w:rsidRDefault="005E572B" w:rsidP="00A41A11">
      <w:pPr>
        <w:pStyle w:val="NoSpacing"/>
        <w:rPr>
          <w:rFonts w:ascii="Segoe UI" w:hAnsi="Segoe UI" w:cs="Segoe UI"/>
          <w:sz w:val="20"/>
          <w:szCs w:val="20"/>
        </w:rPr>
      </w:pPr>
      <w:r w:rsidRPr="003E4B46">
        <w:rPr>
          <w:rFonts w:ascii="Segoe UI" w:hAnsi="Segoe UI" w:cs="Segoe UI"/>
          <w:sz w:val="20"/>
          <w:szCs w:val="20"/>
        </w:rPr>
        <w:t>V</w:t>
      </w:r>
      <w:r w:rsidR="00A41A11" w:rsidRPr="003E4B46">
        <w:rPr>
          <w:rFonts w:ascii="Segoe UI" w:hAnsi="Segoe UI" w:cs="Segoe UI"/>
          <w:sz w:val="20"/>
          <w:szCs w:val="20"/>
        </w:rPr>
        <w:t>alues are remaining up which is likely to be due to the lack of supply rather than due to high demand.</w:t>
      </w:r>
      <w:r w:rsidR="000930F4" w:rsidRPr="003E4B46">
        <w:rPr>
          <w:rFonts w:ascii="Segoe UI" w:hAnsi="Segoe UI" w:cs="Segoe UI"/>
          <w:sz w:val="20"/>
          <w:szCs w:val="20"/>
        </w:rPr>
        <w:t xml:space="preserve"> </w:t>
      </w:r>
      <w:r w:rsidR="00A41A11" w:rsidRPr="003E4B46">
        <w:rPr>
          <w:rFonts w:ascii="Segoe UI" w:hAnsi="Segoe UI" w:cs="Segoe UI"/>
          <w:sz w:val="20"/>
          <w:szCs w:val="20"/>
        </w:rPr>
        <w:t>First home buyers particularly seem to be struggling with this new environment.</w:t>
      </w:r>
    </w:p>
    <w:p w:rsidR="00A41A11" w:rsidRPr="003E4B46" w:rsidRDefault="00A41A11" w:rsidP="00A41A11">
      <w:pPr>
        <w:pStyle w:val="NoSpacing"/>
        <w:rPr>
          <w:rFonts w:ascii="Segoe UI" w:hAnsi="Segoe UI" w:cs="Segoe UI"/>
          <w:sz w:val="20"/>
          <w:szCs w:val="20"/>
        </w:rPr>
      </w:pPr>
    </w:p>
    <w:p w:rsidR="00CA06D3" w:rsidRPr="003E4B46" w:rsidRDefault="00184ACD" w:rsidP="003B26B2">
      <w:pPr>
        <w:pStyle w:val="NoSpacing"/>
        <w:rPr>
          <w:rFonts w:ascii="Segoe UI" w:hAnsi="Segoe UI" w:cs="Segoe UI"/>
          <w:sz w:val="20"/>
          <w:szCs w:val="20"/>
        </w:rPr>
      </w:pPr>
      <w:r w:rsidRPr="003E4B46">
        <w:rPr>
          <w:rFonts w:ascii="Segoe UI" w:hAnsi="Segoe UI" w:cs="Segoe UI"/>
          <w:sz w:val="20"/>
          <w:szCs w:val="20"/>
        </w:rPr>
        <w:t xml:space="preserve"> </w:t>
      </w:r>
    </w:p>
    <w:p w:rsidR="00EE32B5" w:rsidRPr="003E4B46" w:rsidRDefault="00EE32B5" w:rsidP="003B26B2">
      <w:pPr>
        <w:pStyle w:val="NoSpacing"/>
        <w:rPr>
          <w:rFonts w:ascii="Segoe UI" w:hAnsi="Segoe UI" w:cs="Segoe UI"/>
          <w:b/>
          <w:sz w:val="20"/>
          <w:szCs w:val="20"/>
        </w:rPr>
      </w:pPr>
      <w:r w:rsidRPr="003E4B46">
        <w:rPr>
          <w:rFonts w:ascii="Segoe UI" w:hAnsi="Segoe UI" w:cs="Segoe UI"/>
          <w:b/>
          <w:sz w:val="20"/>
          <w:szCs w:val="20"/>
        </w:rPr>
        <w:t>Wellington</w:t>
      </w:r>
    </w:p>
    <w:p w:rsidR="00A4067F" w:rsidRPr="003E4B46" w:rsidRDefault="000930F4" w:rsidP="003B26B2">
      <w:pPr>
        <w:pStyle w:val="NoSpacing"/>
        <w:rPr>
          <w:rFonts w:ascii="Segoe UI" w:hAnsi="Segoe UI" w:cs="Segoe UI"/>
          <w:sz w:val="20"/>
          <w:szCs w:val="20"/>
        </w:rPr>
      </w:pPr>
      <w:r w:rsidRPr="003E4B46">
        <w:rPr>
          <w:rFonts w:ascii="Segoe UI" w:hAnsi="Segoe UI" w:cs="Segoe UI"/>
          <w:sz w:val="20"/>
          <w:szCs w:val="20"/>
        </w:rPr>
        <w:t>The</w:t>
      </w:r>
      <w:r w:rsidR="00A4067F" w:rsidRPr="003E4B46">
        <w:rPr>
          <w:rFonts w:ascii="Segoe UI" w:hAnsi="Segoe UI" w:cs="Segoe UI"/>
          <w:sz w:val="20"/>
          <w:szCs w:val="20"/>
        </w:rPr>
        <w:t>re are some early signs of improvement in the</w:t>
      </w:r>
      <w:r w:rsidRPr="003E4B46">
        <w:rPr>
          <w:rFonts w:ascii="Segoe UI" w:hAnsi="Segoe UI" w:cs="Segoe UI"/>
          <w:sz w:val="20"/>
          <w:szCs w:val="20"/>
        </w:rPr>
        <w:t xml:space="preserve"> </w:t>
      </w:r>
      <w:r w:rsidR="00AA092A" w:rsidRPr="003E4B46">
        <w:rPr>
          <w:rFonts w:ascii="Segoe UI" w:hAnsi="Segoe UI" w:cs="Segoe UI"/>
          <w:sz w:val="20"/>
          <w:szCs w:val="20"/>
        </w:rPr>
        <w:t>Wellington</w:t>
      </w:r>
      <w:r w:rsidRPr="003E4B46">
        <w:rPr>
          <w:rFonts w:ascii="Segoe UI" w:hAnsi="Segoe UI" w:cs="Segoe UI"/>
          <w:sz w:val="20"/>
          <w:szCs w:val="20"/>
        </w:rPr>
        <w:t xml:space="preserve"> market </w:t>
      </w:r>
      <w:r w:rsidR="00A4067F" w:rsidRPr="003E4B46">
        <w:rPr>
          <w:rFonts w:ascii="Segoe UI" w:hAnsi="Segoe UI" w:cs="Segoe UI"/>
          <w:sz w:val="20"/>
          <w:szCs w:val="20"/>
        </w:rPr>
        <w:t xml:space="preserve">but over the Christmas period the market </w:t>
      </w:r>
      <w:r w:rsidRPr="003E4B46">
        <w:rPr>
          <w:rFonts w:ascii="Segoe UI" w:hAnsi="Segoe UI" w:cs="Segoe UI"/>
          <w:sz w:val="20"/>
          <w:szCs w:val="20"/>
        </w:rPr>
        <w:t>has been relatively quiet</w:t>
      </w:r>
      <w:r w:rsidR="00A4067F" w:rsidRPr="003E4B46">
        <w:rPr>
          <w:rFonts w:ascii="Segoe UI" w:hAnsi="Segoe UI" w:cs="Segoe UI"/>
          <w:sz w:val="20"/>
          <w:szCs w:val="20"/>
        </w:rPr>
        <w:t>.</w:t>
      </w:r>
    </w:p>
    <w:p w:rsidR="00A4067F" w:rsidRPr="003E4B46" w:rsidRDefault="00A4067F" w:rsidP="003B26B2">
      <w:pPr>
        <w:pStyle w:val="NoSpacing"/>
        <w:rPr>
          <w:rFonts w:ascii="Segoe UI" w:hAnsi="Segoe UI" w:cs="Segoe UI"/>
          <w:sz w:val="20"/>
          <w:szCs w:val="20"/>
        </w:rPr>
      </w:pPr>
    </w:p>
    <w:p w:rsidR="00441F58" w:rsidRPr="003E4B46" w:rsidRDefault="00441F58" w:rsidP="00441F58">
      <w:pPr>
        <w:pStyle w:val="NoSpacing"/>
        <w:rPr>
          <w:rFonts w:ascii="Segoe UI" w:hAnsi="Segoe UI" w:cs="Segoe UI"/>
          <w:sz w:val="20"/>
          <w:szCs w:val="20"/>
        </w:rPr>
      </w:pPr>
      <w:r w:rsidRPr="003E4B46">
        <w:rPr>
          <w:rFonts w:ascii="Segoe UI" w:hAnsi="Segoe UI" w:cs="Segoe UI"/>
          <w:sz w:val="20"/>
          <w:szCs w:val="20"/>
        </w:rPr>
        <w:t xml:space="preserve">Wellington West saw an annual rise of 3.8% compared to Wellington North, Central and South which were up 2.9% and Wellington City which was up 2.7%. </w:t>
      </w:r>
    </w:p>
    <w:p w:rsidR="00441F58" w:rsidRPr="003E4B46" w:rsidRDefault="00441F58" w:rsidP="00A4067F">
      <w:pPr>
        <w:pStyle w:val="NoSpacing"/>
        <w:rPr>
          <w:rFonts w:ascii="Segoe UI" w:hAnsi="Segoe UI" w:cs="Segoe UI"/>
          <w:sz w:val="20"/>
          <w:szCs w:val="20"/>
        </w:rPr>
      </w:pPr>
    </w:p>
    <w:p w:rsidR="00A4067F" w:rsidRPr="003E4B46" w:rsidRDefault="00A4067F" w:rsidP="00A4067F">
      <w:pPr>
        <w:pStyle w:val="NoSpacing"/>
        <w:rPr>
          <w:rFonts w:ascii="Segoe UI" w:hAnsi="Segoe UI" w:cs="Segoe UI"/>
          <w:sz w:val="20"/>
          <w:szCs w:val="20"/>
        </w:rPr>
      </w:pPr>
      <w:r w:rsidRPr="003E4B46">
        <w:rPr>
          <w:rFonts w:ascii="Segoe UI" w:hAnsi="Segoe UI" w:cs="Segoe UI"/>
          <w:sz w:val="20"/>
          <w:szCs w:val="20"/>
        </w:rPr>
        <w:t>Values in Upper</w:t>
      </w:r>
      <w:r w:rsidR="004B5FA5" w:rsidRPr="003E4B46">
        <w:rPr>
          <w:rFonts w:ascii="Segoe UI" w:hAnsi="Segoe UI" w:cs="Segoe UI"/>
          <w:sz w:val="20"/>
          <w:szCs w:val="20"/>
        </w:rPr>
        <w:t xml:space="preserve"> Hutt</w:t>
      </w:r>
      <w:r w:rsidRPr="003E4B46">
        <w:rPr>
          <w:rFonts w:ascii="Segoe UI" w:hAnsi="Segoe UI" w:cs="Segoe UI"/>
          <w:sz w:val="20"/>
          <w:szCs w:val="20"/>
        </w:rPr>
        <w:t xml:space="preserve"> have increased</w:t>
      </w:r>
      <w:r w:rsidR="004B5FA5" w:rsidRPr="003E4B46">
        <w:rPr>
          <w:rFonts w:ascii="Segoe UI" w:hAnsi="Segoe UI" w:cs="Segoe UI"/>
          <w:sz w:val="20"/>
          <w:szCs w:val="20"/>
        </w:rPr>
        <w:t xml:space="preserve"> </w:t>
      </w:r>
      <w:r w:rsidRPr="003E4B46">
        <w:rPr>
          <w:rFonts w:ascii="Segoe UI" w:hAnsi="Segoe UI" w:cs="Segoe UI"/>
          <w:sz w:val="20"/>
          <w:szCs w:val="20"/>
        </w:rPr>
        <w:t>4.2</w:t>
      </w:r>
      <w:r w:rsidR="004B5FA5" w:rsidRPr="003E4B46">
        <w:rPr>
          <w:rFonts w:ascii="Segoe UI" w:hAnsi="Segoe UI" w:cs="Segoe UI"/>
          <w:sz w:val="20"/>
          <w:szCs w:val="20"/>
        </w:rPr>
        <w:t xml:space="preserve">% </w:t>
      </w:r>
      <w:r w:rsidR="005E572B" w:rsidRPr="003E4B46">
        <w:rPr>
          <w:rFonts w:ascii="Segoe UI" w:hAnsi="Segoe UI" w:cs="Segoe UI"/>
          <w:sz w:val="20"/>
          <w:szCs w:val="20"/>
        </w:rPr>
        <w:t xml:space="preserve">since </w:t>
      </w:r>
      <w:r w:rsidR="004B5FA5" w:rsidRPr="003E4B46">
        <w:rPr>
          <w:rFonts w:ascii="Segoe UI" w:hAnsi="Segoe UI" w:cs="Segoe UI"/>
          <w:sz w:val="20"/>
          <w:szCs w:val="20"/>
        </w:rPr>
        <w:t>this time last year</w:t>
      </w:r>
      <w:r w:rsidRPr="003E4B46">
        <w:rPr>
          <w:rFonts w:ascii="Segoe UI" w:hAnsi="Segoe UI" w:cs="Segoe UI"/>
          <w:sz w:val="20"/>
          <w:szCs w:val="20"/>
        </w:rPr>
        <w:t xml:space="preserve"> compared to a 2.6% increase in Lower Hutt. </w:t>
      </w:r>
    </w:p>
    <w:p w:rsidR="00A4067F" w:rsidRPr="003E4B46" w:rsidRDefault="00A4067F" w:rsidP="00A4067F">
      <w:pPr>
        <w:pStyle w:val="NoSpacing"/>
        <w:rPr>
          <w:rFonts w:ascii="Segoe UI" w:hAnsi="Segoe UI" w:cs="Segoe UI"/>
          <w:sz w:val="20"/>
          <w:szCs w:val="20"/>
        </w:rPr>
      </w:pPr>
    </w:p>
    <w:p w:rsidR="00180A46" w:rsidRPr="003E4B46" w:rsidRDefault="00A4067F" w:rsidP="00A4067F">
      <w:pPr>
        <w:pStyle w:val="NoSpacing"/>
        <w:rPr>
          <w:rFonts w:ascii="Segoe UI" w:hAnsi="Segoe UI" w:cs="Segoe UI"/>
          <w:sz w:val="20"/>
          <w:szCs w:val="20"/>
        </w:rPr>
      </w:pPr>
      <w:r w:rsidRPr="003E4B46">
        <w:rPr>
          <w:rFonts w:ascii="Segoe UI" w:hAnsi="Segoe UI" w:cs="Segoe UI"/>
          <w:sz w:val="20"/>
          <w:szCs w:val="20"/>
        </w:rPr>
        <w:t xml:space="preserve">QV </w:t>
      </w:r>
      <w:proofErr w:type="spellStart"/>
      <w:r w:rsidRPr="003E4B46">
        <w:rPr>
          <w:rFonts w:ascii="Segoe UI" w:hAnsi="Segoe UI" w:cs="Segoe UI"/>
          <w:sz w:val="20"/>
          <w:szCs w:val="20"/>
        </w:rPr>
        <w:t>Valuer</w:t>
      </w:r>
      <w:proofErr w:type="spellEnd"/>
      <w:r w:rsidRPr="003E4B46">
        <w:rPr>
          <w:rFonts w:ascii="Segoe UI" w:hAnsi="Segoe UI" w:cs="Segoe UI"/>
          <w:sz w:val="20"/>
          <w:szCs w:val="20"/>
        </w:rPr>
        <w:t xml:space="preserve">, Pieter </w:t>
      </w:r>
      <w:proofErr w:type="spellStart"/>
      <w:r w:rsidRPr="003E4B46">
        <w:rPr>
          <w:rFonts w:ascii="Segoe UI" w:hAnsi="Segoe UI" w:cs="Segoe UI"/>
          <w:sz w:val="20"/>
          <w:szCs w:val="20"/>
        </w:rPr>
        <w:t>Geill</w:t>
      </w:r>
      <w:proofErr w:type="spellEnd"/>
      <w:r w:rsidRPr="003E4B46">
        <w:rPr>
          <w:rFonts w:ascii="Segoe UI" w:hAnsi="Segoe UI" w:cs="Segoe UI"/>
          <w:sz w:val="20"/>
          <w:szCs w:val="20"/>
        </w:rPr>
        <w:t xml:space="preserve"> said, “There are now more listings coming on the market in Lower Hutt than Upper Hutt and open homes in Lower Hutt have reportedly had up to 15 to 20 </w:t>
      </w:r>
      <w:r w:rsidR="005E572B" w:rsidRPr="003E4B46">
        <w:rPr>
          <w:rFonts w:ascii="Segoe UI" w:hAnsi="Segoe UI" w:cs="Segoe UI"/>
          <w:sz w:val="20"/>
          <w:szCs w:val="20"/>
        </w:rPr>
        <w:t>people</w:t>
      </w:r>
      <w:r w:rsidRPr="003E4B46">
        <w:rPr>
          <w:rFonts w:ascii="Segoe UI" w:hAnsi="Segoe UI" w:cs="Segoe UI"/>
          <w:sz w:val="20"/>
          <w:szCs w:val="20"/>
        </w:rPr>
        <w:t xml:space="preserve"> through</w:t>
      </w:r>
      <w:r w:rsidR="005E572B" w:rsidRPr="003E4B46">
        <w:rPr>
          <w:rFonts w:ascii="Segoe UI" w:hAnsi="Segoe UI" w:cs="Segoe UI"/>
          <w:sz w:val="20"/>
          <w:szCs w:val="20"/>
        </w:rPr>
        <w:t xml:space="preserve"> however this has not yet resulted in a significant change in values</w:t>
      </w:r>
      <w:r w:rsidRPr="003E4B46">
        <w:rPr>
          <w:rFonts w:ascii="Segoe UI" w:hAnsi="Segoe UI" w:cs="Segoe UI"/>
          <w:sz w:val="20"/>
          <w:szCs w:val="20"/>
        </w:rPr>
        <w:t>.”</w:t>
      </w:r>
    </w:p>
    <w:p w:rsidR="00A4067F" w:rsidRPr="003E4B46" w:rsidRDefault="00A4067F" w:rsidP="00A4067F">
      <w:pPr>
        <w:pStyle w:val="NoSpacing"/>
        <w:rPr>
          <w:rFonts w:ascii="Segoe UI" w:hAnsi="Segoe UI" w:cs="Segoe UI"/>
          <w:sz w:val="20"/>
          <w:szCs w:val="20"/>
        </w:rPr>
      </w:pPr>
    </w:p>
    <w:p w:rsidR="00441F58" w:rsidRPr="003E4B46" w:rsidRDefault="00441F58" w:rsidP="00A4067F">
      <w:pPr>
        <w:pStyle w:val="NoSpacing"/>
        <w:rPr>
          <w:rFonts w:ascii="Segoe UI" w:hAnsi="Segoe UI" w:cs="Segoe UI"/>
          <w:sz w:val="20"/>
          <w:szCs w:val="20"/>
        </w:rPr>
      </w:pPr>
      <w:r w:rsidRPr="003E4B46">
        <w:rPr>
          <w:rFonts w:ascii="Segoe UI" w:hAnsi="Segoe UI" w:cs="Segoe UI"/>
          <w:sz w:val="20"/>
          <w:szCs w:val="20"/>
        </w:rPr>
        <w:t>“There is a noticeable movement from buyers who are widening their search out of Wellington city looking for more affordable homes in outlying areas</w:t>
      </w:r>
      <w:r w:rsidR="00E53A39" w:rsidRPr="003E4B46">
        <w:rPr>
          <w:rFonts w:ascii="Segoe UI" w:hAnsi="Segoe UI" w:cs="Segoe UI"/>
          <w:sz w:val="20"/>
          <w:szCs w:val="20"/>
        </w:rPr>
        <w:t xml:space="preserve"> and this is creating more demand</w:t>
      </w:r>
      <w:r w:rsidRPr="003E4B46">
        <w:rPr>
          <w:rFonts w:ascii="Segoe UI" w:hAnsi="Segoe UI" w:cs="Segoe UI"/>
          <w:sz w:val="20"/>
          <w:szCs w:val="20"/>
        </w:rPr>
        <w:t>.”</w:t>
      </w:r>
    </w:p>
    <w:p w:rsidR="00A4067F" w:rsidRPr="003E4B46" w:rsidRDefault="00A4067F" w:rsidP="00A4067F">
      <w:pPr>
        <w:pStyle w:val="NoSpacing"/>
        <w:rPr>
          <w:rFonts w:ascii="Segoe UI" w:hAnsi="Segoe UI" w:cs="Segoe UI"/>
          <w:sz w:val="20"/>
          <w:szCs w:val="20"/>
        </w:rPr>
      </w:pPr>
    </w:p>
    <w:p w:rsidR="00A4067F" w:rsidRPr="003E4B46" w:rsidRDefault="00A4067F" w:rsidP="00A4067F">
      <w:pPr>
        <w:pStyle w:val="NoSpacing"/>
        <w:rPr>
          <w:rFonts w:ascii="Segoe UI" w:hAnsi="Segoe UI" w:cs="Segoe UI"/>
          <w:b/>
          <w:sz w:val="20"/>
          <w:szCs w:val="20"/>
        </w:rPr>
      </w:pPr>
      <w:r w:rsidRPr="003E4B46">
        <w:rPr>
          <w:rFonts w:ascii="Segoe UI" w:hAnsi="Segoe UI" w:cs="Segoe UI"/>
          <w:b/>
          <w:sz w:val="20"/>
          <w:szCs w:val="20"/>
        </w:rPr>
        <w:t>Christchurch</w:t>
      </w:r>
      <w:r w:rsidR="00132385" w:rsidRPr="003E4B46">
        <w:rPr>
          <w:rFonts w:ascii="Segoe UI" w:hAnsi="Segoe UI" w:cs="Segoe UI"/>
          <w:b/>
          <w:sz w:val="20"/>
          <w:szCs w:val="20"/>
        </w:rPr>
        <w:t xml:space="preserve"> </w:t>
      </w:r>
      <w:r w:rsidR="00DE705E" w:rsidRPr="003E4B46">
        <w:rPr>
          <w:rFonts w:ascii="Segoe UI" w:hAnsi="Segoe UI" w:cs="Segoe UI"/>
          <w:b/>
          <w:sz w:val="20"/>
          <w:szCs w:val="20"/>
        </w:rPr>
        <w:t>and Dunedin</w:t>
      </w:r>
    </w:p>
    <w:p w:rsidR="00A4067F" w:rsidRPr="003E4B46" w:rsidRDefault="00A4067F" w:rsidP="00A4067F">
      <w:pPr>
        <w:pStyle w:val="NoSpacing"/>
        <w:rPr>
          <w:rFonts w:ascii="Segoe UI" w:hAnsi="Segoe UI" w:cs="Segoe UI"/>
          <w:sz w:val="20"/>
          <w:szCs w:val="20"/>
        </w:rPr>
      </w:pPr>
    </w:p>
    <w:p w:rsidR="00227BBA" w:rsidRDefault="003E4B46" w:rsidP="00A4067F">
      <w:pPr>
        <w:pStyle w:val="NoSpacing"/>
        <w:rPr>
          <w:rFonts w:ascii="Segoe UI" w:hAnsi="Segoe UI" w:cs="Segoe UI"/>
          <w:sz w:val="20"/>
          <w:szCs w:val="20"/>
        </w:rPr>
      </w:pPr>
      <w:r>
        <w:rPr>
          <w:rFonts w:ascii="Segoe UI" w:hAnsi="Segoe UI" w:cs="Segoe UI"/>
          <w:sz w:val="20"/>
          <w:szCs w:val="20"/>
        </w:rPr>
        <w:t xml:space="preserve">Indications are that the rate of growth in the </w:t>
      </w:r>
      <w:r w:rsidR="005B30CD" w:rsidRPr="003E4B46">
        <w:rPr>
          <w:rFonts w:ascii="Segoe UI" w:hAnsi="Segoe UI" w:cs="Segoe UI"/>
          <w:sz w:val="20"/>
          <w:szCs w:val="20"/>
        </w:rPr>
        <w:t xml:space="preserve">Christchurch </w:t>
      </w:r>
      <w:r>
        <w:rPr>
          <w:rFonts w:ascii="Segoe UI" w:hAnsi="Segoe UI" w:cs="Segoe UI"/>
          <w:sz w:val="20"/>
          <w:szCs w:val="20"/>
        </w:rPr>
        <w:t xml:space="preserve">market is slowing </w:t>
      </w:r>
      <w:r w:rsidR="00CB230B">
        <w:rPr>
          <w:rFonts w:ascii="Segoe UI" w:hAnsi="Segoe UI" w:cs="Segoe UI"/>
          <w:sz w:val="20"/>
          <w:szCs w:val="20"/>
        </w:rPr>
        <w:t>and in</w:t>
      </w:r>
      <w:r w:rsidR="00227BBA">
        <w:rPr>
          <w:rFonts w:ascii="Segoe UI" w:hAnsi="Segoe UI" w:cs="Segoe UI"/>
          <w:sz w:val="20"/>
          <w:szCs w:val="20"/>
        </w:rPr>
        <w:t xml:space="preserve"> some areas is levelling off.</w:t>
      </w:r>
    </w:p>
    <w:p w:rsidR="00227BBA" w:rsidRDefault="00227BBA" w:rsidP="00A4067F">
      <w:pPr>
        <w:pStyle w:val="NoSpacing"/>
        <w:rPr>
          <w:rFonts w:ascii="Segoe UI" w:hAnsi="Segoe UI" w:cs="Segoe UI"/>
          <w:sz w:val="20"/>
          <w:szCs w:val="20"/>
        </w:rPr>
      </w:pPr>
    </w:p>
    <w:p w:rsidR="005B30CD" w:rsidRPr="003E4B46" w:rsidRDefault="00227BBA" w:rsidP="00A4067F">
      <w:pPr>
        <w:pStyle w:val="NoSpacing"/>
        <w:rPr>
          <w:rFonts w:ascii="Segoe UI" w:hAnsi="Segoe UI" w:cs="Segoe UI"/>
          <w:sz w:val="20"/>
          <w:szCs w:val="20"/>
        </w:rPr>
      </w:pPr>
      <w:r>
        <w:rPr>
          <w:rFonts w:ascii="Segoe UI" w:hAnsi="Segoe UI" w:cs="Segoe UI"/>
          <w:sz w:val="20"/>
          <w:szCs w:val="20"/>
        </w:rPr>
        <w:t xml:space="preserve">In the last three months values in the </w:t>
      </w:r>
      <w:r w:rsidRPr="003E4B46">
        <w:rPr>
          <w:rFonts w:ascii="Segoe UI" w:hAnsi="Segoe UI" w:cs="Segoe UI"/>
          <w:sz w:val="20"/>
          <w:szCs w:val="20"/>
        </w:rPr>
        <w:t>central, north an</w:t>
      </w:r>
      <w:r>
        <w:rPr>
          <w:rFonts w:ascii="Segoe UI" w:hAnsi="Segoe UI" w:cs="Segoe UI"/>
          <w:sz w:val="20"/>
          <w:szCs w:val="20"/>
        </w:rPr>
        <w:t>d southern areas of the city rose 2.9%; the city and Banks Peninsula rose</w:t>
      </w:r>
      <w:r w:rsidR="005B30CD" w:rsidRPr="003E4B46">
        <w:rPr>
          <w:rFonts w:ascii="Segoe UI" w:hAnsi="Segoe UI" w:cs="Segoe UI"/>
          <w:sz w:val="20"/>
          <w:szCs w:val="20"/>
        </w:rPr>
        <w:t xml:space="preserve"> 2.6</w:t>
      </w:r>
      <w:r>
        <w:rPr>
          <w:rFonts w:ascii="Segoe UI" w:hAnsi="Segoe UI" w:cs="Segoe UI"/>
          <w:sz w:val="20"/>
          <w:szCs w:val="20"/>
        </w:rPr>
        <w:t xml:space="preserve">%, values in the </w:t>
      </w:r>
      <w:r w:rsidRPr="003E4B46">
        <w:rPr>
          <w:rFonts w:ascii="Segoe UI" w:hAnsi="Segoe UI" w:cs="Segoe UI"/>
          <w:sz w:val="20"/>
          <w:szCs w:val="20"/>
        </w:rPr>
        <w:t xml:space="preserve">Port Hills </w:t>
      </w:r>
      <w:r>
        <w:rPr>
          <w:rFonts w:ascii="Segoe UI" w:hAnsi="Segoe UI" w:cs="Segoe UI"/>
          <w:sz w:val="20"/>
          <w:szCs w:val="20"/>
        </w:rPr>
        <w:t>were up just</w:t>
      </w:r>
      <w:r w:rsidRPr="003E4B46">
        <w:rPr>
          <w:rFonts w:ascii="Segoe UI" w:hAnsi="Segoe UI" w:cs="Segoe UI"/>
          <w:sz w:val="20"/>
          <w:szCs w:val="20"/>
        </w:rPr>
        <w:t xml:space="preserve"> 1.2%</w:t>
      </w:r>
      <w:r>
        <w:rPr>
          <w:rFonts w:ascii="Segoe UI" w:hAnsi="Segoe UI" w:cs="Segoe UI"/>
          <w:sz w:val="20"/>
          <w:szCs w:val="20"/>
        </w:rPr>
        <w:t xml:space="preserve"> and values in the eastern suburbs increased just 0.8%. However, </w:t>
      </w:r>
      <w:r w:rsidR="005B30CD" w:rsidRPr="003E4B46">
        <w:rPr>
          <w:rFonts w:ascii="Segoe UI" w:hAnsi="Segoe UI" w:cs="Segoe UI"/>
          <w:sz w:val="20"/>
          <w:szCs w:val="20"/>
        </w:rPr>
        <w:t>year</w:t>
      </w:r>
      <w:r>
        <w:rPr>
          <w:rFonts w:ascii="Segoe UI" w:hAnsi="Segoe UI" w:cs="Segoe UI"/>
          <w:sz w:val="20"/>
          <w:szCs w:val="20"/>
        </w:rPr>
        <w:t xml:space="preserve"> on year</w:t>
      </w:r>
      <w:r w:rsidR="005B30CD" w:rsidRPr="003E4B46">
        <w:rPr>
          <w:rFonts w:ascii="Segoe UI" w:hAnsi="Segoe UI" w:cs="Segoe UI"/>
          <w:sz w:val="20"/>
          <w:szCs w:val="20"/>
        </w:rPr>
        <w:t xml:space="preserve"> values</w:t>
      </w:r>
      <w:r>
        <w:rPr>
          <w:rFonts w:ascii="Segoe UI" w:hAnsi="Segoe UI" w:cs="Segoe UI"/>
          <w:sz w:val="20"/>
          <w:szCs w:val="20"/>
        </w:rPr>
        <w:t xml:space="preserve"> in the city</w:t>
      </w:r>
      <w:r w:rsidR="005B30CD" w:rsidRPr="003E4B46">
        <w:rPr>
          <w:rFonts w:ascii="Segoe UI" w:hAnsi="Segoe UI" w:cs="Segoe UI"/>
          <w:sz w:val="20"/>
          <w:szCs w:val="20"/>
        </w:rPr>
        <w:t xml:space="preserve"> were up between 12 and 14% on t</w:t>
      </w:r>
      <w:r>
        <w:rPr>
          <w:rFonts w:ascii="Segoe UI" w:hAnsi="Segoe UI" w:cs="Segoe UI"/>
          <w:sz w:val="20"/>
          <w:szCs w:val="20"/>
        </w:rPr>
        <w:t>his time last year</w:t>
      </w:r>
      <w:r w:rsidR="005B30CD" w:rsidRPr="003E4B46">
        <w:rPr>
          <w:rFonts w:ascii="Segoe UI" w:hAnsi="Segoe UI" w:cs="Segoe UI"/>
          <w:sz w:val="20"/>
          <w:szCs w:val="20"/>
        </w:rPr>
        <w:t xml:space="preserve">. </w:t>
      </w:r>
    </w:p>
    <w:p w:rsidR="005E572B" w:rsidRPr="003E4B46" w:rsidRDefault="005E572B" w:rsidP="00A4067F">
      <w:pPr>
        <w:pStyle w:val="NoSpacing"/>
        <w:rPr>
          <w:rFonts w:ascii="Segoe UI" w:hAnsi="Segoe UI" w:cs="Segoe UI"/>
          <w:sz w:val="20"/>
          <w:szCs w:val="20"/>
        </w:rPr>
      </w:pPr>
    </w:p>
    <w:p w:rsidR="000B63A4" w:rsidRPr="003E4B46" w:rsidRDefault="00050256" w:rsidP="005B30CD">
      <w:pPr>
        <w:pStyle w:val="NoSpacing"/>
        <w:rPr>
          <w:rFonts w:ascii="Segoe UI" w:hAnsi="Segoe UI" w:cs="Segoe UI"/>
          <w:sz w:val="20"/>
          <w:szCs w:val="20"/>
        </w:rPr>
      </w:pPr>
      <w:r w:rsidRPr="003E4B46">
        <w:rPr>
          <w:rFonts w:ascii="Segoe UI" w:hAnsi="Segoe UI" w:cs="Segoe UI"/>
          <w:sz w:val="20"/>
          <w:szCs w:val="20"/>
        </w:rPr>
        <w:t xml:space="preserve">QV Valuer </w:t>
      </w:r>
      <w:r w:rsidR="00043ACC" w:rsidRPr="003E4B46">
        <w:rPr>
          <w:rFonts w:ascii="Segoe UI" w:hAnsi="Segoe UI" w:cs="Segoe UI"/>
          <w:sz w:val="20"/>
          <w:szCs w:val="20"/>
        </w:rPr>
        <w:t>Daryl Taggart</w:t>
      </w:r>
      <w:r w:rsidRPr="003E4B46">
        <w:rPr>
          <w:rFonts w:ascii="Segoe UI" w:hAnsi="Segoe UI" w:cs="Segoe UI"/>
          <w:sz w:val="20"/>
          <w:szCs w:val="20"/>
        </w:rPr>
        <w:t xml:space="preserve"> said “</w:t>
      </w:r>
      <w:r w:rsidR="005B30CD" w:rsidRPr="003E4B46">
        <w:rPr>
          <w:rFonts w:ascii="Segoe UI" w:hAnsi="Segoe UI" w:cs="Segoe UI"/>
          <w:sz w:val="20"/>
          <w:szCs w:val="20"/>
        </w:rPr>
        <w:t>Christchurch city has been relatively quiet over the holiday period but things are now picking up again.</w:t>
      </w:r>
      <w:r w:rsidR="000B63A4" w:rsidRPr="003E4B46">
        <w:rPr>
          <w:rFonts w:ascii="Segoe UI" w:hAnsi="Segoe UI" w:cs="Segoe UI"/>
          <w:sz w:val="20"/>
          <w:szCs w:val="20"/>
        </w:rPr>
        <w:t>”</w:t>
      </w:r>
    </w:p>
    <w:p w:rsidR="000B63A4" w:rsidRPr="003E4B46" w:rsidRDefault="000B63A4" w:rsidP="005B30CD">
      <w:pPr>
        <w:pStyle w:val="NoSpacing"/>
        <w:rPr>
          <w:rFonts w:ascii="Segoe UI" w:hAnsi="Segoe UI" w:cs="Segoe UI"/>
          <w:sz w:val="20"/>
          <w:szCs w:val="20"/>
        </w:rPr>
      </w:pPr>
    </w:p>
    <w:p w:rsidR="000B63A4" w:rsidRPr="003E4B46" w:rsidRDefault="000B63A4" w:rsidP="005B30CD">
      <w:pPr>
        <w:pStyle w:val="NoSpacing"/>
        <w:rPr>
          <w:rFonts w:ascii="Segoe UI" w:hAnsi="Segoe UI" w:cs="Segoe UI"/>
          <w:sz w:val="20"/>
          <w:szCs w:val="20"/>
        </w:rPr>
      </w:pPr>
      <w:r w:rsidRPr="003E4B46">
        <w:rPr>
          <w:rFonts w:ascii="Segoe UI" w:hAnsi="Segoe UI" w:cs="Segoe UI"/>
          <w:sz w:val="20"/>
          <w:szCs w:val="20"/>
        </w:rPr>
        <w:t xml:space="preserve">“There is a noticeable flattening off of values in the Selwyn </w:t>
      </w:r>
      <w:r w:rsidR="00CB230B">
        <w:rPr>
          <w:rFonts w:ascii="Segoe UI" w:hAnsi="Segoe UI" w:cs="Segoe UI"/>
          <w:sz w:val="20"/>
          <w:szCs w:val="20"/>
        </w:rPr>
        <w:t>district with values 1.1% in the last three months</w:t>
      </w:r>
      <w:r w:rsidR="00723D77">
        <w:rPr>
          <w:rFonts w:ascii="Segoe UI" w:hAnsi="Segoe UI" w:cs="Segoe UI"/>
          <w:sz w:val="20"/>
          <w:szCs w:val="20"/>
        </w:rPr>
        <w:t>,</w:t>
      </w:r>
      <w:r w:rsidRPr="003E4B46">
        <w:rPr>
          <w:rFonts w:ascii="Segoe UI" w:hAnsi="Segoe UI" w:cs="Segoe UI"/>
          <w:sz w:val="20"/>
          <w:szCs w:val="20"/>
        </w:rPr>
        <w:t xml:space="preserve"> but </w:t>
      </w:r>
      <w:r w:rsidR="00723D77">
        <w:rPr>
          <w:rFonts w:ascii="Segoe UI" w:hAnsi="Segoe UI" w:cs="Segoe UI"/>
          <w:sz w:val="20"/>
          <w:szCs w:val="20"/>
        </w:rPr>
        <w:t>post quake this area had a significant increase.  Values have risen 30.6% since 2007</w:t>
      </w:r>
      <w:r w:rsidRPr="003E4B46">
        <w:rPr>
          <w:rFonts w:ascii="Segoe UI" w:hAnsi="Segoe UI" w:cs="Segoe UI"/>
          <w:sz w:val="20"/>
          <w:szCs w:val="20"/>
        </w:rPr>
        <w:t xml:space="preserve">.” </w:t>
      </w:r>
    </w:p>
    <w:p w:rsidR="000B63A4" w:rsidRPr="003E4B46" w:rsidRDefault="000B63A4" w:rsidP="005B30CD">
      <w:pPr>
        <w:pStyle w:val="NoSpacing"/>
        <w:rPr>
          <w:rFonts w:ascii="Segoe UI" w:hAnsi="Segoe UI" w:cs="Segoe UI"/>
          <w:sz w:val="20"/>
          <w:szCs w:val="20"/>
        </w:rPr>
      </w:pPr>
    </w:p>
    <w:p w:rsidR="000B63A4" w:rsidRPr="003E4B46" w:rsidRDefault="00723D77" w:rsidP="005B30CD">
      <w:pPr>
        <w:pStyle w:val="NoSpacing"/>
        <w:rPr>
          <w:rFonts w:ascii="Segoe UI" w:hAnsi="Segoe UI" w:cs="Segoe UI"/>
          <w:sz w:val="20"/>
          <w:szCs w:val="20"/>
        </w:rPr>
      </w:pPr>
      <w:r>
        <w:rPr>
          <w:rFonts w:ascii="Segoe UI" w:hAnsi="Segoe UI" w:cs="Segoe UI"/>
          <w:sz w:val="20"/>
          <w:szCs w:val="20"/>
        </w:rPr>
        <w:t xml:space="preserve">“We are </w:t>
      </w:r>
      <w:r w:rsidR="000B63A4" w:rsidRPr="003E4B46">
        <w:rPr>
          <w:rFonts w:ascii="Segoe UI" w:hAnsi="Segoe UI" w:cs="Segoe UI"/>
          <w:sz w:val="20"/>
          <w:szCs w:val="20"/>
        </w:rPr>
        <w:t xml:space="preserve">still </w:t>
      </w:r>
      <w:r>
        <w:rPr>
          <w:rFonts w:ascii="Segoe UI" w:hAnsi="Segoe UI" w:cs="Segoe UI"/>
          <w:sz w:val="20"/>
          <w:szCs w:val="20"/>
        </w:rPr>
        <w:t xml:space="preserve">seeing </w:t>
      </w:r>
      <w:r w:rsidR="000B63A4" w:rsidRPr="003E4B46">
        <w:rPr>
          <w:rFonts w:ascii="Segoe UI" w:hAnsi="Segoe UI" w:cs="Segoe UI"/>
          <w:sz w:val="20"/>
          <w:szCs w:val="20"/>
        </w:rPr>
        <w:t>high demand for properties and with rents remaining high, there is also interest from investors as there are good returns to be had in the market at the moment.”</w:t>
      </w:r>
    </w:p>
    <w:p w:rsidR="000B63A4" w:rsidRPr="003E4B46" w:rsidRDefault="000B63A4" w:rsidP="005B30CD">
      <w:pPr>
        <w:pStyle w:val="NoSpacing"/>
        <w:rPr>
          <w:rFonts w:ascii="Segoe UI" w:hAnsi="Segoe UI" w:cs="Segoe UI"/>
          <w:sz w:val="20"/>
          <w:szCs w:val="20"/>
        </w:rPr>
      </w:pPr>
    </w:p>
    <w:p w:rsidR="00BD04D8" w:rsidRPr="003E4B46" w:rsidRDefault="00D84250" w:rsidP="003B26B2">
      <w:pPr>
        <w:pStyle w:val="NoSpacing"/>
        <w:rPr>
          <w:rFonts w:ascii="Segoe UI" w:hAnsi="Segoe UI" w:cs="Segoe UI"/>
          <w:sz w:val="20"/>
          <w:szCs w:val="20"/>
        </w:rPr>
      </w:pPr>
      <w:r w:rsidRPr="003E4B46">
        <w:rPr>
          <w:rFonts w:ascii="Segoe UI" w:hAnsi="Segoe UI" w:cs="Segoe UI"/>
          <w:sz w:val="20"/>
          <w:szCs w:val="20"/>
        </w:rPr>
        <w:t xml:space="preserve">The </w:t>
      </w:r>
      <w:r w:rsidR="0093688D" w:rsidRPr="003E4B46">
        <w:rPr>
          <w:rFonts w:ascii="Segoe UI" w:hAnsi="Segoe UI" w:cs="Segoe UI"/>
          <w:sz w:val="20"/>
          <w:szCs w:val="20"/>
        </w:rPr>
        <w:t xml:space="preserve">Dunedin </w:t>
      </w:r>
      <w:r w:rsidR="00892EB2" w:rsidRPr="003E4B46">
        <w:rPr>
          <w:rFonts w:ascii="Segoe UI" w:hAnsi="Segoe UI" w:cs="Segoe UI"/>
          <w:sz w:val="20"/>
          <w:szCs w:val="20"/>
        </w:rPr>
        <w:t xml:space="preserve">City property market is showing </w:t>
      </w:r>
      <w:r w:rsidR="005905B6" w:rsidRPr="003E4B46">
        <w:rPr>
          <w:rFonts w:ascii="Segoe UI" w:hAnsi="Segoe UI" w:cs="Segoe UI"/>
          <w:sz w:val="20"/>
          <w:szCs w:val="20"/>
        </w:rPr>
        <w:t>good level</w:t>
      </w:r>
      <w:r w:rsidR="00892EB2" w:rsidRPr="003E4B46">
        <w:rPr>
          <w:rFonts w:ascii="Segoe UI" w:hAnsi="Segoe UI" w:cs="Segoe UI"/>
          <w:sz w:val="20"/>
          <w:szCs w:val="20"/>
        </w:rPr>
        <w:t>s</w:t>
      </w:r>
      <w:r w:rsidR="005905B6" w:rsidRPr="003E4B46">
        <w:rPr>
          <w:rFonts w:ascii="Segoe UI" w:hAnsi="Segoe UI" w:cs="Segoe UI"/>
          <w:sz w:val="20"/>
          <w:szCs w:val="20"/>
        </w:rPr>
        <w:t xml:space="preserve"> of activi</w:t>
      </w:r>
      <w:r w:rsidR="00892EB2" w:rsidRPr="003E4B46">
        <w:rPr>
          <w:rFonts w:ascii="Segoe UI" w:hAnsi="Segoe UI" w:cs="Segoe UI"/>
          <w:sz w:val="20"/>
          <w:szCs w:val="20"/>
        </w:rPr>
        <w:t>ty and reasonable demand</w:t>
      </w:r>
      <w:r w:rsidR="005905B6" w:rsidRPr="003E4B46">
        <w:rPr>
          <w:rFonts w:ascii="Segoe UI" w:hAnsi="Segoe UI" w:cs="Segoe UI"/>
          <w:sz w:val="20"/>
          <w:szCs w:val="20"/>
        </w:rPr>
        <w:t xml:space="preserve">. </w:t>
      </w:r>
      <w:r w:rsidR="00DE705E" w:rsidRPr="003E4B46">
        <w:rPr>
          <w:rFonts w:ascii="Segoe UI" w:hAnsi="Segoe UI" w:cs="Segoe UI"/>
          <w:sz w:val="20"/>
          <w:szCs w:val="20"/>
        </w:rPr>
        <w:t>Values are now 2.5</w:t>
      </w:r>
      <w:r w:rsidR="00D16219" w:rsidRPr="003E4B46">
        <w:rPr>
          <w:rFonts w:ascii="Segoe UI" w:hAnsi="Segoe UI" w:cs="Segoe UI"/>
          <w:sz w:val="20"/>
          <w:szCs w:val="20"/>
        </w:rPr>
        <w:t xml:space="preserve">% </w:t>
      </w:r>
      <w:r w:rsidR="00FA398E" w:rsidRPr="003E4B46">
        <w:rPr>
          <w:rFonts w:ascii="Segoe UI" w:hAnsi="Segoe UI" w:cs="Segoe UI"/>
          <w:sz w:val="20"/>
          <w:szCs w:val="20"/>
        </w:rPr>
        <w:t xml:space="preserve">above </w:t>
      </w:r>
      <w:r w:rsidR="00892EB2" w:rsidRPr="003E4B46">
        <w:rPr>
          <w:rFonts w:ascii="Segoe UI" w:hAnsi="Segoe UI" w:cs="Segoe UI"/>
          <w:sz w:val="20"/>
          <w:szCs w:val="20"/>
        </w:rPr>
        <w:t xml:space="preserve">this time </w:t>
      </w:r>
      <w:r w:rsidR="00FA398E" w:rsidRPr="003E4B46">
        <w:rPr>
          <w:rFonts w:ascii="Segoe UI" w:hAnsi="Segoe UI" w:cs="Segoe UI"/>
          <w:sz w:val="20"/>
          <w:szCs w:val="20"/>
        </w:rPr>
        <w:t>last year</w:t>
      </w:r>
      <w:r w:rsidR="00DE705E" w:rsidRPr="003E4B46">
        <w:rPr>
          <w:rFonts w:ascii="Segoe UI" w:hAnsi="Segoe UI" w:cs="Segoe UI"/>
          <w:sz w:val="20"/>
          <w:szCs w:val="20"/>
        </w:rPr>
        <w:t xml:space="preserve"> </w:t>
      </w:r>
      <w:r w:rsidR="00892EB2" w:rsidRPr="003E4B46">
        <w:rPr>
          <w:rFonts w:ascii="Segoe UI" w:hAnsi="Segoe UI" w:cs="Segoe UI"/>
          <w:sz w:val="20"/>
          <w:szCs w:val="20"/>
        </w:rPr>
        <w:t xml:space="preserve">and there’s been </w:t>
      </w:r>
      <w:r w:rsidR="00DE705E" w:rsidRPr="003E4B46">
        <w:rPr>
          <w:rFonts w:ascii="Segoe UI" w:hAnsi="Segoe UI" w:cs="Segoe UI"/>
          <w:sz w:val="20"/>
          <w:szCs w:val="20"/>
        </w:rPr>
        <w:t>a 1.6</w:t>
      </w:r>
      <w:r w:rsidR="00100A3B" w:rsidRPr="003E4B46">
        <w:rPr>
          <w:rFonts w:ascii="Segoe UI" w:hAnsi="Segoe UI" w:cs="Segoe UI"/>
          <w:sz w:val="20"/>
          <w:szCs w:val="20"/>
        </w:rPr>
        <w:t>% increase over the past three months</w:t>
      </w:r>
      <w:r w:rsidR="00FA398E" w:rsidRPr="003E4B46">
        <w:rPr>
          <w:rFonts w:ascii="Segoe UI" w:hAnsi="Segoe UI" w:cs="Segoe UI"/>
          <w:sz w:val="20"/>
          <w:szCs w:val="20"/>
        </w:rPr>
        <w:t>.</w:t>
      </w:r>
    </w:p>
    <w:p w:rsidR="007A75D4" w:rsidRPr="003E4B46" w:rsidRDefault="007A75D4" w:rsidP="003B26B2">
      <w:pPr>
        <w:pStyle w:val="NoSpacing"/>
        <w:rPr>
          <w:rFonts w:ascii="Segoe UI" w:hAnsi="Segoe UI" w:cs="Segoe UI"/>
          <w:sz w:val="20"/>
          <w:szCs w:val="20"/>
          <w:highlight w:val="yellow"/>
        </w:rPr>
      </w:pPr>
    </w:p>
    <w:p w:rsidR="00DE705E" w:rsidRPr="003E4B46" w:rsidRDefault="007A75D4" w:rsidP="003B26B2">
      <w:pPr>
        <w:pStyle w:val="NoSpacing"/>
        <w:rPr>
          <w:rFonts w:ascii="Segoe UI" w:hAnsi="Segoe UI" w:cs="Segoe UI"/>
          <w:sz w:val="20"/>
          <w:szCs w:val="20"/>
        </w:rPr>
      </w:pPr>
      <w:r w:rsidRPr="003E4B46">
        <w:rPr>
          <w:rFonts w:ascii="Segoe UI" w:hAnsi="Segoe UI" w:cs="Segoe UI"/>
          <w:sz w:val="20"/>
          <w:szCs w:val="20"/>
        </w:rPr>
        <w:lastRenderedPageBreak/>
        <w:t>QV Valuer Duncan Jack said “</w:t>
      </w:r>
      <w:r w:rsidR="00DE705E" w:rsidRPr="003E4B46">
        <w:rPr>
          <w:rFonts w:ascii="Segoe UI" w:hAnsi="Segoe UI" w:cs="Segoe UI"/>
          <w:sz w:val="20"/>
          <w:szCs w:val="20"/>
        </w:rPr>
        <w:t xml:space="preserve">We are seeing more </w:t>
      </w:r>
      <w:r w:rsidR="00F30331">
        <w:rPr>
          <w:rFonts w:ascii="Segoe UI" w:hAnsi="Segoe UI" w:cs="Segoe UI"/>
          <w:sz w:val="20"/>
          <w:szCs w:val="20"/>
        </w:rPr>
        <w:t>activity</w:t>
      </w:r>
      <w:r w:rsidR="00DE705E" w:rsidRPr="003E4B46">
        <w:rPr>
          <w:rFonts w:ascii="Segoe UI" w:hAnsi="Segoe UI" w:cs="Segoe UI"/>
          <w:sz w:val="20"/>
          <w:szCs w:val="20"/>
        </w:rPr>
        <w:t xml:space="preserve"> at the upper-end of the market </w:t>
      </w:r>
      <w:r w:rsidR="00F30331">
        <w:rPr>
          <w:rFonts w:ascii="Segoe UI" w:hAnsi="Segoe UI" w:cs="Segoe UI"/>
          <w:sz w:val="20"/>
          <w:szCs w:val="20"/>
        </w:rPr>
        <w:t xml:space="preserve">of </w:t>
      </w:r>
      <w:r w:rsidR="00DE705E" w:rsidRPr="003E4B46">
        <w:rPr>
          <w:rFonts w:ascii="Segoe UI" w:hAnsi="Segoe UI" w:cs="Segoe UI"/>
          <w:sz w:val="20"/>
          <w:szCs w:val="20"/>
        </w:rPr>
        <w:t xml:space="preserve">$500k </w:t>
      </w:r>
      <w:r w:rsidR="00F30331">
        <w:rPr>
          <w:rFonts w:ascii="Segoe UI" w:hAnsi="Segoe UI" w:cs="Segoe UI"/>
          <w:sz w:val="20"/>
          <w:szCs w:val="20"/>
        </w:rPr>
        <w:t xml:space="preserve">plus </w:t>
      </w:r>
      <w:r w:rsidR="00DE705E" w:rsidRPr="003E4B46">
        <w:rPr>
          <w:rFonts w:ascii="Segoe UI" w:hAnsi="Segoe UI" w:cs="Segoe UI"/>
          <w:sz w:val="20"/>
          <w:szCs w:val="20"/>
        </w:rPr>
        <w:t>which is a sector that hasn’t been affected by the LVR changes.”</w:t>
      </w:r>
    </w:p>
    <w:p w:rsidR="00DE705E" w:rsidRPr="003E4B46" w:rsidRDefault="00DE705E" w:rsidP="003B26B2">
      <w:pPr>
        <w:pStyle w:val="NoSpacing"/>
        <w:rPr>
          <w:rFonts w:ascii="Segoe UI" w:hAnsi="Segoe UI" w:cs="Segoe UI"/>
          <w:sz w:val="20"/>
          <w:szCs w:val="20"/>
        </w:rPr>
      </w:pPr>
    </w:p>
    <w:p w:rsidR="00DE705E" w:rsidRPr="003E4B46" w:rsidRDefault="005905B6" w:rsidP="003B26B2">
      <w:pPr>
        <w:pStyle w:val="NoSpacing"/>
        <w:rPr>
          <w:rFonts w:ascii="Segoe UI" w:hAnsi="Segoe UI" w:cs="Segoe UI"/>
          <w:sz w:val="20"/>
          <w:szCs w:val="20"/>
        </w:rPr>
      </w:pPr>
      <w:r w:rsidRPr="003E4B46">
        <w:rPr>
          <w:rFonts w:ascii="Segoe UI" w:hAnsi="Segoe UI" w:cs="Segoe UI"/>
          <w:sz w:val="20"/>
          <w:szCs w:val="20"/>
        </w:rPr>
        <w:t>“</w:t>
      </w:r>
      <w:r w:rsidR="00DE705E" w:rsidRPr="003E4B46">
        <w:rPr>
          <w:rFonts w:ascii="Segoe UI" w:hAnsi="Segoe UI" w:cs="Segoe UI"/>
          <w:sz w:val="20"/>
          <w:szCs w:val="20"/>
        </w:rPr>
        <w:t>There is less activity in the lower end of the market which could be the effect of the LVR caps kicking in.”</w:t>
      </w:r>
    </w:p>
    <w:p w:rsidR="00DE705E" w:rsidRPr="003E4B46" w:rsidRDefault="00DE705E" w:rsidP="003B26B2">
      <w:pPr>
        <w:pStyle w:val="NoSpacing"/>
        <w:rPr>
          <w:rFonts w:ascii="Segoe UI" w:hAnsi="Segoe UI" w:cs="Segoe UI"/>
          <w:sz w:val="20"/>
          <w:szCs w:val="20"/>
        </w:rPr>
      </w:pPr>
    </w:p>
    <w:p w:rsidR="00DE705E" w:rsidRPr="003E4B46" w:rsidRDefault="00DE705E" w:rsidP="003B26B2">
      <w:pPr>
        <w:pStyle w:val="NoSpacing"/>
        <w:rPr>
          <w:rFonts w:ascii="Segoe UI" w:hAnsi="Segoe UI" w:cs="Segoe UI"/>
          <w:sz w:val="20"/>
          <w:szCs w:val="20"/>
          <w:highlight w:val="yellow"/>
        </w:rPr>
      </w:pPr>
    </w:p>
    <w:p w:rsidR="00566A54" w:rsidRPr="003E4B46" w:rsidRDefault="00566A54" w:rsidP="007537D5">
      <w:pPr>
        <w:spacing w:after="0" w:line="240" w:lineRule="auto"/>
        <w:rPr>
          <w:rFonts w:ascii="Segoe UI" w:hAnsi="Segoe UI" w:cs="Segoe UI"/>
          <w:b/>
          <w:sz w:val="20"/>
          <w:szCs w:val="20"/>
        </w:rPr>
      </w:pPr>
      <w:r w:rsidRPr="003E4B46">
        <w:rPr>
          <w:rFonts w:ascii="Segoe UI" w:hAnsi="Segoe UI" w:cs="Segoe UI"/>
          <w:b/>
          <w:sz w:val="20"/>
          <w:szCs w:val="20"/>
        </w:rPr>
        <w:t>Provincial centres</w:t>
      </w:r>
    </w:p>
    <w:p w:rsidR="00DF58F0" w:rsidRPr="003E4B46" w:rsidRDefault="00DF58F0" w:rsidP="003B0F17">
      <w:pPr>
        <w:spacing w:after="0" w:line="240" w:lineRule="auto"/>
        <w:rPr>
          <w:rFonts w:ascii="Segoe UI" w:hAnsi="Segoe UI" w:cs="Segoe UI"/>
          <w:sz w:val="20"/>
          <w:szCs w:val="20"/>
        </w:rPr>
      </w:pPr>
    </w:p>
    <w:p w:rsidR="00E6316B" w:rsidRPr="003E4B46" w:rsidRDefault="000B63A4" w:rsidP="003B0F17">
      <w:pPr>
        <w:spacing w:after="0" w:line="240" w:lineRule="auto"/>
        <w:rPr>
          <w:rFonts w:ascii="Segoe UI" w:hAnsi="Segoe UI" w:cs="Segoe UI"/>
          <w:sz w:val="20"/>
          <w:szCs w:val="20"/>
        </w:rPr>
      </w:pPr>
      <w:r w:rsidRPr="003E4B46">
        <w:rPr>
          <w:rFonts w:ascii="Segoe UI" w:hAnsi="Segoe UI" w:cs="Segoe UI"/>
          <w:sz w:val="20"/>
          <w:szCs w:val="20"/>
        </w:rPr>
        <w:t>Values in the</w:t>
      </w:r>
      <w:r w:rsidR="00EF36FF" w:rsidRPr="003E4B46">
        <w:rPr>
          <w:rFonts w:ascii="Segoe UI" w:hAnsi="Segoe UI" w:cs="Segoe UI"/>
          <w:sz w:val="20"/>
          <w:szCs w:val="20"/>
        </w:rPr>
        <w:t xml:space="preserve"> </w:t>
      </w:r>
      <w:r w:rsidR="005D3C5E" w:rsidRPr="003E4B46">
        <w:rPr>
          <w:rFonts w:ascii="Segoe UI" w:hAnsi="Segoe UI" w:cs="Segoe UI"/>
          <w:sz w:val="20"/>
          <w:szCs w:val="20"/>
        </w:rPr>
        <w:t xml:space="preserve">provincial centres </w:t>
      </w:r>
      <w:r w:rsidR="00AB4E77" w:rsidRPr="003E4B46">
        <w:rPr>
          <w:rFonts w:ascii="Segoe UI" w:hAnsi="Segoe UI" w:cs="Segoe UI"/>
          <w:sz w:val="20"/>
          <w:szCs w:val="20"/>
        </w:rPr>
        <w:t>are</w:t>
      </w:r>
      <w:r w:rsidR="006917A4" w:rsidRPr="003E4B46">
        <w:rPr>
          <w:rFonts w:ascii="Segoe UI" w:hAnsi="Segoe UI" w:cs="Segoe UI"/>
          <w:sz w:val="20"/>
          <w:szCs w:val="20"/>
        </w:rPr>
        <w:t xml:space="preserve"> </w:t>
      </w:r>
      <w:r w:rsidRPr="003E4B46">
        <w:rPr>
          <w:rFonts w:ascii="Segoe UI" w:hAnsi="Segoe UI" w:cs="Segoe UI"/>
          <w:sz w:val="20"/>
          <w:szCs w:val="20"/>
        </w:rPr>
        <w:t xml:space="preserve">variable with some </w:t>
      </w:r>
      <w:r w:rsidR="00AB4E77" w:rsidRPr="003E4B46">
        <w:rPr>
          <w:rFonts w:ascii="Segoe UI" w:hAnsi="Segoe UI" w:cs="Segoe UI"/>
          <w:sz w:val="20"/>
          <w:szCs w:val="20"/>
        </w:rPr>
        <w:t>experiencing growth</w:t>
      </w:r>
      <w:r w:rsidR="00DF58F0" w:rsidRPr="003E4B46">
        <w:rPr>
          <w:rFonts w:ascii="Segoe UI" w:hAnsi="Segoe UI" w:cs="Segoe UI"/>
          <w:sz w:val="20"/>
          <w:szCs w:val="20"/>
        </w:rPr>
        <w:t>, others remaining stable and in some cases a decline</w:t>
      </w:r>
      <w:r w:rsidR="00AB4E77" w:rsidRPr="003E4B46">
        <w:rPr>
          <w:rFonts w:ascii="Segoe UI" w:hAnsi="Segoe UI" w:cs="Segoe UI"/>
          <w:sz w:val="20"/>
          <w:szCs w:val="20"/>
        </w:rPr>
        <w:t xml:space="preserve">.  In the North Island, </w:t>
      </w:r>
      <w:r w:rsidRPr="003E4B46">
        <w:rPr>
          <w:rFonts w:ascii="Segoe UI" w:hAnsi="Segoe UI" w:cs="Segoe UI"/>
          <w:sz w:val="20"/>
          <w:szCs w:val="20"/>
        </w:rPr>
        <w:t xml:space="preserve">the </w:t>
      </w:r>
      <w:proofErr w:type="spellStart"/>
      <w:r w:rsidR="00EF36FF" w:rsidRPr="003E4B46">
        <w:rPr>
          <w:rFonts w:ascii="Segoe UI" w:hAnsi="Segoe UI" w:cs="Segoe UI"/>
          <w:sz w:val="20"/>
          <w:szCs w:val="20"/>
        </w:rPr>
        <w:t>Gisborne</w:t>
      </w:r>
      <w:proofErr w:type="spellEnd"/>
      <w:r w:rsidR="00EF36FF" w:rsidRPr="003E4B46">
        <w:rPr>
          <w:rFonts w:ascii="Segoe UI" w:hAnsi="Segoe UI" w:cs="Segoe UI"/>
          <w:sz w:val="20"/>
          <w:szCs w:val="20"/>
        </w:rPr>
        <w:t xml:space="preserve"> </w:t>
      </w:r>
      <w:r w:rsidRPr="003E4B46">
        <w:rPr>
          <w:rFonts w:ascii="Segoe UI" w:hAnsi="Segoe UI" w:cs="Segoe UI"/>
          <w:sz w:val="20"/>
          <w:szCs w:val="20"/>
        </w:rPr>
        <w:t xml:space="preserve">district was up 5.1% and New Plymouth was up 6.5% </w:t>
      </w:r>
      <w:r w:rsidR="00EF36FF" w:rsidRPr="003E4B46">
        <w:rPr>
          <w:rFonts w:ascii="Segoe UI" w:hAnsi="Segoe UI" w:cs="Segoe UI"/>
          <w:sz w:val="20"/>
          <w:szCs w:val="20"/>
        </w:rPr>
        <w:t>over the past year</w:t>
      </w:r>
      <w:r w:rsidR="00AB4E77" w:rsidRPr="003E4B46">
        <w:rPr>
          <w:rFonts w:ascii="Segoe UI" w:hAnsi="Segoe UI" w:cs="Segoe UI"/>
          <w:sz w:val="20"/>
          <w:szCs w:val="20"/>
        </w:rPr>
        <w:t xml:space="preserve">.  </w:t>
      </w:r>
    </w:p>
    <w:p w:rsidR="006917A4" w:rsidRPr="003E4B46" w:rsidRDefault="006917A4" w:rsidP="003B0F17">
      <w:pPr>
        <w:spacing w:after="0" w:line="240" w:lineRule="auto"/>
        <w:rPr>
          <w:rFonts w:ascii="Segoe UI" w:hAnsi="Segoe UI" w:cs="Segoe UI"/>
          <w:sz w:val="20"/>
          <w:szCs w:val="20"/>
          <w:highlight w:val="yellow"/>
        </w:rPr>
      </w:pPr>
    </w:p>
    <w:p w:rsidR="006733C3" w:rsidRPr="003E4B46" w:rsidRDefault="008F700B" w:rsidP="003B0F17">
      <w:pPr>
        <w:spacing w:after="0" w:line="240" w:lineRule="auto"/>
        <w:rPr>
          <w:rFonts w:ascii="Segoe UI" w:hAnsi="Segoe UI" w:cs="Segoe UI"/>
          <w:sz w:val="20"/>
          <w:szCs w:val="20"/>
        </w:rPr>
      </w:pPr>
      <w:r w:rsidRPr="003E4B46">
        <w:rPr>
          <w:rFonts w:ascii="Segoe UI" w:hAnsi="Segoe UI" w:cs="Segoe UI"/>
          <w:sz w:val="20"/>
          <w:szCs w:val="20"/>
        </w:rPr>
        <w:t xml:space="preserve">In the South Island, </w:t>
      </w:r>
      <w:r w:rsidR="00E77146" w:rsidRPr="003E4B46">
        <w:rPr>
          <w:rFonts w:ascii="Segoe UI" w:hAnsi="Segoe UI" w:cs="Segoe UI"/>
          <w:sz w:val="20"/>
          <w:szCs w:val="20"/>
        </w:rPr>
        <w:t xml:space="preserve">annual growth </w:t>
      </w:r>
      <w:r w:rsidR="000B63A4" w:rsidRPr="003E4B46">
        <w:rPr>
          <w:rFonts w:ascii="Segoe UI" w:hAnsi="Segoe UI" w:cs="Segoe UI"/>
          <w:sz w:val="20"/>
          <w:szCs w:val="20"/>
        </w:rPr>
        <w:t>in Q</w:t>
      </w:r>
      <w:r w:rsidR="00156C08" w:rsidRPr="003E4B46">
        <w:rPr>
          <w:rFonts w:ascii="Segoe UI" w:hAnsi="Segoe UI" w:cs="Segoe UI"/>
          <w:sz w:val="20"/>
          <w:szCs w:val="20"/>
        </w:rPr>
        <w:t xml:space="preserve">ueenstown was 5.6% and central </w:t>
      </w:r>
      <w:proofErr w:type="spellStart"/>
      <w:r w:rsidR="00156C08" w:rsidRPr="003E4B46">
        <w:rPr>
          <w:rFonts w:ascii="Segoe UI" w:hAnsi="Segoe UI" w:cs="Segoe UI"/>
          <w:sz w:val="20"/>
          <w:szCs w:val="20"/>
        </w:rPr>
        <w:t>O</w:t>
      </w:r>
      <w:r w:rsidR="000B63A4" w:rsidRPr="003E4B46">
        <w:rPr>
          <w:rFonts w:ascii="Segoe UI" w:hAnsi="Segoe UI" w:cs="Segoe UI"/>
          <w:sz w:val="20"/>
          <w:szCs w:val="20"/>
        </w:rPr>
        <w:t>tago</w:t>
      </w:r>
      <w:proofErr w:type="spellEnd"/>
      <w:r w:rsidR="000B63A4" w:rsidRPr="003E4B46">
        <w:rPr>
          <w:rFonts w:ascii="Segoe UI" w:hAnsi="Segoe UI" w:cs="Segoe UI"/>
          <w:sz w:val="20"/>
          <w:szCs w:val="20"/>
        </w:rPr>
        <w:t xml:space="preserve"> saw a 6.6% rise</w:t>
      </w:r>
      <w:r w:rsidR="00C8300E" w:rsidRPr="003E4B46">
        <w:rPr>
          <w:rFonts w:ascii="Segoe UI" w:hAnsi="Segoe UI" w:cs="Segoe UI"/>
          <w:sz w:val="20"/>
          <w:szCs w:val="20"/>
        </w:rPr>
        <w:t xml:space="preserve"> while Westland values rose 6.9% in the past year</w:t>
      </w:r>
      <w:r w:rsidR="000B63A4" w:rsidRPr="003E4B46">
        <w:rPr>
          <w:rFonts w:ascii="Segoe UI" w:hAnsi="Segoe UI" w:cs="Segoe UI"/>
          <w:sz w:val="20"/>
          <w:szCs w:val="20"/>
        </w:rPr>
        <w:t xml:space="preserve">. </w:t>
      </w:r>
      <w:r w:rsidR="00C8300E" w:rsidRPr="003E4B46">
        <w:rPr>
          <w:rFonts w:ascii="Segoe UI" w:hAnsi="Segoe UI" w:cs="Segoe UI"/>
          <w:sz w:val="20"/>
          <w:szCs w:val="20"/>
        </w:rPr>
        <w:t xml:space="preserve">Areas such as </w:t>
      </w:r>
      <w:r w:rsidR="00E6316B" w:rsidRPr="003E4B46">
        <w:rPr>
          <w:rFonts w:ascii="Segoe UI" w:hAnsi="Segoe UI" w:cs="Segoe UI"/>
          <w:sz w:val="20"/>
          <w:szCs w:val="20"/>
        </w:rPr>
        <w:t>Southland</w:t>
      </w:r>
      <w:r w:rsidR="00C8300E" w:rsidRPr="003E4B46">
        <w:rPr>
          <w:rFonts w:ascii="Segoe UI" w:hAnsi="Segoe UI" w:cs="Segoe UI"/>
          <w:sz w:val="20"/>
          <w:szCs w:val="20"/>
        </w:rPr>
        <w:t xml:space="preserve">, Invercargill and the </w:t>
      </w:r>
      <w:proofErr w:type="spellStart"/>
      <w:r w:rsidR="00C8300E" w:rsidRPr="003E4B46">
        <w:rPr>
          <w:rFonts w:ascii="Segoe UI" w:hAnsi="Segoe UI" w:cs="Segoe UI"/>
          <w:sz w:val="20"/>
          <w:szCs w:val="20"/>
        </w:rPr>
        <w:t>Buller</w:t>
      </w:r>
      <w:proofErr w:type="spellEnd"/>
      <w:r w:rsidR="00C8300E" w:rsidRPr="003E4B46">
        <w:rPr>
          <w:rFonts w:ascii="Segoe UI" w:hAnsi="Segoe UI" w:cs="Segoe UI"/>
          <w:sz w:val="20"/>
          <w:szCs w:val="20"/>
        </w:rPr>
        <w:t xml:space="preserve"> district</w:t>
      </w:r>
      <w:r w:rsidR="00E6316B" w:rsidRPr="003E4B46">
        <w:rPr>
          <w:rFonts w:ascii="Segoe UI" w:hAnsi="Segoe UI" w:cs="Segoe UI"/>
          <w:sz w:val="20"/>
          <w:szCs w:val="20"/>
        </w:rPr>
        <w:t xml:space="preserve"> have</w:t>
      </w:r>
      <w:r w:rsidR="00DF58F0" w:rsidRPr="003E4B46">
        <w:rPr>
          <w:rFonts w:ascii="Segoe UI" w:hAnsi="Segoe UI" w:cs="Segoe UI"/>
          <w:sz w:val="20"/>
          <w:szCs w:val="20"/>
        </w:rPr>
        <w:t xml:space="preserve"> seen</w:t>
      </w:r>
      <w:r w:rsidR="00E6316B" w:rsidRPr="003E4B46">
        <w:rPr>
          <w:rFonts w:ascii="Segoe UI" w:hAnsi="Segoe UI" w:cs="Segoe UI"/>
          <w:sz w:val="20"/>
          <w:szCs w:val="20"/>
        </w:rPr>
        <w:t xml:space="preserve"> </w:t>
      </w:r>
      <w:r w:rsidR="00DF58F0" w:rsidRPr="003E4B46">
        <w:rPr>
          <w:rFonts w:ascii="Segoe UI" w:hAnsi="Segoe UI" w:cs="Segoe UI"/>
          <w:sz w:val="20"/>
          <w:szCs w:val="20"/>
        </w:rPr>
        <w:t>declines in values</w:t>
      </w:r>
      <w:r w:rsidR="00E6316B" w:rsidRPr="003E4B46">
        <w:rPr>
          <w:rFonts w:ascii="Segoe UI" w:hAnsi="Segoe UI" w:cs="Segoe UI"/>
          <w:sz w:val="20"/>
          <w:szCs w:val="20"/>
        </w:rPr>
        <w:t xml:space="preserve"> over the past year. </w:t>
      </w:r>
    </w:p>
    <w:p w:rsidR="005D3C5E" w:rsidRPr="003E4B46" w:rsidRDefault="005D3C5E" w:rsidP="003B0F17">
      <w:pPr>
        <w:spacing w:after="0" w:line="240" w:lineRule="auto"/>
        <w:rPr>
          <w:rFonts w:ascii="Segoe UI" w:hAnsi="Segoe UI" w:cs="Segoe UI"/>
          <w:sz w:val="20"/>
          <w:szCs w:val="20"/>
          <w:highlight w:val="yellow"/>
        </w:rPr>
      </w:pPr>
    </w:p>
    <w:p w:rsidR="00442230" w:rsidRPr="003E4B46" w:rsidRDefault="00442230" w:rsidP="00C82F35">
      <w:pPr>
        <w:spacing w:after="0" w:line="240" w:lineRule="auto"/>
        <w:jc w:val="both"/>
        <w:rPr>
          <w:rFonts w:ascii="Segoe UI" w:hAnsi="Segoe UI" w:cs="Segoe UI"/>
          <w:b/>
          <w:bCs/>
          <w:sz w:val="20"/>
          <w:szCs w:val="20"/>
          <w:lang w:val="en-GB"/>
        </w:rPr>
      </w:pPr>
      <w:r w:rsidRPr="003E4B46">
        <w:rPr>
          <w:rFonts w:ascii="Segoe UI" w:hAnsi="Segoe UI" w:cs="Segoe UI"/>
          <w:b/>
          <w:bCs/>
          <w:sz w:val="20"/>
          <w:szCs w:val="20"/>
          <w:lang w:val="en-GB"/>
        </w:rPr>
        <w:t xml:space="preserve">For </w:t>
      </w:r>
      <w:r w:rsidR="0056099F" w:rsidRPr="003E4B46">
        <w:rPr>
          <w:rFonts w:ascii="Segoe UI" w:hAnsi="Segoe UI" w:cs="Segoe UI"/>
          <w:b/>
          <w:bCs/>
          <w:sz w:val="20"/>
          <w:szCs w:val="20"/>
          <w:lang w:val="en-GB"/>
        </w:rPr>
        <w:t>media enquiries and interview</w:t>
      </w:r>
      <w:r w:rsidR="00F57C27" w:rsidRPr="003E4B46">
        <w:rPr>
          <w:rFonts w:ascii="Segoe UI" w:hAnsi="Segoe UI" w:cs="Segoe UI"/>
          <w:b/>
          <w:bCs/>
          <w:sz w:val="20"/>
          <w:szCs w:val="20"/>
          <w:lang w:val="en-GB"/>
        </w:rPr>
        <w:t>s</w:t>
      </w:r>
      <w:r w:rsidR="0056099F" w:rsidRPr="003E4B46">
        <w:rPr>
          <w:rFonts w:ascii="Segoe UI" w:hAnsi="Segoe UI" w:cs="Segoe UI"/>
          <w:b/>
          <w:bCs/>
          <w:sz w:val="20"/>
          <w:szCs w:val="20"/>
          <w:lang w:val="en-GB"/>
        </w:rPr>
        <w:t xml:space="preserve">, and for </w:t>
      </w:r>
      <w:r w:rsidRPr="003E4B46">
        <w:rPr>
          <w:rFonts w:ascii="Segoe UI" w:hAnsi="Segoe UI" w:cs="Segoe UI"/>
          <w:b/>
          <w:bCs/>
          <w:sz w:val="20"/>
          <w:szCs w:val="20"/>
          <w:lang w:val="en-GB"/>
        </w:rPr>
        <w:t>further information contact:</w:t>
      </w:r>
    </w:p>
    <w:p w:rsidR="00AE3BD0" w:rsidRPr="003E4B46" w:rsidRDefault="00AE3BD0" w:rsidP="00AE3BD0">
      <w:pPr>
        <w:spacing w:after="0" w:line="240" w:lineRule="auto"/>
        <w:jc w:val="both"/>
        <w:rPr>
          <w:rFonts w:ascii="Segoe UI" w:hAnsi="Segoe UI" w:cs="Segoe UI"/>
          <w:sz w:val="20"/>
          <w:szCs w:val="20"/>
          <w:lang w:val="en-GB"/>
        </w:rPr>
      </w:pPr>
      <w:proofErr w:type="spellStart"/>
      <w:r w:rsidRPr="003E4B46">
        <w:rPr>
          <w:rFonts w:ascii="Segoe UI" w:hAnsi="Segoe UI" w:cs="Segoe UI"/>
          <w:sz w:val="20"/>
          <w:szCs w:val="20"/>
          <w:lang w:val="en-GB"/>
        </w:rPr>
        <w:t>Jonno</w:t>
      </w:r>
      <w:proofErr w:type="spellEnd"/>
      <w:r w:rsidRPr="003E4B46">
        <w:rPr>
          <w:rFonts w:ascii="Segoe UI" w:hAnsi="Segoe UI" w:cs="Segoe UI"/>
          <w:sz w:val="20"/>
          <w:szCs w:val="20"/>
          <w:lang w:val="en-GB"/>
        </w:rPr>
        <w:t xml:space="preserve"> </w:t>
      </w:r>
      <w:proofErr w:type="spellStart"/>
      <w:r w:rsidRPr="003E4B46">
        <w:rPr>
          <w:rFonts w:ascii="Segoe UI" w:hAnsi="Segoe UI" w:cs="Segoe UI"/>
          <w:sz w:val="20"/>
          <w:szCs w:val="20"/>
          <w:lang w:val="en-GB"/>
        </w:rPr>
        <w:t>Ingerson</w:t>
      </w:r>
      <w:proofErr w:type="spellEnd"/>
    </w:p>
    <w:p w:rsidR="00AE3BD0" w:rsidRPr="003E4B46" w:rsidRDefault="00AE3BD0" w:rsidP="00AE3BD0">
      <w:pPr>
        <w:spacing w:after="0" w:line="240" w:lineRule="auto"/>
        <w:jc w:val="both"/>
        <w:rPr>
          <w:rFonts w:ascii="Segoe UI" w:hAnsi="Segoe UI" w:cs="Segoe UI"/>
          <w:b/>
          <w:bCs/>
          <w:sz w:val="20"/>
          <w:szCs w:val="20"/>
          <w:lang w:val="en-GB"/>
        </w:rPr>
      </w:pPr>
      <w:r w:rsidRPr="003E4B46">
        <w:rPr>
          <w:rFonts w:ascii="Segoe UI" w:hAnsi="Segoe UI" w:cs="Segoe UI"/>
          <w:sz w:val="20"/>
          <w:szCs w:val="20"/>
          <w:lang w:val="en-GB"/>
        </w:rPr>
        <w:t>Research Director QV.co.nz</w:t>
      </w:r>
    </w:p>
    <w:p w:rsidR="00AE3BD0" w:rsidRPr="003E4B46" w:rsidRDefault="00AE3BD0" w:rsidP="00AE3BD0">
      <w:pPr>
        <w:tabs>
          <w:tab w:val="left" w:pos="4820"/>
        </w:tabs>
        <w:spacing w:after="0" w:line="240" w:lineRule="auto"/>
        <w:rPr>
          <w:rFonts w:ascii="Segoe UI" w:hAnsi="Segoe UI" w:cs="Segoe UI"/>
          <w:b/>
          <w:sz w:val="20"/>
          <w:szCs w:val="20"/>
        </w:rPr>
      </w:pPr>
      <w:r w:rsidRPr="003E4B46">
        <w:rPr>
          <w:rFonts w:ascii="Segoe UI" w:hAnsi="Segoe UI" w:cs="Segoe UI"/>
          <w:sz w:val="20"/>
          <w:szCs w:val="20"/>
          <w:lang w:val="en-GB"/>
        </w:rPr>
        <w:t>Tel: 04 802 1239</w:t>
      </w:r>
      <w:r w:rsidRPr="003E4B46">
        <w:rPr>
          <w:rFonts w:ascii="Segoe UI" w:hAnsi="Segoe UI" w:cs="Segoe UI"/>
          <w:sz w:val="20"/>
          <w:szCs w:val="20"/>
        </w:rPr>
        <w:tab/>
      </w:r>
    </w:p>
    <w:p w:rsidR="00AE3BD0" w:rsidRPr="003E4B46" w:rsidRDefault="00AE3BD0" w:rsidP="00AE3BD0">
      <w:pPr>
        <w:tabs>
          <w:tab w:val="left" w:pos="4962"/>
        </w:tabs>
        <w:spacing w:after="0" w:line="240" w:lineRule="auto"/>
        <w:rPr>
          <w:rFonts w:ascii="Segoe UI" w:hAnsi="Segoe UI" w:cs="Segoe UI"/>
          <w:sz w:val="20"/>
          <w:szCs w:val="20"/>
        </w:rPr>
      </w:pPr>
      <w:r w:rsidRPr="003E4B46">
        <w:rPr>
          <w:rFonts w:ascii="Segoe UI" w:hAnsi="Segoe UI" w:cs="Segoe UI"/>
          <w:sz w:val="20"/>
          <w:szCs w:val="20"/>
          <w:lang w:val="en-GB"/>
        </w:rPr>
        <w:t>Mobile: 027 454 6642</w:t>
      </w:r>
      <w:r w:rsidRPr="003E4B46">
        <w:rPr>
          <w:rFonts w:ascii="Segoe UI" w:hAnsi="Segoe UI" w:cs="Segoe UI"/>
          <w:sz w:val="20"/>
          <w:szCs w:val="20"/>
        </w:rPr>
        <w:tab/>
      </w:r>
    </w:p>
    <w:p w:rsidR="007537D5" w:rsidRPr="003E4B46" w:rsidRDefault="00AE3BD0" w:rsidP="00AE3BD0">
      <w:pPr>
        <w:tabs>
          <w:tab w:val="left" w:pos="4962"/>
        </w:tabs>
        <w:spacing w:after="0" w:line="240" w:lineRule="auto"/>
        <w:rPr>
          <w:rFonts w:ascii="Segoe UI" w:hAnsi="Segoe UI" w:cs="Segoe UI"/>
          <w:sz w:val="20"/>
          <w:szCs w:val="20"/>
        </w:rPr>
      </w:pPr>
      <w:r w:rsidRPr="003E4B46">
        <w:rPr>
          <w:rFonts w:ascii="Segoe UI" w:hAnsi="Segoe UI" w:cs="Segoe UI"/>
          <w:sz w:val="20"/>
          <w:szCs w:val="20"/>
          <w:lang w:val="en-GB"/>
        </w:rPr>
        <w:t xml:space="preserve">Email: </w:t>
      </w:r>
      <w:hyperlink r:id="rId9" w:history="1">
        <w:r w:rsidR="00E149C5" w:rsidRPr="009C4F06">
          <w:rPr>
            <w:rStyle w:val="Hyperlink"/>
            <w:rFonts w:ascii="Segoe UI" w:hAnsi="Segoe UI" w:cs="Segoe UI"/>
            <w:sz w:val="20"/>
            <w:szCs w:val="20"/>
            <w:lang w:val="en-GB"/>
          </w:rPr>
          <w:t>jonno.ingerson@corelogic.co.nz</w:t>
        </w:r>
      </w:hyperlink>
      <w:r w:rsidR="00AC6C67" w:rsidRPr="003E4B46">
        <w:rPr>
          <w:rFonts w:ascii="Segoe UI" w:hAnsi="Segoe UI" w:cs="Segoe UI"/>
          <w:sz w:val="20"/>
          <w:szCs w:val="20"/>
        </w:rPr>
        <w:tab/>
      </w:r>
      <w:r w:rsidR="007537D5" w:rsidRPr="003E4B46">
        <w:rPr>
          <w:rFonts w:ascii="Segoe UI" w:hAnsi="Segoe UI" w:cs="Segoe UI"/>
          <w:sz w:val="20"/>
          <w:szCs w:val="20"/>
        </w:rPr>
        <w:tab/>
      </w:r>
    </w:p>
    <w:p w:rsidR="00560ADE" w:rsidRPr="003E4B46" w:rsidRDefault="00560ADE" w:rsidP="007537D5">
      <w:pPr>
        <w:tabs>
          <w:tab w:val="left" w:pos="4962"/>
        </w:tabs>
        <w:spacing w:after="0" w:line="240" w:lineRule="auto"/>
        <w:rPr>
          <w:rFonts w:ascii="Segoe UI" w:hAnsi="Segoe UI" w:cs="Segoe UI"/>
          <w:b/>
          <w:sz w:val="20"/>
          <w:szCs w:val="20"/>
        </w:rPr>
      </w:pPr>
    </w:p>
    <w:p w:rsidR="007537D5" w:rsidRPr="003E4B46" w:rsidRDefault="004D57C7" w:rsidP="007537D5">
      <w:pPr>
        <w:tabs>
          <w:tab w:val="left" w:pos="4962"/>
        </w:tabs>
        <w:spacing w:after="0" w:line="240" w:lineRule="auto"/>
        <w:rPr>
          <w:rFonts w:ascii="Segoe UI" w:hAnsi="Segoe UI" w:cs="Segoe UI"/>
          <w:sz w:val="20"/>
          <w:szCs w:val="20"/>
        </w:rPr>
      </w:pPr>
      <w:r w:rsidRPr="003E4B46">
        <w:rPr>
          <w:rFonts w:ascii="Segoe UI" w:hAnsi="Segoe UI" w:cs="Segoe UI"/>
          <w:b/>
          <w:sz w:val="20"/>
          <w:szCs w:val="20"/>
        </w:rPr>
        <w:t>For further specific comment on local areas:</w:t>
      </w:r>
      <w:r w:rsidR="007537D5" w:rsidRPr="003E4B46">
        <w:rPr>
          <w:rFonts w:ascii="Segoe UI" w:hAnsi="Segoe UI" w:cs="Segoe UI"/>
          <w:sz w:val="20"/>
          <w:szCs w:val="20"/>
        </w:rPr>
        <w:tab/>
      </w:r>
    </w:p>
    <w:p w:rsidR="007537D5" w:rsidRPr="003E4B46" w:rsidRDefault="004D57C7" w:rsidP="007537D5">
      <w:pPr>
        <w:tabs>
          <w:tab w:val="left" w:pos="4962"/>
        </w:tabs>
        <w:spacing w:after="0" w:line="240" w:lineRule="auto"/>
        <w:rPr>
          <w:rFonts w:ascii="Segoe UI" w:hAnsi="Segoe UI" w:cs="Segoe UI"/>
          <w:sz w:val="20"/>
          <w:szCs w:val="20"/>
        </w:rPr>
      </w:pPr>
      <w:r w:rsidRPr="003E4B46">
        <w:rPr>
          <w:rFonts w:ascii="Segoe UI" w:hAnsi="Segoe UI" w:cs="Segoe UI"/>
          <w:sz w:val="20"/>
          <w:szCs w:val="20"/>
        </w:rPr>
        <w:t xml:space="preserve">Auckland. </w:t>
      </w:r>
      <w:r w:rsidR="005E57D4" w:rsidRPr="003E4B46">
        <w:rPr>
          <w:rFonts w:ascii="Segoe UI" w:hAnsi="Segoe UI" w:cs="Segoe UI"/>
          <w:sz w:val="20"/>
          <w:szCs w:val="20"/>
        </w:rPr>
        <w:t>Bruce Wiggins</w:t>
      </w:r>
      <w:r w:rsidR="006104B0" w:rsidRPr="003E4B46">
        <w:rPr>
          <w:rFonts w:ascii="Segoe UI" w:hAnsi="Segoe UI" w:cs="Segoe UI"/>
          <w:sz w:val="20"/>
          <w:szCs w:val="20"/>
        </w:rPr>
        <w:t xml:space="preserve"> </w:t>
      </w:r>
      <w:r w:rsidRPr="003E4B46">
        <w:rPr>
          <w:rFonts w:ascii="Segoe UI" w:hAnsi="Segoe UI" w:cs="Segoe UI"/>
          <w:sz w:val="20"/>
          <w:szCs w:val="20"/>
        </w:rPr>
        <w:t>02</w:t>
      </w:r>
      <w:r w:rsidR="005E57D4" w:rsidRPr="003E4B46">
        <w:rPr>
          <w:rFonts w:ascii="Segoe UI" w:hAnsi="Segoe UI" w:cs="Segoe UI"/>
          <w:sz w:val="20"/>
          <w:szCs w:val="20"/>
        </w:rPr>
        <w:t>7</w:t>
      </w:r>
      <w:r w:rsidRPr="003E4B46">
        <w:rPr>
          <w:rFonts w:ascii="Segoe UI" w:hAnsi="Segoe UI" w:cs="Segoe UI"/>
          <w:sz w:val="20"/>
          <w:szCs w:val="20"/>
        </w:rPr>
        <w:t xml:space="preserve"> </w:t>
      </w:r>
      <w:r w:rsidR="005E57D4" w:rsidRPr="003E4B46">
        <w:rPr>
          <w:rFonts w:ascii="Segoe UI" w:hAnsi="Segoe UI" w:cs="Segoe UI"/>
          <w:sz w:val="20"/>
          <w:szCs w:val="20"/>
        </w:rPr>
        <w:t>291 4514</w:t>
      </w:r>
    </w:p>
    <w:p w:rsidR="00885646" w:rsidRPr="003E4B46" w:rsidRDefault="004D57C7" w:rsidP="007537D5">
      <w:pPr>
        <w:tabs>
          <w:tab w:val="left" w:pos="4962"/>
        </w:tabs>
        <w:spacing w:after="0" w:line="240" w:lineRule="auto"/>
        <w:rPr>
          <w:rFonts w:ascii="Segoe UI" w:hAnsi="Segoe UI" w:cs="Segoe UI"/>
          <w:sz w:val="20"/>
          <w:szCs w:val="20"/>
        </w:rPr>
      </w:pPr>
      <w:r w:rsidRPr="003E4B46">
        <w:rPr>
          <w:rFonts w:ascii="Segoe UI" w:hAnsi="Segoe UI" w:cs="Segoe UI"/>
          <w:sz w:val="20"/>
          <w:szCs w:val="20"/>
        </w:rPr>
        <w:t xml:space="preserve">Hamilton. </w:t>
      </w:r>
      <w:r w:rsidR="00296D07" w:rsidRPr="003E4B46">
        <w:rPr>
          <w:rFonts w:ascii="Segoe UI" w:hAnsi="Segoe UI" w:cs="Segoe UI"/>
          <w:sz w:val="20"/>
          <w:szCs w:val="20"/>
        </w:rPr>
        <w:t>Richard Allen</w:t>
      </w:r>
      <w:r w:rsidRPr="003E4B46">
        <w:rPr>
          <w:rFonts w:ascii="Segoe UI" w:hAnsi="Segoe UI" w:cs="Segoe UI"/>
          <w:sz w:val="20"/>
          <w:szCs w:val="20"/>
        </w:rPr>
        <w:t xml:space="preserve"> </w:t>
      </w:r>
      <w:r w:rsidR="00E81447" w:rsidRPr="003E4B46">
        <w:rPr>
          <w:rFonts w:ascii="Segoe UI" w:hAnsi="Segoe UI" w:cs="Segoe UI"/>
          <w:color w:val="222222"/>
          <w:sz w:val="20"/>
          <w:szCs w:val="20"/>
          <w:shd w:val="clear" w:color="auto" w:fill="FFFFFF"/>
        </w:rPr>
        <w:t xml:space="preserve">027 </w:t>
      </w:r>
      <w:r w:rsidR="00296D07" w:rsidRPr="003E4B46">
        <w:rPr>
          <w:rFonts w:ascii="Segoe UI" w:hAnsi="Segoe UI" w:cs="Segoe UI"/>
          <w:color w:val="222222"/>
          <w:sz w:val="20"/>
          <w:szCs w:val="20"/>
          <w:shd w:val="clear" w:color="auto" w:fill="FFFFFF"/>
        </w:rPr>
        <w:t>230</w:t>
      </w:r>
      <w:r w:rsidR="00E81447" w:rsidRPr="003E4B46">
        <w:rPr>
          <w:rFonts w:ascii="Segoe UI" w:hAnsi="Segoe UI" w:cs="Segoe UI"/>
          <w:color w:val="222222"/>
          <w:sz w:val="20"/>
          <w:szCs w:val="20"/>
          <w:shd w:val="clear" w:color="auto" w:fill="FFFFFF"/>
        </w:rPr>
        <w:t xml:space="preserve"> </w:t>
      </w:r>
      <w:r w:rsidR="00296D07" w:rsidRPr="003E4B46">
        <w:rPr>
          <w:rFonts w:ascii="Segoe UI" w:hAnsi="Segoe UI" w:cs="Segoe UI"/>
          <w:color w:val="222222"/>
          <w:sz w:val="20"/>
          <w:szCs w:val="20"/>
          <w:shd w:val="clear" w:color="auto" w:fill="FFFFFF"/>
        </w:rPr>
        <w:t>7290</w:t>
      </w:r>
      <w:r w:rsidR="007537D5" w:rsidRPr="003E4B46">
        <w:rPr>
          <w:rFonts w:ascii="Segoe UI" w:hAnsi="Segoe UI" w:cs="Segoe UI"/>
          <w:sz w:val="20"/>
          <w:szCs w:val="20"/>
        </w:rPr>
        <w:tab/>
      </w:r>
    </w:p>
    <w:p w:rsidR="00885646" w:rsidRPr="003E4B46" w:rsidRDefault="004D57C7" w:rsidP="00EF20A6">
      <w:pPr>
        <w:pStyle w:val="NoSpacing"/>
        <w:rPr>
          <w:rFonts w:ascii="Segoe UI" w:hAnsi="Segoe UI" w:cs="Segoe UI"/>
          <w:sz w:val="20"/>
          <w:szCs w:val="20"/>
        </w:rPr>
      </w:pPr>
      <w:r w:rsidRPr="003E4B46">
        <w:rPr>
          <w:rFonts w:ascii="Segoe UI" w:hAnsi="Segoe UI" w:cs="Segoe UI"/>
          <w:sz w:val="20"/>
          <w:szCs w:val="20"/>
        </w:rPr>
        <w:t xml:space="preserve">Tauranga. Paul </w:t>
      </w:r>
      <w:proofErr w:type="spellStart"/>
      <w:r w:rsidR="00EF20A6" w:rsidRPr="003E4B46">
        <w:rPr>
          <w:rFonts w:ascii="Segoe UI" w:hAnsi="Segoe UI" w:cs="Segoe UI"/>
          <w:sz w:val="20"/>
          <w:szCs w:val="20"/>
        </w:rPr>
        <w:t>Scown</w:t>
      </w:r>
      <w:proofErr w:type="spellEnd"/>
      <w:r w:rsidRPr="003E4B46">
        <w:rPr>
          <w:rFonts w:ascii="Segoe UI" w:hAnsi="Segoe UI" w:cs="Segoe UI"/>
          <w:sz w:val="20"/>
          <w:szCs w:val="20"/>
        </w:rPr>
        <w:t xml:space="preserve"> </w:t>
      </w:r>
      <w:hyperlink r:id="rId10" w:tgtFrame="_blank" w:history="1">
        <w:r w:rsidR="00EF20A6" w:rsidRPr="003E4B46">
          <w:rPr>
            <w:rFonts w:ascii="Segoe UI" w:hAnsi="Segoe UI" w:cs="Segoe UI"/>
            <w:sz w:val="20"/>
            <w:szCs w:val="20"/>
          </w:rPr>
          <w:t>027 436 4602</w:t>
        </w:r>
      </w:hyperlink>
    </w:p>
    <w:p w:rsidR="00674790" w:rsidRPr="003E4B46" w:rsidRDefault="00674790" w:rsidP="00674790">
      <w:pPr>
        <w:spacing w:after="0" w:line="240" w:lineRule="auto"/>
        <w:rPr>
          <w:rFonts w:ascii="Segoe UI" w:hAnsi="Segoe UI" w:cs="Segoe UI"/>
          <w:sz w:val="20"/>
          <w:szCs w:val="20"/>
        </w:rPr>
      </w:pPr>
      <w:r w:rsidRPr="003E4B46">
        <w:rPr>
          <w:rFonts w:ascii="Segoe UI" w:hAnsi="Segoe UI" w:cs="Segoe UI"/>
          <w:sz w:val="20"/>
          <w:szCs w:val="20"/>
        </w:rPr>
        <w:t xml:space="preserve">Wellington. </w:t>
      </w:r>
      <w:r w:rsidR="003329DA" w:rsidRPr="003E4B46">
        <w:rPr>
          <w:rFonts w:ascii="Segoe UI" w:hAnsi="Segoe UI" w:cs="Segoe UI"/>
          <w:sz w:val="20"/>
          <w:szCs w:val="20"/>
        </w:rPr>
        <w:t xml:space="preserve">Kerry </w:t>
      </w:r>
      <w:proofErr w:type="spellStart"/>
      <w:r w:rsidR="003329DA" w:rsidRPr="003E4B46">
        <w:rPr>
          <w:rFonts w:ascii="Segoe UI" w:hAnsi="Segoe UI" w:cs="Segoe UI"/>
          <w:sz w:val="20"/>
          <w:szCs w:val="20"/>
        </w:rPr>
        <w:t>Buckeridge</w:t>
      </w:r>
      <w:proofErr w:type="spellEnd"/>
      <w:r w:rsidR="003329DA" w:rsidRPr="003E4B46">
        <w:rPr>
          <w:rFonts w:ascii="Segoe UI" w:hAnsi="Segoe UI" w:cs="Segoe UI"/>
          <w:sz w:val="20"/>
          <w:szCs w:val="20"/>
        </w:rPr>
        <w:t xml:space="preserve"> 021 476 287</w:t>
      </w:r>
    </w:p>
    <w:p w:rsidR="004D57C7" w:rsidRPr="003E4B46" w:rsidRDefault="004D57C7" w:rsidP="00C82F35">
      <w:pPr>
        <w:spacing w:after="0" w:line="240" w:lineRule="auto"/>
        <w:rPr>
          <w:rFonts w:ascii="Segoe UI" w:hAnsi="Segoe UI" w:cs="Segoe UI"/>
          <w:sz w:val="20"/>
          <w:szCs w:val="20"/>
        </w:rPr>
      </w:pPr>
      <w:r w:rsidRPr="003E4B46">
        <w:rPr>
          <w:rFonts w:ascii="Segoe UI" w:hAnsi="Segoe UI" w:cs="Segoe UI"/>
          <w:sz w:val="20"/>
          <w:szCs w:val="20"/>
        </w:rPr>
        <w:t xml:space="preserve">Christchurch. </w:t>
      </w:r>
      <w:r w:rsidR="00AE3BD0" w:rsidRPr="003E4B46">
        <w:rPr>
          <w:rFonts w:ascii="Segoe UI" w:hAnsi="Segoe UI" w:cs="Segoe UI"/>
          <w:sz w:val="20"/>
          <w:szCs w:val="20"/>
        </w:rPr>
        <w:t>Daryl Taggart 027 304 9815</w:t>
      </w:r>
    </w:p>
    <w:p w:rsidR="001A5C76" w:rsidRPr="003E4B46" w:rsidRDefault="004D57C7" w:rsidP="000C1445">
      <w:pPr>
        <w:spacing w:after="0" w:line="240" w:lineRule="auto"/>
        <w:rPr>
          <w:rFonts w:ascii="Segoe UI" w:hAnsi="Segoe UI" w:cs="Segoe UI"/>
          <w:sz w:val="20"/>
          <w:szCs w:val="20"/>
        </w:rPr>
      </w:pPr>
      <w:r w:rsidRPr="003E4B46">
        <w:rPr>
          <w:rFonts w:ascii="Segoe UI" w:hAnsi="Segoe UI" w:cs="Segoe UI"/>
          <w:sz w:val="20"/>
          <w:szCs w:val="20"/>
        </w:rPr>
        <w:t xml:space="preserve">Dunedin. </w:t>
      </w:r>
      <w:r w:rsidR="004A2A87" w:rsidRPr="003E4B46">
        <w:rPr>
          <w:rFonts w:ascii="Segoe UI" w:hAnsi="Segoe UI" w:cs="Segoe UI"/>
          <w:sz w:val="20"/>
          <w:szCs w:val="20"/>
        </w:rPr>
        <w:t>Duncan Jack 027 213 7618</w:t>
      </w:r>
    </w:p>
    <w:p w:rsidR="00BA2AB7" w:rsidRPr="003E4B46" w:rsidRDefault="00BA2AB7">
      <w:pPr>
        <w:spacing w:after="0" w:line="240" w:lineRule="auto"/>
        <w:rPr>
          <w:rFonts w:ascii="Segoe UI" w:hAnsi="Segoe UI" w:cs="Segoe UI"/>
          <w:sz w:val="20"/>
          <w:szCs w:val="20"/>
        </w:rPr>
      </w:pPr>
      <w:r w:rsidRPr="003E4B46">
        <w:rPr>
          <w:rFonts w:ascii="Segoe UI" w:hAnsi="Segoe UI" w:cs="Segoe UI"/>
          <w:sz w:val="20"/>
          <w:szCs w:val="20"/>
        </w:rPr>
        <w:br w:type="page"/>
      </w:r>
    </w:p>
    <w:p w:rsidR="00D159B6" w:rsidRDefault="00DB0C2F" w:rsidP="00551A1E">
      <w:pPr>
        <w:spacing w:after="0" w:line="240" w:lineRule="auto"/>
        <w:rPr>
          <w:rFonts w:ascii="Segoe UI" w:hAnsi="Segoe UI" w:cs="Segoe UI"/>
          <w:sz w:val="20"/>
          <w:szCs w:val="20"/>
        </w:rPr>
      </w:pPr>
      <w:r w:rsidRPr="003E4B46">
        <w:rPr>
          <w:rFonts w:ascii="Segoe UI" w:hAnsi="Segoe UI" w:cs="Segoe UI"/>
          <w:sz w:val="20"/>
          <w:szCs w:val="20"/>
        </w:rPr>
        <w:lastRenderedPageBreak/>
        <w:t xml:space="preserve"> </w:t>
      </w:r>
      <w:r w:rsidR="00551A1E" w:rsidRPr="00551A1E">
        <w:rPr>
          <w:noProof/>
          <w:szCs w:val="20"/>
          <w:lang w:val="en-US"/>
        </w:rPr>
        <w:drawing>
          <wp:inline distT="0" distB="0" distL="0" distR="0">
            <wp:extent cx="2487979" cy="2130950"/>
            <wp:effectExtent l="19050" t="0" r="757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489563" cy="2132306"/>
                    </a:xfrm>
                    <a:prstGeom prst="rect">
                      <a:avLst/>
                    </a:prstGeom>
                    <a:noFill/>
                    <a:ln w="9525">
                      <a:noFill/>
                      <a:miter lim="800000"/>
                      <a:headEnd/>
                      <a:tailEnd/>
                    </a:ln>
                  </pic:spPr>
                </pic:pic>
              </a:graphicData>
            </a:graphic>
          </wp:inline>
        </w:drawing>
      </w:r>
      <w:r w:rsidR="00551A1E" w:rsidRPr="00551A1E">
        <w:rPr>
          <w:noProof/>
          <w:szCs w:val="20"/>
          <w:lang w:val="en-US"/>
        </w:rPr>
        <w:drawing>
          <wp:inline distT="0" distB="0" distL="0" distR="0">
            <wp:extent cx="2485611" cy="2124713"/>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487797" cy="2126581"/>
                    </a:xfrm>
                    <a:prstGeom prst="rect">
                      <a:avLst/>
                    </a:prstGeom>
                    <a:noFill/>
                    <a:ln w="9525">
                      <a:noFill/>
                      <a:miter lim="800000"/>
                      <a:headEnd/>
                      <a:tailEnd/>
                    </a:ln>
                  </pic:spPr>
                </pic:pic>
              </a:graphicData>
            </a:graphic>
          </wp:inline>
        </w:drawing>
      </w:r>
    </w:p>
    <w:p w:rsidR="00551A1E" w:rsidRDefault="00551A1E" w:rsidP="009A4949">
      <w:pPr>
        <w:spacing w:after="0" w:line="240" w:lineRule="auto"/>
        <w:jc w:val="both"/>
        <w:rPr>
          <w:rFonts w:ascii="Segoe UI" w:hAnsi="Segoe UI" w:cs="Segoe UI"/>
          <w:sz w:val="20"/>
          <w:szCs w:val="20"/>
        </w:rPr>
      </w:pPr>
    </w:p>
    <w:p w:rsidR="00551A1E" w:rsidRDefault="00551A1E" w:rsidP="009A4949">
      <w:pPr>
        <w:spacing w:after="0" w:line="240" w:lineRule="auto"/>
        <w:jc w:val="both"/>
        <w:rPr>
          <w:rFonts w:ascii="Segoe UI" w:hAnsi="Segoe UI" w:cs="Segoe UI"/>
          <w:sz w:val="20"/>
          <w:szCs w:val="20"/>
        </w:rPr>
      </w:pPr>
      <w:r w:rsidRPr="00551A1E">
        <w:rPr>
          <w:noProof/>
          <w:szCs w:val="20"/>
          <w:lang w:val="en-US"/>
        </w:rPr>
        <w:drawing>
          <wp:inline distT="0" distB="0" distL="0" distR="0">
            <wp:extent cx="2552369" cy="2186099"/>
            <wp:effectExtent l="19050" t="0" r="331"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553993" cy="2187490"/>
                    </a:xfrm>
                    <a:prstGeom prst="rect">
                      <a:avLst/>
                    </a:prstGeom>
                    <a:noFill/>
                    <a:ln w="9525">
                      <a:noFill/>
                      <a:miter lim="800000"/>
                      <a:headEnd/>
                      <a:tailEnd/>
                    </a:ln>
                  </pic:spPr>
                </pic:pic>
              </a:graphicData>
            </a:graphic>
          </wp:inline>
        </w:drawing>
      </w:r>
      <w:r w:rsidRPr="00551A1E">
        <w:rPr>
          <w:noProof/>
          <w:szCs w:val="20"/>
          <w:lang w:val="en-US"/>
        </w:rPr>
        <w:drawing>
          <wp:inline distT="0" distB="0" distL="0" distR="0">
            <wp:extent cx="2581027" cy="2210646"/>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583664" cy="2212905"/>
                    </a:xfrm>
                    <a:prstGeom prst="rect">
                      <a:avLst/>
                    </a:prstGeom>
                    <a:noFill/>
                    <a:ln w="9525">
                      <a:noFill/>
                      <a:miter lim="800000"/>
                      <a:headEnd/>
                      <a:tailEnd/>
                    </a:ln>
                  </pic:spPr>
                </pic:pic>
              </a:graphicData>
            </a:graphic>
          </wp:inline>
        </w:drawing>
      </w:r>
    </w:p>
    <w:p w:rsidR="00551A1E" w:rsidRDefault="00551A1E" w:rsidP="009A4949">
      <w:pPr>
        <w:spacing w:after="0" w:line="240" w:lineRule="auto"/>
        <w:jc w:val="both"/>
        <w:rPr>
          <w:rFonts w:ascii="Segoe UI" w:hAnsi="Segoe UI" w:cs="Segoe UI"/>
          <w:sz w:val="20"/>
          <w:szCs w:val="20"/>
        </w:rPr>
      </w:pPr>
    </w:p>
    <w:p w:rsidR="00AA0969" w:rsidRDefault="00551A1E" w:rsidP="009A4949">
      <w:pPr>
        <w:spacing w:after="0" w:line="240" w:lineRule="auto"/>
        <w:jc w:val="both"/>
        <w:rPr>
          <w:rFonts w:ascii="Segoe UI" w:hAnsi="Segoe UI" w:cs="Segoe UI"/>
          <w:sz w:val="20"/>
          <w:szCs w:val="20"/>
        </w:rPr>
      </w:pPr>
      <w:r w:rsidRPr="00551A1E">
        <w:rPr>
          <w:noProof/>
          <w:szCs w:val="20"/>
          <w:lang w:val="en-US"/>
        </w:rPr>
        <w:drawing>
          <wp:inline distT="0" distB="0" distL="0" distR="0">
            <wp:extent cx="2518382" cy="2160414"/>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520194" cy="2161968"/>
                    </a:xfrm>
                    <a:prstGeom prst="rect">
                      <a:avLst/>
                    </a:prstGeom>
                    <a:noFill/>
                    <a:ln w="9525">
                      <a:noFill/>
                      <a:miter lim="800000"/>
                      <a:headEnd/>
                      <a:tailEnd/>
                    </a:ln>
                  </pic:spPr>
                </pic:pic>
              </a:graphicData>
            </a:graphic>
          </wp:inline>
        </w:drawing>
      </w:r>
      <w:r w:rsidRPr="00551A1E">
        <w:rPr>
          <w:noProof/>
          <w:szCs w:val="20"/>
          <w:lang w:val="en-US"/>
        </w:rPr>
        <w:drawing>
          <wp:inline distT="0" distB="0" distL="0" distR="0">
            <wp:extent cx="2612832" cy="2233462"/>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2615391" cy="2235649"/>
                    </a:xfrm>
                    <a:prstGeom prst="rect">
                      <a:avLst/>
                    </a:prstGeom>
                    <a:noFill/>
                    <a:ln w="9525">
                      <a:noFill/>
                      <a:miter lim="800000"/>
                      <a:headEnd/>
                      <a:tailEnd/>
                    </a:ln>
                  </pic:spPr>
                </pic:pic>
              </a:graphicData>
            </a:graphic>
          </wp:inline>
        </w:drawing>
      </w:r>
    </w:p>
    <w:p w:rsidR="00AA0969" w:rsidRDefault="00AA0969">
      <w:pPr>
        <w:spacing w:after="0" w:line="240" w:lineRule="auto"/>
        <w:rPr>
          <w:rFonts w:ascii="Segoe UI" w:hAnsi="Segoe UI" w:cs="Segoe UI"/>
          <w:sz w:val="20"/>
          <w:szCs w:val="20"/>
        </w:rPr>
      </w:pPr>
      <w:r>
        <w:rPr>
          <w:rFonts w:ascii="Segoe UI" w:hAnsi="Segoe UI" w:cs="Segoe U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3976"/>
        <w:gridCol w:w="1140"/>
        <w:gridCol w:w="993"/>
        <w:gridCol w:w="1135"/>
        <w:gridCol w:w="1477"/>
      </w:tblGrid>
      <w:tr w:rsidR="00AA0969" w:rsidRPr="00AA0969" w:rsidTr="00AA0969">
        <w:trPr>
          <w:trHeight w:val="375"/>
        </w:trPr>
        <w:tc>
          <w:tcPr>
            <w:tcW w:w="5000" w:type="pct"/>
            <w:gridSpan w:val="6"/>
            <w:shd w:val="clear" w:color="auto" w:fill="auto"/>
            <w:noWrap/>
            <w:vAlign w:val="bottom"/>
            <w:hideMark/>
          </w:tcPr>
          <w:p w:rsidR="00AA0969" w:rsidRPr="00AA0969" w:rsidRDefault="00AA0969" w:rsidP="00AA0969">
            <w:pPr>
              <w:spacing w:after="0" w:line="240" w:lineRule="auto"/>
              <w:rPr>
                <w:rFonts w:ascii="Arial" w:eastAsia="Times New Roman" w:hAnsi="Arial" w:cs="Arial"/>
                <w:b/>
                <w:bCs/>
                <w:color w:val="FF0000"/>
                <w:sz w:val="20"/>
                <w:szCs w:val="20"/>
                <w:lang w:eastAsia="en-NZ"/>
              </w:rPr>
            </w:pPr>
            <w:r>
              <w:rPr>
                <w:rFonts w:eastAsia="Times New Roman" w:cs="Calibri"/>
                <w:b/>
                <w:bCs/>
                <w:color w:val="000000"/>
                <w:sz w:val="28"/>
                <w:szCs w:val="28"/>
                <w:lang w:eastAsia="en-NZ"/>
              </w:rPr>
              <w:lastRenderedPageBreak/>
              <w:t>CoreLogic</w:t>
            </w:r>
            <w:r w:rsidRPr="00AA0969">
              <w:rPr>
                <w:rFonts w:eastAsia="Times New Roman" w:cs="Calibri"/>
                <w:b/>
                <w:bCs/>
                <w:color w:val="000000"/>
                <w:sz w:val="28"/>
                <w:szCs w:val="28"/>
                <w:lang w:eastAsia="en-NZ"/>
              </w:rPr>
              <w:t xml:space="preserve"> Value Index - Residential Property </w:t>
            </w:r>
          </w:p>
        </w:tc>
      </w:tr>
      <w:tr w:rsidR="00AA0969" w:rsidRPr="00AA0969" w:rsidTr="00AA0969">
        <w:trPr>
          <w:trHeight w:val="315"/>
        </w:trPr>
        <w:tc>
          <w:tcPr>
            <w:tcW w:w="2433" w:type="pct"/>
            <w:gridSpan w:val="2"/>
            <w:shd w:val="clear" w:color="auto" w:fill="auto"/>
            <w:noWrap/>
            <w:vAlign w:val="bottom"/>
            <w:hideMark/>
          </w:tcPr>
          <w:p w:rsidR="00AA0969" w:rsidRPr="00AA0969" w:rsidRDefault="00AA0969" w:rsidP="00AA0969">
            <w:pPr>
              <w:spacing w:after="0" w:line="240" w:lineRule="auto"/>
              <w:rPr>
                <w:rFonts w:eastAsia="Times New Roman" w:cs="Calibri"/>
                <w:color w:val="000000"/>
                <w:sz w:val="24"/>
                <w:szCs w:val="24"/>
                <w:lang w:eastAsia="en-NZ"/>
              </w:rPr>
            </w:pPr>
          </w:p>
        </w:tc>
        <w:tc>
          <w:tcPr>
            <w:tcW w:w="617" w:type="pct"/>
            <w:shd w:val="clear" w:color="auto" w:fill="auto"/>
            <w:noWrap/>
            <w:vAlign w:val="bottom"/>
            <w:hideMark/>
          </w:tcPr>
          <w:p w:rsidR="00AA0969" w:rsidRPr="00AA0969" w:rsidRDefault="00AA0969" w:rsidP="00AA0969">
            <w:pPr>
              <w:spacing w:after="0" w:line="240" w:lineRule="auto"/>
              <w:rPr>
                <w:rFonts w:eastAsia="Times New Roman" w:cs="Calibri"/>
                <w:color w:val="000000"/>
                <w:sz w:val="24"/>
                <w:szCs w:val="24"/>
                <w:lang w:eastAsia="en-NZ"/>
              </w:rPr>
            </w:pPr>
          </w:p>
        </w:tc>
        <w:tc>
          <w:tcPr>
            <w:tcW w:w="537" w:type="pct"/>
            <w:shd w:val="clear" w:color="auto" w:fill="auto"/>
            <w:noWrap/>
            <w:vAlign w:val="bottom"/>
            <w:hideMark/>
          </w:tcPr>
          <w:p w:rsidR="00AA0969" w:rsidRPr="00AA0969" w:rsidRDefault="00AA0969" w:rsidP="00AA0969">
            <w:pPr>
              <w:spacing w:after="0" w:line="240" w:lineRule="auto"/>
              <w:rPr>
                <w:rFonts w:eastAsia="Times New Roman" w:cs="Calibri"/>
                <w:color w:val="000000"/>
                <w:sz w:val="24"/>
                <w:szCs w:val="24"/>
                <w:lang w:eastAsia="en-NZ"/>
              </w:rPr>
            </w:pPr>
          </w:p>
        </w:tc>
        <w:tc>
          <w:tcPr>
            <w:tcW w:w="614" w:type="pct"/>
            <w:shd w:val="clear" w:color="auto" w:fill="auto"/>
            <w:noWrap/>
            <w:vAlign w:val="bottom"/>
            <w:hideMark/>
          </w:tcPr>
          <w:p w:rsidR="00AA0969" w:rsidRPr="00AA0969" w:rsidRDefault="00AA0969" w:rsidP="00AA0969">
            <w:pPr>
              <w:spacing w:after="0" w:line="240" w:lineRule="auto"/>
              <w:rPr>
                <w:rFonts w:ascii="Arial" w:eastAsia="Times New Roman" w:hAnsi="Arial" w:cs="Arial"/>
                <w:color w:val="000000"/>
                <w:sz w:val="20"/>
                <w:szCs w:val="20"/>
                <w:lang w:eastAsia="en-NZ"/>
              </w:rPr>
            </w:pPr>
          </w:p>
        </w:tc>
        <w:tc>
          <w:tcPr>
            <w:tcW w:w="799" w:type="pct"/>
            <w:shd w:val="clear" w:color="auto" w:fill="auto"/>
            <w:noWrap/>
            <w:vAlign w:val="bottom"/>
            <w:hideMark/>
          </w:tcPr>
          <w:p w:rsidR="00AA0969" w:rsidRPr="00AA0969" w:rsidRDefault="00AA0969" w:rsidP="00AA0969">
            <w:pPr>
              <w:spacing w:after="0" w:line="240" w:lineRule="auto"/>
              <w:rPr>
                <w:rFonts w:ascii="Arial" w:eastAsia="Times New Roman" w:hAnsi="Arial" w:cs="Arial"/>
                <w:color w:val="000000"/>
                <w:sz w:val="20"/>
                <w:szCs w:val="20"/>
                <w:lang w:eastAsia="en-NZ"/>
              </w:rPr>
            </w:pPr>
          </w:p>
        </w:tc>
      </w:tr>
      <w:tr w:rsidR="00AA0969" w:rsidRPr="00AA0969" w:rsidTr="00AA0969">
        <w:trPr>
          <w:trHeight w:val="600"/>
        </w:trPr>
        <w:tc>
          <w:tcPr>
            <w:tcW w:w="282" w:type="pct"/>
            <w:shd w:val="clear" w:color="auto" w:fill="auto"/>
            <w:hideMark/>
          </w:tcPr>
          <w:p w:rsidR="00AA0969" w:rsidRPr="00AA0969" w:rsidRDefault="00AA0969" w:rsidP="00AA0969">
            <w:pPr>
              <w:spacing w:after="0" w:line="240" w:lineRule="auto"/>
              <w:jc w:val="center"/>
              <w:rPr>
                <w:rFonts w:eastAsia="Times New Roman" w:cs="Calibri"/>
                <w:b/>
                <w:bCs/>
                <w:color w:val="000000"/>
                <w:lang w:eastAsia="en-NZ"/>
              </w:rPr>
            </w:pPr>
          </w:p>
        </w:tc>
        <w:tc>
          <w:tcPr>
            <w:tcW w:w="2151" w:type="pct"/>
            <w:shd w:val="clear" w:color="auto" w:fill="auto"/>
            <w:hideMark/>
          </w:tcPr>
          <w:p w:rsidR="00AA0969" w:rsidRPr="00AA0969" w:rsidRDefault="00AA0969" w:rsidP="00AA0969">
            <w:pPr>
              <w:spacing w:after="0" w:line="240" w:lineRule="auto"/>
              <w:rPr>
                <w:rFonts w:eastAsia="Times New Roman" w:cs="Calibri"/>
                <w:b/>
                <w:bCs/>
                <w:color w:val="000000"/>
                <w:lang w:eastAsia="en-NZ"/>
              </w:rPr>
            </w:pPr>
            <w:r w:rsidRPr="00AA0969">
              <w:rPr>
                <w:rFonts w:eastAsia="Times New Roman" w:cs="Calibri"/>
                <w:b/>
                <w:bCs/>
                <w:color w:val="000000"/>
                <w:lang w:eastAsia="en-NZ"/>
              </w:rPr>
              <w:t>Territorial authority</w:t>
            </w:r>
          </w:p>
        </w:tc>
        <w:tc>
          <w:tcPr>
            <w:tcW w:w="617" w:type="pct"/>
            <w:shd w:val="clear" w:color="auto" w:fill="auto"/>
            <w:hideMark/>
          </w:tcPr>
          <w:p w:rsidR="00AA0969" w:rsidRPr="00AA0969" w:rsidRDefault="00AA0969" w:rsidP="00AA0969">
            <w:pPr>
              <w:spacing w:after="0" w:line="240" w:lineRule="auto"/>
              <w:jc w:val="center"/>
              <w:rPr>
                <w:rFonts w:eastAsia="Times New Roman" w:cs="Calibri"/>
                <w:b/>
                <w:bCs/>
                <w:color w:val="000000"/>
                <w:lang w:eastAsia="en-NZ"/>
              </w:rPr>
            </w:pPr>
            <w:r w:rsidRPr="00AA0969">
              <w:rPr>
                <w:rFonts w:eastAsia="Times New Roman" w:cs="Calibri"/>
                <w:b/>
                <w:bCs/>
                <w:color w:val="000000"/>
                <w:lang w:eastAsia="en-NZ"/>
              </w:rPr>
              <w:t>Average current value</w:t>
            </w:r>
          </w:p>
        </w:tc>
        <w:tc>
          <w:tcPr>
            <w:tcW w:w="537" w:type="pct"/>
            <w:shd w:val="clear" w:color="auto" w:fill="auto"/>
            <w:hideMark/>
          </w:tcPr>
          <w:p w:rsidR="00AA0969" w:rsidRPr="00AA0969" w:rsidRDefault="00AA0969" w:rsidP="00AA0969">
            <w:pPr>
              <w:spacing w:after="0" w:line="240" w:lineRule="auto"/>
              <w:jc w:val="center"/>
              <w:rPr>
                <w:rFonts w:eastAsia="Times New Roman" w:cs="Calibri"/>
                <w:b/>
                <w:bCs/>
                <w:color w:val="000000"/>
                <w:lang w:eastAsia="en-NZ"/>
              </w:rPr>
            </w:pPr>
            <w:r w:rsidRPr="00AA0969">
              <w:rPr>
                <w:rFonts w:eastAsia="Times New Roman" w:cs="Calibri"/>
                <w:b/>
                <w:bCs/>
                <w:color w:val="000000"/>
                <w:lang w:eastAsia="en-NZ"/>
              </w:rPr>
              <w:t>12 month change%</w:t>
            </w:r>
          </w:p>
        </w:tc>
        <w:tc>
          <w:tcPr>
            <w:tcW w:w="614" w:type="pct"/>
            <w:shd w:val="clear" w:color="auto" w:fill="auto"/>
            <w:hideMark/>
          </w:tcPr>
          <w:p w:rsidR="00AA0969" w:rsidRPr="00AA0969" w:rsidRDefault="00AA0969" w:rsidP="00AA0969">
            <w:pPr>
              <w:spacing w:after="0" w:line="240" w:lineRule="auto"/>
              <w:jc w:val="center"/>
              <w:rPr>
                <w:rFonts w:eastAsia="Times New Roman" w:cs="Calibri"/>
                <w:b/>
                <w:bCs/>
                <w:color w:val="000000"/>
                <w:lang w:eastAsia="en-NZ"/>
              </w:rPr>
            </w:pPr>
            <w:r w:rsidRPr="00AA0969">
              <w:rPr>
                <w:rFonts w:eastAsia="Times New Roman" w:cs="Calibri"/>
                <w:b/>
                <w:bCs/>
                <w:color w:val="000000"/>
                <w:lang w:eastAsia="en-NZ"/>
              </w:rPr>
              <w:t>3 month change %</w:t>
            </w:r>
          </w:p>
        </w:tc>
        <w:tc>
          <w:tcPr>
            <w:tcW w:w="799" w:type="pct"/>
            <w:shd w:val="clear" w:color="auto" w:fill="auto"/>
            <w:hideMark/>
          </w:tcPr>
          <w:p w:rsidR="00AA0969" w:rsidRPr="00AA0969" w:rsidRDefault="00AA0969" w:rsidP="00AA0969">
            <w:pPr>
              <w:spacing w:after="0" w:line="240" w:lineRule="auto"/>
              <w:jc w:val="center"/>
              <w:rPr>
                <w:rFonts w:eastAsia="Times New Roman" w:cs="Calibri"/>
                <w:b/>
                <w:bCs/>
                <w:color w:val="000000"/>
                <w:lang w:eastAsia="en-NZ"/>
              </w:rPr>
            </w:pPr>
            <w:r w:rsidRPr="00AA0969">
              <w:rPr>
                <w:rFonts w:eastAsia="Times New Roman" w:cs="Calibri"/>
                <w:b/>
                <w:bCs/>
                <w:color w:val="000000"/>
                <w:lang w:eastAsia="en-NZ"/>
              </w:rPr>
              <w:t>Since 2007 market peak change %</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Far North</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300,444</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-3.9%</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0.7%</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-24.6%</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Whangarei</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335,273</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2.7%</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1.4%</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-15.4%</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Kaipara</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325,117</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7.4%</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1.5%</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-18.0%</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Auckland - Rodney</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644,006</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10.1%</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3.7%</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9.8%</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Rodney - Hibiscus Coast</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640,174</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9.3%</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3.9%</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9.0%</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Rodney - North</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648,149</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11.0%</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3.5%</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7.9%</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#A</w:t>
            </w: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Auckland - North Shore</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820,155</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15.0%</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2.5%</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27.1%</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North Shore - Coastal</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944,439</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15.4%</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3.4%</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25.3%</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 xml:space="preserve">North Shore - </w:t>
            </w:r>
            <w:proofErr w:type="spellStart"/>
            <w:r w:rsidRPr="00AA0969">
              <w:rPr>
                <w:rFonts w:eastAsia="Times New Roman" w:cs="Calibri"/>
                <w:color w:val="000000"/>
                <w:lang w:eastAsia="en-NZ"/>
              </w:rPr>
              <w:t>Onewa</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657,307</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15.1%</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1.0%</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32.5%</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North Shore - North Harbour</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786,895</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14.8%</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2.4%</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29.5%</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#A</w:t>
            </w: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 xml:space="preserve">Auckland - </w:t>
            </w:r>
            <w:proofErr w:type="spellStart"/>
            <w:r w:rsidRPr="00AA0969">
              <w:rPr>
                <w:rFonts w:eastAsia="Times New Roman" w:cs="Calibri"/>
                <w:color w:val="000000"/>
                <w:lang w:eastAsia="en-NZ"/>
              </w:rPr>
              <w:t>Waitakere</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544,202</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19.2%</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3.6%</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28.3%</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#A</w:t>
            </w: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Auckland - City</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820,924</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13.5%</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1.6%</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31.9%</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Auckland City - Central</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720,580</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10.7%</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1.3%</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26.5%</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proofErr w:type="spellStart"/>
            <w:r w:rsidRPr="00AA0969">
              <w:rPr>
                <w:rFonts w:eastAsia="Times New Roman" w:cs="Calibri"/>
                <w:color w:val="000000"/>
                <w:lang w:eastAsia="en-NZ"/>
              </w:rPr>
              <w:t>Auckland_City</w:t>
            </w:r>
            <w:proofErr w:type="spellEnd"/>
            <w:r w:rsidRPr="00AA0969">
              <w:rPr>
                <w:rFonts w:eastAsia="Times New Roman" w:cs="Calibri"/>
                <w:color w:val="000000"/>
                <w:lang w:eastAsia="en-NZ"/>
              </w:rPr>
              <w:t xml:space="preserve"> - East</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1,026,410</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14.4%</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1.5%</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28.8%</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Auckland City - South</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734,261</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14.7%</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1.8%</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36.4%</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Auckland City - Islands</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733,442</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10.1%</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2.9%</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14.7%</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#A</w:t>
            </w: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 xml:space="preserve">Auckland - </w:t>
            </w:r>
            <w:proofErr w:type="spellStart"/>
            <w:r w:rsidRPr="00AA0969">
              <w:rPr>
                <w:rFonts w:eastAsia="Times New Roman" w:cs="Calibri"/>
                <w:color w:val="000000"/>
                <w:lang w:eastAsia="en-NZ"/>
              </w:rPr>
              <w:t>Manukau</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580,074</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16.1%</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4.4%</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26.7%</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proofErr w:type="spellStart"/>
            <w:r w:rsidRPr="00AA0969">
              <w:rPr>
                <w:rFonts w:eastAsia="Times New Roman" w:cs="Calibri"/>
                <w:color w:val="000000"/>
                <w:lang w:eastAsia="en-NZ"/>
              </w:rPr>
              <w:t>Manukau</w:t>
            </w:r>
            <w:proofErr w:type="spellEnd"/>
            <w:r w:rsidRPr="00AA0969">
              <w:rPr>
                <w:rFonts w:eastAsia="Times New Roman" w:cs="Calibri"/>
                <w:color w:val="000000"/>
                <w:lang w:eastAsia="en-NZ"/>
              </w:rPr>
              <w:t xml:space="preserve"> - East</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773,540</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15.3%</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3.9%</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29.8%</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proofErr w:type="spellStart"/>
            <w:r w:rsidRPr="00AA0969">
              <w:rPr>
                <w:rFonts w:eastAsia="Times New Roman" w:cs="Calibri"/>
                <w:color w:val="000000"/>
                <w:lang w:eastAsia="en-NZ"/>
              </w:rPr>
              <w:t>Manukau</w:t>
            </w:r>
            <w:proofErr w:type="spellEnd"/>
            <w:r w:rsidRPr="00AA0969">
              <w:rPr>
                <w:rFonts w:eastAsia="Times New Roman" w:cs="Calibri"/>
                <w:color w:val="000000"/>
                <w:lang w:eastAsia="en-NZ"/>
              </w:rPr>
              <w:t xml:space="preserve"> - Central</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441,958</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16.0%</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4.6%</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17.6%</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proofErr w:type="spellStart"/>
            <w:r w:rsidRPr="00AA0969">
              <w:rPr>
                <w:rFonts w:eastAsia="Times New Roman" w:cs="Calibri"/>
                <w:color w:val="000000"/>
                <w:lang w:eastAsia="en-NZ"/>
              </w:rPr>
              <w:t>Manukau</w:t>
            </w:r>
            <w:proofErr w:type="spellEnd"/>
            <w:r w:rsidRPr="00AA0969">
              <w:rPr>
                <w:rFonts w:eastAsia="Times New Roman" w:cs="Calibri"/>
                <w:color w:val="000000"/>
                <w:lang w:eastAsia="en-NZ"/>
              </w:rPr>
              <w:t xml:space="preserve"> - North West</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474,183</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17.6%</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4.5%</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28.3%</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#A</w:t>
            </w: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 xml:space="preserve">Auckland - </w:t>
            </w:r>
            <w:proofErr w:type="spellStart"/>
            <w:r w:rsidRPr="00AA0969">
              <w:rPr>
                <w:rFonts w:eastAsia="Times New Roman" w:cs="Calibri"/>
                <w:color w:val="000000"/>
                <w:lang w:eastAsia="en-NZ"/>
              </w:rPr>
              <w:t>Papakura</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422,887</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16.7%</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4.8%</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17.5%</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Auckland - Franklin</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448,462</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12.2%</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4.6%</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13.4%</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Thames Coromandel</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501,403</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1.5%</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1.5%</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-13.8%</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Hauraki</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249,689</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2.8%</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color w:val="000000"/>
                <w:lang w:eastAsia="en-NZ"/>
              </w:rPr>
            </w:pPr>
            <w:r w:rsidRPr="00AA0969">
              <w:rPr>
                <w:rFonts w:eastAsia="Times New Roman" w:cs="Calibri"/>
                <w:i/>
                <w:iCs/>
                <w:color w:val="000000"/>
                <w:lang w:eastAsia="en-NZ"/>
              </w:rPr>
              <w:t>2.8%</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color w:val="000000"/>
                <w:lang w:eastAsia="en-NZ"/>
              </w:rPr>
            </w:pPr>
            <w:r w:rsidRPr="00AA0969">
              <w:rPr>
                <w:rFonts w:eastAsia="Times New Roman" w:cs="Calibri"/>
                <w:i/>
                <w:iCs/>
                <w:color w:val="000000"/>
                <w:lang w:eastAsia="en-NZ"/>
              </w:rPr>
              <w:t>-10.5%</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Waikato</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282,781</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6.3%</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4.1%</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-6.6%</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Matamata</w:t>
            </w:r>
            <w:proofErr w:type="spellEnd"/>
            <w:r w:rsidRPr="00AA0969">
              <w:rPr>
                <w:rFonts w:eastAsia="Times New Roman" w:cs="Calibri"/>
                <w:color w:val="000000"/>
                <w:lang w:eastAsia="en-NZ"/>
              </w:rPr>
              <w:t xml:space="preserve"> </w:t>
            </w:r>
            <w:proofErr w:type="spellStart"/>
            <w:r w:rsidRPr="00AA0969">
              <w:rPr>
                <w:rFonts w:eastAsia="Times New Roman" w:cs="Calibri"/>
                <w:color w:val="000000"/>
                <w:lang w:eastAsia="en-NZ"/>
              </w:rPr>
              <w:t>Piako</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269,792</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2.3%</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2.5%</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-7.5%</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w:t>
            </w: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Hamilton</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360,656</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5.6%</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1.4%</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-0.2%</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Hamilton - North East</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452,481</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7.0%</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1.0%</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0.6%</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Hamilton - Central &amp; North West</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339,206</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5.0%</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2.5%</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-5.2%</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Hamilton - South East</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333,780</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5.1%</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2.2%</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-4.5%</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Hamilton - South West</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316,568</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3.2%</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0.2%</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-7.5%</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Waipa</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334,678</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5.2%</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3.4%</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1.7%</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Otorohanga</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NA</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NA</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NA</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NA</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South Waikato</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129,790</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-2.7%</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-1.3%</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-20.5%</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Waitomo</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140,315</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-4.0%</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-6.9%</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-33.9%</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Taupo</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338,804</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-3.0%</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-4.3%</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-15.4%</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Western BOP</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402,216</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0.9%</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0.8%</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-10.7%</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w:t>
            </w: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Tauranga</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439,974</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3.8%</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1.0%</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-8.6%</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Rotorua</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273,213</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2.3%</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-0.7%</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-7.0%</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Whakatane</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295,474</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0.8%</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0.2%</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-15.1%</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Kawerau</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105,034</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2.6%</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6.7%</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-34.0%</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Opotiki</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202,427</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-3.0%</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0.4%</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-28.8%</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Gisborne</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235,643</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5.1%</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-0.4%</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-20.7%</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Wairoa</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NA</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NA</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NA</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NA</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Hastings</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300,730</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2.5%</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-0.5%</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-3.5%</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w:t>
            </w: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Napier</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325,275</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2.1%</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1.0%</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-4.4%</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 xml:space="preserve">Central </w:t>
            </w:r>
            <w:proofErr w:type="spellStart"/>
            <w:r w:rsidRPr="00AA0969">
              <w:rPr>
                <w:rFonts w:eastAsia="Times New Roman" w:cs="Calibri"/>
                <w:color w:val="000000"/>
                <w:lang w:eastAsia="en-NZ"/>
              </w:rPr>
              <w:t>Hawkes</w:t>
            </w:r>
            <w:proofErr w:type="spellEnd"/>
            <w:r w:rsidRPr="00AA0969">
              <w:rPr>
                <w:rFonts w:eastAsia="Times New Roman" w:cs="Calibri"/>
                <w:color w:val="000000"/>
                <w:lang w:eastAsia="en-NZ"/>
              </w:rPr>
              <w:t xml:space="preserve"> Bay</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199,156</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-9.4%</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0.8%</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-24.9%</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New Plymouth</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346,370</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6.5%</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1.6%</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4.7%</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Stratford</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204,619</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7.6%</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4.3%</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-6.4%</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 xml:space="preserve">South </w:t>
            </w:r>
            <w:proofErr w:type="spellStart"/>
            <w:r w:rsidRPr="00AA0969">
              <w:rPr>
                <w:rFonts w:eastAsia="Times New Roman" w:cs="Calibri"/>
                <w:color w:val="000000"/>
                <w:lang w:eastAsia="en-NZ"/>
              </w:rPr>
              <w:t>Taranaki</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182,579</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-2.4%</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-1.6%</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-7.7%</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Ruapehu</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146,624</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2.3%</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7.0%</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-18.7%</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Wanganui</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186,560</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-1.8%</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-3.6%</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-16.7%</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Rangitikei</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145,746</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-1.7%</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1.3%</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-19.5%</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Manawatu</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239,353</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2.9%</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1.3%</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-5.9%</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w:t>
            </w: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Palmerston</w:t>
            </w:r>
            <w:proofErr w:type="spellEnd"/>
            <w:r w:rsidRPr="00AA0969">
              <w:rPr>
                <w:rFonts w:eastAsia="Times New Roman" w:cs="Calibri"/>
                <w:color w:val="000000"/>
                <w:lang w:eastAsia="en-NZ"/>
              </w:rPr>
              <w:t xml:space="preserve"> North</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287,384</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1.2%</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0.2%</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-3.7%</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Tararua</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155,535</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2.2%</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3.4%</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-11.8%</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Horowhenua</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200,578</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1.1%</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-0.5%</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-15.7%</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Kapiti</w:t>
            </w:r>
            <w:proofErr w:type="spellEnd"/>
            <w:r w:rsidRPr="00AA0969">
              <w:rPr>
                <w:rFonts w:eastAsia="Times New Roman" w:cs="Calibri"/>
                <w:color w:val="000000"/>
                <w:lang w:eastAsia="en-NZ"/>
              </w:rPr>
              <w:t xml:space="preserve"> Coast</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369,826</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2.6%</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1.2%</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-3.5%</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#W</w:t>
            </w: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Porirua</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379,118</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3.0%</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0.3%</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-0.8%</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#W</w:t>
            </w: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Upper Hutt</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341,521</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4.2%</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2.5%</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-2.8%</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#W</w:t>
            </w: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Hutt</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372,791</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2.6%</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-0.6%</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-5.0%</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#W</w:t>
            </w: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Wellington</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534,748</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2.7%</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2.0%</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0.4%</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Wellington - Central &amp; South</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541,426</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2.9%</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1.7%</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-3.4%</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Wellington - East</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577,178</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1.1%</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2.4%</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0.1%</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Wellington - North</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470,546</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2.9%</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2.1%</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1.0%</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Wellington - West</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613,990</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3.4%</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1.9%</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1.1%</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Masterton</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242,729</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3.8%</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1.9%</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-15.1%</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Carterton</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258,810</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4.4%</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6.2%</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-7.1%</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 xml:space="preserve">South </w:t>
            </w:r>
            <w:proofErr w:type="spellStart"/>
            <w:r w:rsidRPr="00AA0969">
              <w:rPr>
                <w:rFonts w:eastAsia="Times New Roman" w:cs="Calibri"/>
                <w:color w:val="000000"/>
                <w:lang w:eastAsia="en-NZ"/>
              </w:rPr>
              <w:t>Wairarapa</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299,756</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4.0%</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1.1%</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-11.4%</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Tasman</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407,322</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2.4%</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-1.3%</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1.4%</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w:t>
            </w: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Nelson</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401,953</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2.8%</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1.1%</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5.0%</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Marlborough</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340,898</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0.5%</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-1.5%</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-12.6%</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Kaikoura</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NA</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NA</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NA</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NA</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Buller</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212,712</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-6.9%</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-3.9%</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3.5%</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Grey</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227,033</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3.1%</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7.0%</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-7.1%</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Westland</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235,312</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6.9%</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3.0%</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-2.0%</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Hurunui</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348,352</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6.9%</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7.2%</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11.4%</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Waimakariri</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400,425</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9.4%</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2.8%</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25.0%</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w:t>
            </w: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Christchurch</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456,131</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12.0%</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2.6%</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20.2%</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Christchurch - East</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340,803</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8.6%</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0.8%</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10.1%</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Christchurch - Hills</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625,165</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8.5%</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1.2%</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13.0%</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Christchurch - Central &amp; North</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529,107</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12.3%</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2.9%</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19.5%</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Christchurch - Southwest</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428,632</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14.2%</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2.9%</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26.3%</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Christchurch - Banks Peninsula</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489,773</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5.7%</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2.8%</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1.9%</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Selwyn</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487,046</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8.5%</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1.1%</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30.6%</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Ashburton</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313,420</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6.9%</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1.0%</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12.0%</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Timaru</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276,072</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5.4%</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-0.1%</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10.0%</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MacKenzie</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298,151</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8.2%</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7.1%</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4.1%</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Waimate</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200,748</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13.0%</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4.7%</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6.5%</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roofErr w:type="spellStart"/>
            <w:r w:rsidRPr="00AA0969">
              <w:rPr>
                <w:rFonts w:eastAsia="Times New Roman" w:cs="Calibri"/>
                <w:color w:val="000000"/>
                <w:lang w:eastAsia="en-NZ"/>
              </w:rPr>
              <w:t>Waitaki</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213,798</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0.5%</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0.3%</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-6.4%</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 xml:space="preserve">Central </w:t>
            </w:r>
            <w:proofErr w:type="spellStart"/>
            <w:r w:rsidRPr="00AA0969">
              <w:rPr>
                <w:rFonts w:eastAsia="Times New Roman" w:cs="Calibri"/>
                <w:color w:val="000000"/>
                <w:lang w:eastAsia="en-NZ"/>
              </w:rPr>
              <w:t>Otago</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313,368</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6.6%</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1.2%</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-1.1%</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Queenstown Lakes</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653,950</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5.6%</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1.8%</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-4.9%</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w:t>
            </w: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Dunedin</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289,078</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2.5%</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0.8%</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1.0%</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Dunedin - Central &amp; North</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298,836</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2.4%</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-0.2%</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-1.0%</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Dunedin - Peninsular &amp; Coastal</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260,529</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-0.7%</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color w:val="000000"/>
                <w:lang w:eastAsia="en-NZ"/>
              </w:rPr>
            </w:pPr>
            <w:r w:rsidRPr="00AA0969">
              <w:rPr>
                <w:rFonts w:eastAsia="Times New Roman" w:cs="Calibri"/>
                <w:i/>
                <w:iCs/>
                <w:color w:val="000000"/>
                <w:lang w:eastAsia="en-NZ"/>
              </w:rPr>
              <w:t>0.8%</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color w:val="000000"/>
                <w:lang w:eastAsia="en-NZ"/>
              </w:rPr>
            </w:pPr>
            <w:r w:rsidRPr="00AA0969">
              <w:rPr>
                <w:rFonts w:eastAsia="Times New Roman" w:cs="Calibri"/>
                <w:i/>
                <w:iCs/>
                <w:color w:val="000000"/>
                <w:lang w:eastAsia="en-NZ"/>
              </w:rPr>
              <w:t>-3.8%</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Dunedin - South</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279,227</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3.0%</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3.0%</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-2.2%</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noWrap/>
            <w:vAlign w:val="bottom"/>
            <w:hideMark/>
          </w:tcPr>
          <w:p w:rsidR="00AA0969" w:rsidRPr="00AA0969" w:rsidRDefault="00AA0969" w:rsidP="00AA0969">
            <w:pPr>
              <w:spacing w:after="0" w:line="240" w:lineRule="auto"/>
              <w:ind w:firstLineChars="200" w:firstLine="440"/>
              <w:rPr>
                <w:rFonts w:eastAsia="Times New Roman" w:cs="Calibri"/>
                <w:color w:val="000000"/>
                <w:lang w:eastAsia="en-NZ"/>
              </w:rPr>
            </w:pPr>
            <w:r w:rsidRPr="00AA0969">
              <w:rPr>
                <w:rFonts w:eastAsia="Times New Roman" w:cs="Calibri"/>
                <w:color w:val="000000"/>
                <w:lang w:eastAsia="en-NZ"/>
              </w:rPr>
              <w:t xml:space="preserve">Dunedin - </w:t>
            </w:r>
            <w:proofErr w:type="spellStart"/>
            <w:r w:rsidRPr="00AA0969">
              <w:rPr>
                <w:rFonts w:eastAsia="Times New Roman" w:cs="Calibri"/>
                <w:color w:val="000000"/>
                <w:lang w:eastAsia="en-NZ"/>
              </w:rPr>
              <w:t>Taieri</w:t>
            </w:r>
            <w:proofErr w:type="spellEnd"/>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298,582</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3.4%</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0.5%</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1.6%</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Clutha</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161,669</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1.3%</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-6.2%</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-10.8%</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Southland</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195,746</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-4.2%</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-5.1%</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-15.0%</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Gore</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188,762</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i/>
                <w:iCs/>
                <w:lang w:eastAsia="en-NZ"/>
              </w:rPr>
            </w:pPr>
            <w:r w:rsidRPr="00AA0969">
              <w:rPr>
                <w:rFonts w:eastAsia="Times New Roman" w:cs="Calibri"/>
                <w:i/>
                <w:iCs/>
                <w:lang w:eastAsia="en-NZ"/>
              </w:rPr>
              <w:t>3.1%</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i/>
                <w:iCs/>
                <w:color w:val="000000"/>
                <w:lang w:eastAsia="en-NZ"/>
              </w:rPr>
            </w:pPr>
            <w:r w:rsidRPr="00AA0969">
              <w:rPr>
                <w:rFonts w:eastAsia="Times New Roman" w:cs="Calibri"/>
                <w:i/>
                <w:iCs/>
                <w:color w:val="000000"/>
                <w:lang w:eastAsia="en-NZ"/>
              </w:rPr>
              <w:t>5.1%</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i/>
                <w:iCs/>
                <w:color w:val="000000"/>
                <w:lang w:eastAsia="en-NZ"/>
              </w:rPr>
            </w:pPr>
            <w:r w:rsidRPr="00AA0969">
              <w:rPr>
                <w:rFonts w:eastAsia="Times New Roman" w:cs="Calibri"/>
                <w:i/>
                <w:iCs/>
                <w:color w:val="000000"/>
                <w:lang w:eastAsia="en-NZ"/>
              </w:rPr>
              <w:t>7.4%</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w:t>
            </w: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Invercargill</w:t>
            </w:r>
          </w:p>
        </w:tc>
        <w:tc>
          <w:tcPr>
            <w:tcW w:w="61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205,258</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-0.4%</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0.4%</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-6.9%</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617" w:type="pct"/>
            <w:shd w:val="clear" w:color="auto" w:fill="auto"/>
            <w:noWrap/>
            <w:vAlign w:val="bottom"/>
            <w:hideMark/>
          </w:tcPr>
          <w:p w:rsidR="00AA0969" w:rsidRPr="00AA0969" w:rsidRDefault="00AA0969" w:rsidP="00AA0969">
            <w:pPr>
              <w:spacing w:after="0" w:line="240" w:lineRule="auto"/>
              <w:rPr>
                <w:rFonts w:eastAsia="Times New Roman" w:cs="Calibri"/>
                <w:lang w:eastAsia="en-NZ"/>
              </w:rPr>
            </w:pPr>
          </w:p>
        </w:tc>
        <w:tc>
          <w:tcPr>
            <w:tcW w:w="537" w:type="pct"/>
            <w:shd w:val="clear" w:color="auto" w:fill="auto"/>
            <w:vAlign w:val="bottom"/>
            <w:hideMark/>
          </w:tcPr>
          <w:p w:rsidR="00AA0969" w:rsidRPr="00AA0969" w:rsidRDefault="00AA0969" w:rsidP="00AA0969">
            <w:pPr>
              <w:spacing w:after="0" w:line="240" w:lineRule="auto"/>
              <w:jc w:val="right"/>
              <w:rPr>
                <w:rFonts w:eastAsia="Times New Roman" w:cs="Calibri"/>
                <w:color w:val="000000"/>
                <w:lang w:eastAsia="en-NZ"/>
              </w:rPr>
            </w:pPr>
          </w:p>
        </w:tc>
        <w:tc>
          <w:tcPr>
            <w:tcW w:w="614" w:type="pct"/>
            <w:shd w:val="clear" w:color="auto" w:fill="auto"/>
            <w:noWrap/>
            <w:vAlign w:val="bottom"/>
            <w:hideMark/>
          </w:tcPr>
          <w:p w:rsidR="00AA0969" w:rsidRPr="00AA0969" w:rsidRDefault="00AA0969" w:rsidP="00AA0969">
            <w:pPr>
              <w:spacing w:after="0" w:line="240" w:lineRule="auto"/>
              <w:rPr>
                <w:rFonts w:eastAsia="Times New Roman" w:cs="Calibri"/>
                <w:color w:val="000000"/>
                <w:lang w:eastAsia="en-NZ"/>
              </w:rPr>
            </w:pPr>
          </w:p>
        </w:tc>
        <w:tc>
          <w:tcPr>
            <w:tcW w:w="799" w:type="pct"/>
            <w:shd w:val="clear" w:color="auto" w:fill="auto"/>
            <w:noWrap/>
            <w:vAlign w:val="bottom"/>
            <w:hideMark/>
          </w:tcPr>
          <w:p w:rsidR="00AA0969" w:rsidRPr="00AA0969" w:rsidRDefault="00AA0969" w:rsidP="00AA0969">
            <w:pPr>
              <w:spacing w:after="0" w:line="240" w:lineRule="auto"/>
              <w:rPr>
                <w:rFonts w:eastAsia="Times New Roman" w:cs="Calibri"/>
                <w:color w:val="000000"/>
                <w:lang w:eastAsia="en-NZ"/>
              </w:rPr>
            </w:pP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Auckland Area</w:t>
            </w:r>
          </w:p>
        </w:tc>
        <w:tc>
          <w:tcPr>
            <w:tcW w:w="617" w:type="pct"/>
            <w:shd w:val="clear" w:color="000000" w:fill="F2F2F2"/>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 xml:space="preserve">              695,215 </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14.5%</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2.8%</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27.2%</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Wellington Area</w:t>
            </w:r>
          </w:p>
        </w:tc>
        <w:tc>
          <w:tcPr>
            <w:tcW w:w="617" w:type="pct"/>
            <w:shd w:val="clear" w:color="000000" w:fill="F2F2F2"/>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 xml:space="preserve">              452,427 </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3.0%</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1.4%</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-0.7%</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w:t>
            </w:r>
          </w:p>
        </w:tc>
        <w:tc>
          <w:tcPr>
            <w:tcW w:w="2151"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r w:rsidRPr="00AA0969">
              <w:rPr>
                <w:rFonts w:eastAsia="Times New Roman" w:cs="Calibri"/>
                <w:color w:val="000000"/>
                <w:lang w:eastAsia="en-NZ"/>
              </w:rPr>
              <w:t>Main Urban Areas</w:t>
            </w:r>
          </w:p>
        </w:tc>
        <w:tc>
          <w:tcPr>
            <w:tcW w:w="617" w:type="pct"/>
            <w:shd w:val="clear" w:color="000000" w:fill="F2F2F2"/>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 xml:space="preserve">              543,745 </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11.7%</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2.5%</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color w:val="000000"/>
                <w:lang w:eastAsia="en-NZ"/>
              </w:rPr>
            </w:pPr>
            <w:r w:rsidRPr="00AA0969">
              <w:rPr>
                <w:rFonts w:eastAsia="Times New Roman" w:cs="Calibri"/>
                <w:color w:val="000000"/>
                <w:lang w:eastAsia="en-NZ"/>
              </w:rPr>
              <w:t>18.4%</w:t>
            </w:r>
          </w:p>
        </w:tc>
      </w:tr>
      <w:tr w:rsidR="00AA0969" w:rsidRPr="00AA0969" w:rsidTr="00AA0969">
        <w:trPr>
          <w:trHeight w:val="300"/>
        </w:trPr>
        <w:tc>
          <w:tcPr>
            <w:tcW w:w="282" w:type="pct"/>
            <w:shd w:val="clear" w:color="auto" w:fill="auto"/>
            <w:vAlign w:val="bottom"/>
            <w:hideMark/>
          </w:tcPr>
          <w:p w:rsidR="00AA0969" w:rsidRPr="00AA0969" w:rsidRDefault="00AA0969" w:rsidP="00AA0969">
            <w:pPr>
              <w:spacing w:after="0" w:line="240" w:lineRule="auto"/>
              <w:rPr>
                <w:rFonts w:eastAsia="Times New Roman" w:cs="Calibri"/>
                <w:color w:val="000000"/>
                <w:lang w:eastAsia="en-NZ"/>
              </w:rPr>
            </w:pPr>
          </w:p>
        </w:tc>
        <w:tc>
          <w:tcPr>
            <w:tcW w:w="2151" w:type="pct"/>
            <w:shd w:val="clear" w:color="auto" w:fill="auto"/>
            <w:vAlign w:val="bottom"/>
            <w:hideMark/>
          </w:tcPr>
          <w:p w:rsidR="00AA0969" w:rsidRPr="00AA0969" w:rsidRDefault="00AA0969" w:rsidP="00AA0969">
            <w:pPr>
              <w:spacing w:after="0" w:line="240" w:lineRule="auto"/>
              <w:rPr>
                <w:rFonts w:eastAsia="Times New Roman" w:cs="Calibri"/>
                <w:b/>
                <w:bCs/>
                <w:color w:val="000000"/>
                <w:lang w:eastAsia="en-NZ"/>
              </w:rPr>
            </w:pPr>
            <w:r w:rsidRPr="00AA0969">
              <w:rPr>
                <w:rFonts w:eastAsia="Times New Roman" w:cs="Calibri"/>
                <w:b/>
                <w:bCs/>
                <w:color w:val="000000"/>
                <w:lang w:eastAsia="en-NZ"/>
              </w:rPr>
              <w:t>New Zealand</w:t>
            </w:r>
          </w:p>
        </w:tc>
        <w:tc>
          <w:tcPr>
            <w:tcW w:w="617" w:type="pct"/>
            <w:shd w:val="clear" w:color="000000" w:fill="F2F2F2"/>
            <w:noWrap/>
            <w:vAlign w:val="bottom"/>
            <w:hideMark/>
          </w:tcPr>
          <w:p w:rsidR="00AA0969" w:rsidRPr="00AA0969" w:rsidRDefault="00AA0969" w:rsidP="00AA0969">
            <w:pPr>
              <w:spacing w:after="0" w:line="240" w:lineRule="auto"/>
              <w:jc w:val="right"/>
              <w:rPr>
                <w:rFonts w:eastAsia="Times New Roman" w:cs="Calibri"/>
                <w:lang w:eastAsia="en-NZ"/>
              </w:rPr>
            </w:pPr>
            <w:r w:rsidRPr="00AA0969">
              <w:rPr>
                <w:rFonts w:eastAsia="Times New Roman" w:cs="Calibri"/>
                <w:lang w:eastAsia="en-NZ"/>
              </w:rPr>
              <w:t xml:space="preserve">              467,499 </w:t>
            </w:r>
          </w:p>
        </w:tc>
        <w:tc>
          <w:tcPr>
            <w:tcW w:w="537" w:type="pct"/>
            <w:shd w:val="clear" w:color="auto" w:fill="auto"/>
            <w:noWrap/>
            <w:vAlign w:val="bottom"/>
            <w:hideMark/>
          </w:tcPr>
          <w:p w:rsidR="00AA0969" w:rsidRPr="00AA0969" w:rsidRDefault="00AA0969" w:rsidP="00AA0969">
            <w:pPr>
              <w:spacing w:after="0" w:line="240" w:lineRule="auto"/>
              <w:jc w:val="right"/>
              <w:rPr>
                <w:rFonts w:eastAsia="Times New Roman" w:cs="Calibri"/>
                <w:b/>
                <w:bCs/>
                <w:lang w:eastAsia="en-NZ"/>
              </w:rPr>
            </w:pPr>
            <w:r w:rsidRPr="00AA0969">
              <w:rPr>
                <w:rFonts w:eastAsia="Times New Roman" w:cs="Calibri"/>
                <w:b/>
                <w:bCs/>
                <w:lang w:eastAsia="en-NZ"/>
              </w:rPr>
              <w:t>9.6%</w:t>
            </w:r>
          </w:p>
        </w:tc>
        <w:tc>
          <w:tcPr>
            <w:tcW w:w="614" w:type="pct"/>
            <w:shd w:val="clear" w:color="auto" w:fill="auto"/>
            <w:noWrap/>
            <w:vAlign w:val="bottom"/>
            <w:hideMark/>
          </w:tcPr>
          <w:p w:rsidR="00AA0969" w:rsidRPr="00AA0969" w:rsidRDefault="00AA0969" w:rsidP="00AA0969">
            <w:pPr>
              <w:spacing w:after="0" w:line="240" w:lineRule="auto"/>
              <w:jc w:val="right"/>
              <w:rPr>
                <w:rFonts w:eastAsia="Times New Roman" w:cs="Calibri"/>
                <w:b/>
                <w:bCs/>
                <w:color w:val="000000"/>
                <w:lang w:eastAsia="en-NZ"/>
              </w:rPr>
            </w:pPr>
            <w:r w:rsidRPr="00AA0969">
              <w:rPr>
                <w:rFonts w:eastAsia="Times New Roman" w:cs="Calibri"/>
                <w:b/>
                <w:bCs/>
                <w:color w:val="000000"/>
                <w:lang w:eastAsia="en-NZ"/>
              </w:rPr>
              <w:t>2.2%</w:t>
            </w:r>
          </w:p>
        </w:tc>
        <w:tc>
          <w:tcPr>
            <w:tcW w:w="799" w:type="pct"/>
            <w:shd w:val="clear" w:color="auto" w:fill="auto"/>
            <w:noWrap/>
            <w:vAlign w:val="bottom"/>
            <w:hideMark/>
          </w:tcPr>
          <w:p w:rsidR="00AA0969" w:rsidRPr="00AA0969" w:rsidRDefault="00AA0969" w:rsidP="00AA0969">
            <w:pPr>
              <w:spacing w:after="0" w:line="240" w:lineRule="auto"/>
              <w:jc w:val="right"/>
              <w:rPr>
                <w:rFonts w:eastAsia="Times New Roman" w:cs="Calibri"/>
                <w:b/>
                <w:bCs/>
                <w:color w:val="000000"/>
                <w:lang w:eastAsia="en-NZ"/>
              </w:rPr>
            </w:pPr>
            <w:r w:rsidRPr="00AA0969">
              <w:rPr>
                <w:rFonts w:eastAsia="Times New Roman" w:cs="Calibri"/>
                <w:b/>
                <w:bCs/>
                <w:color w:val="000000"/>
                <w:lang w:eastAsia="en-NZ"/>
              </w:rPr>
              <w:t>12.8%</w:t>
            </w:r>
          </w:p>
        </w:tc>
      </w:tr>
      <w:tr w:rsidR="00AA0969" w:rsidRPr="00AA0969" w:rsidTr="00AA0969">
        <w:trPr>
          <w:trHeight w:val="255"/>
        </w:trPr>
        <w:tc>
          <w:tcPr>
            <w:tcW w:w="282" w:type="pct"/>
            <w:shd w:val="clear" w:color="auto" w:fill="auto"/>
            <w:vAlign w:val="bottom"/>
            <w:hideMark/>
          </w:tcPr>
          <w:p w:rsidR="00AA0969" w:rsidRPr="00AA0969" w:rsidRDefault="00AA0969" w:rsidP="00AA0969">
            <w:pPr>
              <w:spacing w:after="0" w:line="240" w:lineRule="auto"/>
              <w:rPr>
                <w:rFonts w:ascii="Arial" w:eastAsia="Times New Roman" w:hAnsi="Arial" w:cs="Arial"/>
                <w:color w:val="000000"/>
                <w:sz w:val="20"/>
                <w:szCs w:val="20"/>
                <w:lang w:eastAsia="en-NZ"/>
              </w:rPr>
            </w:pPr>
          </w:p>
        </w:tc>
        <w:tc>
          <w:tcPr>
            <w:tcW w:w="2151" w:type="pct"/>
            <w:shd w:val="clear" w:color="auto" w:fill="auto"/>
            <w:vAlign w:val="bottom"/>
            <w:hideMark/>
          </w:tcPr>
          <w:p w:rsidR="00AA0969" w:rsidRPr="00AA0969" w:rsidRDefault="00AA0969" w:rsidP="00AA0969">
            <w:pPr>
              <w:spacing w:after="0" w:line="240" w:lineRule="auto"/>
              <w:rPr>
                <w:rFonts w:ascii="Arial" w:eastAsia="Times New Roman" w:hAnsi="Arial" w:cs="Arial"/>
                <w:color w:val="000000"/>
                <w:sz w:val="20"/>
                <w:szCs w:val="20"/>
                <w:lang w:eastAsia="en-NZ"/>
              </w:rPr>
            </w:pPr>
          </w:p>
        </w:tc>
        <w:tc>
          <w:tcPr>
            <w:tcW w:w="617" w:type="pct"/>
            <w:shd w:val="clear" w:color="auto" w:fill="auto"/>
            <w:vAlign w:val="bottom"/>
            <w:hideMark/>
          </w:tcPr>
          <w:p w:rsidR="00AA0969" w:rsidRPr="00AA0969" w:rsidRDefault="00AA0969" w:rsidP="00AA0969">
            <w:pPr>
              <w:spacing w:after="0" w:line="240" w:lineRule="auto"/>
              <w:rPr>
                <w:rFonts w:ascii="Arial" w:eastAsia="Times New Roman" w:hAnsi="Arial" w:cs="Arial"/>
                <w:color w:val="000000"/>
                <w:sz w:val="20"/>
                <w:szCs w:val="20"/>
                <w:lang w:eastAsia="en-NZ"/>
              </w:rPr>
            </w:pPr>
          </w:p>
        </w:tc>
        <w:tc>
          <w:tcPr>
            <w:tcW w:w="537" w:type="pct"/>
            <w:shd w:val="clear" w:color="auto" w:fill="auto"/>
            <w:vAlign w:val="bottom"/>
            <w:hideMark/>
          </w:tcPr>
          <w:p w:rsidR="00AA0969" w:rsidRPr="00AA0969" w:rsidRDefault="00AA0969" w:rsidP="00AA0969">
            <w:pPr>
              <w:spacing w:after="0" w:line="240" w:lineRule="auto"/>
              <w:rPr>
                <w:rFonts w:ascii="Arial" w:eastAsia="Times New Roman" w:hAnsi="Arial" w:cs="Arial"/>
                <w:color w:val="000000"/>
                <w:sz w:val="20"/>
                <w:szCs w:val="20"/>
                <w:lang w:eastAsia="en-NZ"/>
              </w:rPr>
            </w:pPr>
          </w:p>
        </w:tc>
        <w:tc>
          <w:tcPr>
            <w:tcW w:w="614" w:type="pct"/>
            <w:shd w:val="clear" w:color="auto" w:fill="auto"/>
            <w:noWrap/>
            <w:vAlign w:val="bottom"/>
            <w:hideMark/>
          </w:tcPr>
          <w:p w:rsidR="00AA0969" w:rsidRPr="00AA0969" w:rsidRDefault="00AA0969" w:rsidP="00AA0969">
            <w:pPr>
              <w:spacing w:after="0" w:line="240" w:lineRule="auto"/>
              <w:rPr>
                <w:rFonts w:ascii="Arial" w:eastAsia="Times New Roman" w:hAnsi="Arial" w:cs="Arial"/>
                <w:color w:val="000000"/>
                <w:sz w:val="20"/>
                <w:szCs w:val="20"/>
                <w:lang w:eastAsia="en-NZ"/>
              </w:rPr>
            </w:pPr>
          </w:p>
        </w:tc>
        <w:tc>
          <w:tcPr>
            <w:tcW w:w="799" w:type="pct"/>
            <w:shd w:val="clear" w:color="auto" w:fill="auto"/>
            <w:noWrap/>
            <w:vAlign w:val="bottom"/>
            <w:hideMark/>
          </w:tcPr>
          <w:p w:rsidR="00AA0969" w:rsidRPr="00AA0969" w:rsidRDefault="00AA0969" w:rsidP="00AA0969">
            <w:pPr>
              <w:spacing w:after="0" w:line="240" w:lineRule="auto"/>
              <w:rPr>
                <w:rFonts w:ascii="Arial" w:eastAsia="Times New Roman" w:hAnsi="Arial" w:cs="Arial"/>
                <w:color w:val="000000"/>
                <w:sz w:val="20"/>
                <w:szCs w:val="20"/>
                <w:lang w:eastAsia="en-NZ"/>
              </w:rPr>
            </w:pPr>
          </w:p>
        </w:tc>
      </w:tr>
      <w:tr w:rsidR="00AA0969" w:rsidRPr="00AA0969" w:rsidTr="00AA0969">
        <w:trPr>
          <w:trHeight w:val="255"/>
        </w:trPr>
        <w:tc>
          <w:tcPr>
            <w:tcW w:w="3587" w:type="pct"/>
            <w:gridSpan w:val="4"/>
            <w:shd w:val="clear" w:color="auto" w:fill="auto"/>
            <w:hideMark/>
          </w:tcPr>
          <w:p w:rsidR="00AA0969" w:rsidRPr="00AA0969" w:rsidRDefault="00AA0969" w:rsidP="00AA0969">
            <w:pPr>
              <w:spacing w:after="0" w:line="240" w:lineRule="auto"/>
              <w:rPr>
                <w:rFonts w:ascii="Arial" w:eastAsia="Times New Roman" w:hAnsi="Arial" w:cs="Arial"/>
                <w:b/>
                <w:bCs/>
                <w:color w:val="000000"/>
                <w:sz w:val="20"/>
                <w:szCs w:val="20"/>
                <w:lang w:eastAsia="en-NZ"/>
              </w:rPr>
            </w:pPr>
            <w:r w:rsidRPr="00AA0969">
              <w:rPr>
                <w:rFonts w:ascii="Arial" w:eastAsia="Times New Roman" w:hAnsi="Arial" w:cs="Arial"/>
                <w:b/>
                <w:bCs/>
                <w:color w:val="000000"/>
                <w:sz w:val="20"/>
                <w:szCs w:val="20"/>
                <w:lang w:eastAsia="en-NZ"/>
              </w:rPr>
              <w:t>Notes on the above data:</w:t>
            </w:r>
          </w:p>
        </w:tc>
        <w:tc>
          <w:tcPr>
            <w:tcW w:w="614" w:type="pct"/>
            <w:shd w:val="clear" w:color="auto" w:fill="auto"/>
            <w:noWrap/>
            <w:vAlign w:val="bottom"/>
            <w:hideMark/>
          </w:tcPr>
          <w:p w:rsidR="00AA0969" w:rsidRPr="00AA0969" w:rsidRDefault="00AA0969" w:rsidP="00AA0969">
            <w:pPr>
              <w:spacing w:after="0" w:line="240" w:lineRule="auto"/>
              <w:rPr>
                <w:rFonts w:ascii="Arial" w:eastAsia="Times New Roman" w:hAnsi="Arial" w:cs="Arial"/>
                <w:color w:val="000000"/>
                <w:sz w:val="20"/>
                <w:szCs w:val="20"/>
                <w:lang w:eastAsia="en-NZ"/>
              </w:rPr>
            </w:pPr>
          </w:p>
        </w:tc>
        <w:tc>
          <w:tcPr>
            <w:tcW w:w="799" w:type="pct"/>
            <w:shd w:val="clear" w:color="auto" w:fill="auto"/>
            <w:noWrap/>
            <w:vAlign w:val="bottom"/>
            <w:hideMark/>
          </w:tcPr>
          <w:p w:rsidR="00AA0969" w:rsidRPr="00AA0969" w:rsidRDefault="00AA0969" w:rsidP="00AA0969">
            <w:pPr>
              <w:spacing w:after="0" w:line="240" w:lineRule="auto"/>
              <w:rPr>
                <w:rFonts w:ascii="Arial" w:eastAsia="Times New Roman" w:hAnsi="Arial" w:cs="Arial"/>
                <w:color w:val="000000"/>
                <w:sz w:val="20"/>
                <w:szCs w:val="20"/>
                <w:lang w:eastAsia="en-NZ"/>
              </w:rPr>
            </w:pPr>
          </w:p>
        </w:tc>
      </w:tr>
      <w:tr w:rsidR="00AA0969" w:rsidRPr="00AA0969" w:rsidTr="00AA0969">
        <w:trPr>
          <w:trHeight w:val="765"/>
        </w:trPr>
        <w:tc>
          <w:tcPr>
            <w:tcW w:w="5000" w:type="pct"/>
            <w:gridSpan w:val="6"/>
            <w:shd w:val="clear" w:color="auto" w:fill="auto"/>
            <w:hideMark/>
          </w:tcPr>
          <w:p w:rsidR="00AA0969" w:rsidRPr="00AA0969" w:rsidRDefault="00AA0969" w:rsidP="00AA0969">
            <w:pPr>
              <w:spacing w:after="0" w:line="240" w:lineRule="auto"/>
              <w:rPr>
                <w:rFonts w:ascii="Arial" w:eastAsia="Times New Roman" w:hAnsi="Arial" w:cs="Arial"/>
                <w:color w:val="000000"/>
                <w:sz w:val="20"/>
                <w:szCs w:val="20"/>
                <w:lang w:eastAsia="en-NZ"/>
              </w:rPr>
            </w:pPr>
            <w:r w:rsidRPr="00AA0969">
              <w:rPr>
                <w:rFonts w:ascii="Arial" w:eastAsia="Times New Roman" w:hAnsi="Arial" w:cs="Arial"/>
                <w:color w:val="000000"/>
                <w:sz w:val="20"/>
                <w:szCs w:val="20"/>
                <w:lang w:eastAsia="en-NZ"/>
              </w:rPr>
              <w:t xml:space="preserve">1. The information included in the above table is based on the monthly property value index. This index is calculated based on the sales data entered into </w:t>
            </w:r>
            <w:proofErr w:type="spellStart"/>
            <w:r>
              <w:rPr>
                <w:rFonts w:ascii="Arial" w:eastAsia="Times New Roman" w:hAnsi="Arial" w:cs="Arial"/>
                <w:color w:val="000000"/>
                <w:sz w:val="20"/>
                <w:szCs w:val="20"/>
                <w:lang w:eastAsia="en-NZ"/>
              </w:rPr>
              <w:t>CoreLogic</w:t>
            </w:r>
            <w:r w:rsidRPr="00AA0969">
              <w:rPr>
                <w:rFonts w:ascii="Arial" w:eastAsia="Times New Roman" w:hAnsi="Arial" w:cs="Arial"/>
                <w:color w:val="000000"/>
                <w:sz w:val="20"/>
                <w:szCs w:val="20"/>
                <w:lang w:eastAsia="en-NZ"/>
              </w:rPr>
              <w:t>'s</w:t>
            </w:r>
            <w:proofErr w:type="spellEnd"/>
            <w:r w:rsidRPr="00AA0969">
              <w:rPr>
                <w:rFonts w:ascii="Arial" w:eastAsia="Times New Roman" w:hAnsi="Arial" w:cs="Arial"/>
                <w:color w:val="000000"/>
                <w:sz w:val="20"/>
                <w:szCs w:val="20"/>
                <w:lang w:eastAsia="en-NZ"/>
              </w:rPr>
              <w:t xml:space="preserve"> system in the previous 3 month period. For example, information for the period ending June will be calculated based on sales entered between April 1 and June 30.</w:t>
            </w:r>
          </w:p>
        </w:tc>
      </w:tr>
      <w:tr w:rsidR="00AA0969" w:rsidRPr="00AA0969" w:rsidTr="00AA0969">
        <w:trPr>
          <w:trHeight w:val="765"/>
        </w:trPr>
        <w:tc>
          <w:tcPr>
            <w:tcW w:w="5000" w:type="pct"/>
            <w:gridSpan w:val="6"/>
            <w:shd w:val="clear" w:color="auto" w:fill="auto"/>
            <w:hideMark/>
          </w:tcPr>
          <w:p w:rsidR="00AA0969" w:rsidRPr="00AA0969" w:rsidRDefault="00AA0969" w:rsidP="00AA0969">
            <w:pPr>
              <w:spacing w:after="0" w:line="240" w:lineRule="auto"/>
              <w:rPr>
                <w:rFonts w:ascii="Arial" w:eastAsia="Times New Roman" w:hAnsi="Arial" w:cs="Arial"/>
                <w:color w:val="000000"/>
                <w:sz w:val="20"/>
                <w:szCs w:val="20"/>
                <w:lang w:eastAsia="en-NZ"/>
              </w:rPr>
            </w:pPr>
            <w:r w:rsidRPr="00AA0969">
              <w:rPr>
                <w:rFonts w:ascii="Arial" w:eastAsia="Times New Roman" w:hAnsi="Arial" w:cs="Arial"/>
                <w:color w:val="000000"/>
                <w:sz w:val="20"/>
                <w:szCs w:val="20"/>
                <w:lang w:eastAsia="en-NZ"/>
              </w:rPr>
              <w:t>2. The average current value is the average (mean) value of all developed residential properties in the area based on the latest index. It is not an average or median sales price, as both of those only measure what happens to have sold in the period.</w:t>
            </w:r>
          </w:p>
        </w:tc>
      </w:tr>
      <w:tr w:rsidR="00AA0969" w:rsidRPr="00AA0969" w:rsidTr="00AA0969">
        <w:trPr>
          <w:trHeight w:val="555"/>
        </w:trPr>
        <w:tc>
          <w:tcPr>
            <w:tcW w:w="5000" w:type="pct"/>
            <w:gridSpan w:val="6"/>
            <w:shd w:val="clear" w:color="auto" w:fill="auto"/>
            <w:hideMark/>
          </w:tcPr>
          <w:p w:rsidR="00AA0969" w:rsidRPr="00AA0969" w:rsidRDefault="00AA0969" w:rsidP="00AA0969">
            <w:pPr>
              <w:spacing w:after="0" w:line="240" w:lineRule="auto"/>
              <w:rPr>
                <w:rFonts w:ascii="Arial" w:eastAsia="Times New Roman" w:hAnsi="Arial" w:cs="Arial"/>
                <w:color w:val="000000"/>
                <w:sz w:val="20"/>
                <w:szCs w:val="20"/>
                <w:lang w:eastAsia="en-NZ"/>
              </w:rPr>
            </w:pPr>
            <w:r w:rsidRPr="00AA0969">
              <w:rPr>
                <w:rFonts w:ascii="Arial" w:eastAsia="Times New Roman" w:hAnsi="Arial" w:cs="Arial"/>
                <w:color w:val="000000"/>
                <w:sz w:val="20"/>
                <w:szCs w:val="20"/>
                <w:lang w:eastAsia="en-NZ"/>
              </w:rPr>
              <w:t>3.  The percentage change over three months, twelve months and since the 2007 market peak are based on the change in the property value index between that time and the current.</w:t>
            </w:r>
          </w:p>
        </w:tc>
      </w:tr>
      <w:tr w:rsidR="00AA0969" w:rsidRPr="00AA0969" w:rsidTr="00AA0969">
        <w:trPr>
          <w:trHeight w:val="840"/>
        </w:trPr>
        <w:tc>
          <w:tcPr>
            <w:tcW w:w="5000" w:type="pct"/>
            <w:gridSpan w:val="6"/>
            <w:shd w:val="clear" w:color="auto" w:fill="auto"/>
            <w:hideMark/>
          </w:tcPr>
          <w:p w:rsidR="00AA0969" w:rsidRPr="00AA0969" w:rsidRDefault="00AA0969" w:rsidP="00AA0969">
            <w:pPr>
              <w:spacing w:after="0" w:line="240" w:lineRule="auto"/>
              <w:rPr>
                <w:rFonts w:ascii="Arial" w:eastAsia="Times New Roman" w:hAnsi="Arial" w:cs="Arial"/>
                <w:color w:val="000000"/>
                <w:sz w:val="20"/>
                <w:szCs w:val="20"/>
                <w:lang w:eastAsia="en-NZ"/>
              </w:rPr>
            </w:pPr>
            <w:r w:rsidRPr="00AA0969">
              <w:rPr>
                <w:rFonts w:ascii="Arial" w:eastAsia="Times New Roman" w:hAnsi="Arial" w:cs="Arial"/>
                <w:color w:val="000000"/>
                <w:sz w:val="20"/>
                <w:szCs w:val="20"/>
                <w:lang w:eastAsia="en-NZ"/>
              </w:rPr>
              <w:t>4. Any of the statistical data shown in italics are calculated based on a sample set of data that is less than the recommended minimum. These results should be used with caution. Those showing N/A had too few sales to generate an index</w:t>
            </w:r>
          </w:p>
        </w:tc>
      </w:tr>
    </w:tbl>
    <w:p w:rsidR="00551A1E" w:rsidRPr="003E4B46" w:rsidRDefault="00551A1E" w:rsidP="009A4949">
      <w:pPr>
        <w:spacing w:after="0" w:line="240" w:lineRule="auto"/>
        <w:jc w:val="both"/>
        <w:rPr>
          <w:rFonts w:ascii="Segoe UI" w:hAnsi="Segoe UI" w:cs="Segoe UI"/>
          <w:sz w:val="20"/>
          <w:szCs w:val="20"/>
        </w:rPr>
      </w:pPr>
    </w:p>
    <w:sectPr w:rsidR="00551A1E" w:rsidRPr="003E4B46" w:rsidSect="007F0FEE">
      <w:headerReference w:type="default" r:id="rId17"/>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6B3" w:rsidRDefault="009936B3" w:rsidP="006E77EE">
      <w:pPr>
        <w:spacing w:after="0" w:line="240" w:lineRule="auto"/>
      </w:pPr>
      <w:r>
        <w:separator/>
      </w:r>
    </w:p>
  </w:endnote>
  <w:endnote w:type="continuationSeparator" w:id="1">
    <w:p w:rsidR="009936B3" w:rsidRDefault="009936B3" w:rsidP="006E7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6B3" w:rsidRDefault="009936B3" w:rsidP="006E77EE">
      <w:pPr>
        <w:spacing w:after="0" w:line="240" w:lineRule="auto"/>
      </w:pPr>
      <w:r>
        <w:separator/>
      </w:r>
    </w:p>
  </w:footnote>
  <w:footnote w:type="continuationSeparator" w:id="1">
    <w:p w:rsidR="009936B3" w:rsidRDefault="009936B3" w:rsidP="006E77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B3" w:rsidRDefault="00993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275"/>
    <w:multiLevelType w:val="hybridMultilevel"/>
    <w:tmpl w:val="CD4092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B614164"/>
    <w:multiLevelType w:val="hybridMultilevel"/>
    <w:tmpl w:val="A8AC4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E6F222C"/>
    <w:multiLevelType w:val="hybridMultilevel"/>
    <w:tmpl w:val="3BB859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6AA67F0"/>
    <w:multiLevelType w:val="hybridMultilevel"/>
    <w:tmpl w:val="99DE6FA4"/>
    <w:lvl w:ilvl="0" w:tplc="3D2C3C96">
      <w:numFmt w:val="bullet"/>
      <w:lvlText w:val="·"/>
      <w:lvlJc w:val="left"/>
      <w:pPr>
        <w:ind w:left="855" w:hanging="495"/>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47259C1"/>
    <w:multiLevelType w:val="hybridMultilevel"/>
    <w:tmpl w:val="13C48C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65AE1DF1"/>
    <w:multiLevelType w:val="hybridMultilevel"/>
    <w:tmpl w:val="DE948F12"/>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6">
    <w:nsid w:val="66144B1F"/>
    <w:multiLevelType w:val="hybridMultilevel"/>
    <w:tmpl w:val="67583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90F29E6"/>
    <w:multiLevelType w:val="hybridMultilevel"/>
    <w:tmpl w:val="3CBC87D2"/>
    <w:lvl w:ilvl="0" w:tplc="74D46CD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2"/>
  </w:num>
  <w:num w:numId="6">
    <w:abstractNumId w:val="6"/>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2D4221"/>
    <w:rsid w:val="000050F0"/>
    <w:rsid w:val="00005B6D"/>
    <w:rsid w:val="00006846"/>
    <w:rsid w:val="00007F9D"/>
    <w:rsid w:val="00014DD5"/>
    <w:rsid w:val="000163D2"/>
    <w:rsid w:val="00016F6A"/>
    <w:rsid w:val="00016FEE"/>
    <w:rsid w:val="00017623"/>
    <w:rsid w:val="000214CA"/>
    <w:rsid w:val="00022372"/>
    <w:rsid w:val="00026AF5"/>
    <w:rsid w:val="000271DC"/>
    <w:rsid w:val="00027B27"/>
    <w:rsid w:val="00031B27"/>
    <w:rsid w:val="00035914"/>
    <w:rsid w:val="0003737F"/>
    <w:rsid w:val="00043ACC"/>
    <w:rsid w:val="0004514C"/>
    <w:rsid w:val="000456CF"/>
    <w:rsid w:val="00045F58"/>
    <w:rsid w:val="00047456"/>
    <w:rsid w:val="00050256"/>
    <w:rsid w:val="000507BC"/>
    <w:rsid w:val="000534A3"/>
    <w:rsid w:val="0006250A"/>
    <w:rsid w:val="000631D1"/>
    <w:rsid w:val="0006333C"/>
    <w:rsid w:val="00066E0D"/>
    <w:rsid w:val="00071AA7"/>
    <w:rsid w:val="00073A93"/>
    <w:rsid w:val="00075034"/>
    <w:rsid w:val="00080607"/>
    <w:rsid w:val="00081156"/>
    <w:rsid w:val="00081E5E"/>
    <w:rsid w:val="000834A2"/>
    <w:rsid w:val="00086027"/>
    <w:rsid w:val="00087603"/>
    <w:rsid w:val="00090725"/>
    <w:rsid w:val="00092518"/>
    <w:rsid w:val="00092AE6"/>
    <w:rsid w:val="000930F4"/>
    <w:rsid w:val="00093297"/>
    <w:rsid w:val="00094231"/>
    <w:rsid w:val="00097374"/>
    <w:rsid w:val="0009757A"/>
    <w:rsid w:val="000A484B"/>
    <w:rsid w:val="000A50C4"/>
    <w:rsid w:val="000A697D"/>
    <w:rsid w:val="000A761E"/>
    <w:rsid w:val="000A774B"/>
    <w:rsid w:val="000B0801"/>
    <w:rsid w:val="000B26D3"/>
    <w:rsid w:val="000B331B"/>
    <w:rsid w:val="000B372C"/>
    <w:rsid w:val="000B63A4"/>
    <w:rsid w:val="000B6462"/>
    <w:rsid w:val="000B65FC"/>
    <w:rsid w:val="000B7CD2"/>
    <w:rsid w:val="000C1445"/>
    <w:rsid w:val="000C2B40"/>
    <w:rsid w:val="000C4DDD"/>
    <w:rsid w:val="000C503E"/>
    <w:rsid w:val="000D19C3"/>
    <w:rsid w:val="000D3918"/>
    <w:rsid w:val="000D3C4B"/>
    <w:rsid w:val="000D45BF"/>
    <w:rsid w:val="000D740D"/>
    <w:rsid w:val="000E1532"/>
    <w:rsid w:val="000E6DAE"/>
    <w:rsid w:val="000E768E"/>
    <w:rsid w:val="000E7ED4"/>
    <w:rsid w:val="000F5CCC"/>
    <w:rsid w:val="000F7C0F"/>
    <w:rsid w:val="000F7CC2"/>
    <w:rsid w:val="00100A3B"/>
    <w:rsid w:val="00101601"/>
    <w:rsid w:val="001045E7"/>
    <w:rsid w:val="00106CB2"/>
    <w:rsid w:val="00110154"/>
    <w:rsid w:val="00110B5C"/>
    <w:rsid w:val="00111B71"/>
    <w:rsid w:val="00113A7B"/>
    <w:rsid w:val="00114E95"/>
    <w:rsid w:val="00115BE7"/>
    <w:rsid w:val="001178B0"/>
    <w:rsid w:val="001210F1"/>
    <w:rsid w:val="00121D9F"/>
    <w:rsid w:val="00123D98"/>
    <w:rsid w:val="00124148"/>
    <w:rsid w:val="00125EE5"/>
    <w:rsid w:val="00126A59"/>
    <w:rsid w:val="00126EF9"/>
    <w:rsid w:val="00127272"/>
    <w:rsid w:val="00127352"/>
    <w:rsid w:val="00132385"/>
    <w:rsid w:val="00133497"/>
    <w:rsid w:val="001345C7"/>
    <w:rsid w:val="00136B25"/>
    <w:rsid w:val="0014530B"/>
    <w:rsid w:val="001462F5"/>
    <w:rsid w:val="0014723D"/>
    <w:rsid w:val="001474AC"/>
    <w:rsid w:val="0015052C"/>
    <w:rsid w:val="001520DE"/>
    <w:rsid w:val="0015280A"/>
    <w:rsid w:val="00153CFC"/>
    <w:rsid w:val="001558BE"/>
    <w:rsid w:val="00155C2E"/>
    <w:rsid w:val="00156402"/>
    <w:rsid w:val="00156C08"/>
    <w:rsid w:val="00157342"/>
    <w:rsid w:val="00160625"/>
    <w:rsid w:val="00164BA6"/>
    <w:rsid w:val="00165BE1"/>
    <w:rsid w:val="001671E8"/>
    <w:rsid w:val="0017581F"/>
    <w:rsid w:val="00176FE4"/>
    <w:rsid w:val="001802D3"/>
    <w:rsid w:val="001805EA"/>
    <w:rsid w:val="00180A46"/>
    <w:rsid w:val="00181141"/>
    <w:rsid w:val="001812C9"/>
    <w:rsid w:val="00184A70"/>
    <w:rsid w:val="00184ACD"/>
    <w:rsid w:val="0018717B"/>
    <w:rsid w:val="00191785"/>
    <w:rsid w:val="00193B66"/>
    <w:rsid w:val="00194009"/>
    <w:rsid w:val="00194436"/>
    <w:rsid w:val="001959EB"/>
    <w:rsid w:val="00195CCB"/>
    <w:rsid w:val="001A0DCD"/>
    <w:rsid w:val="001A0FFB"/>
    <w:rsid w:val="001A2622"/>
    <w:rsid w:val="001A2B9B"/>
    <w:rsid w:val="001A2CC2"/>
    <w:rsid w:val="001A42A1"/>
    <w:rsid w:val="001A4C46"/>
    <w:rsid w:val="001A5C76"/>
    <w:rsid w:val="001B0A94"/>
    <w:rsid w:val="001B1A19"/>
    <w:rsid w:val="001B6C3F"/>
    <w:rsid w:val="001B7F73"/>
    <w:rsid w:val="001C1153"/>
    <w:rsid w:val="001C3538"/>
    <w:rsid w:val="001C400D"/>
    <w:rsid w:val="001C61CF"/>
    <w:rsid w:val="001C69AD"/>
    <w:rsid w:val="001D1BE5"/>
    <w:rsid w:val="001D64F7"/>
    <w:rsid w:val="001D7C2F"/>
    <w:rsid w:val="001D7DFF"/>
    <w:rsid w:val="001E5F70"/>
    <w:rsid w:val="001F1837"/>
    <w:rsid w:val="001F6A79"/>
    <w:rsid w:val="001F6E6C"/>
    <w:rsid w:val="00200C20"/>
    <w:rsid w:val="002067E3"/>
    <w:rsid w:val="00207AF3"/>
    <w:rsid w:val="002111DB"/>
    <w:rsid w:val="00211995"/>
    <w:rsid w:val="00211D2B"/>
    <w:rsid w:val="00216454"/>
    <w:rsid w:val="00216B02"/>
    <w:rsid w:val="00221616"/>
    <w:rsid w:val="00222649"/>
    <w:rsid w:val="00227BBA"/>
    <w:rsid w:val="0023172C"/>
    <w:rsid w:val="00232259"/>
    <w:rsid w:val="00233ACD"/>
    <w:rsid w:val="002343C8"/>
    <w:rsid w:val="002407E0"/>
    <w:rsid w:val="00241704"/>
    <w:rsid w:val="002421F6"/>
    <w:rsid w:val="00242FC2"/>
    <w:rsid w:val="0024384A"/>
    <w:rsid w:val="0024480B"/>
    <w:rsid w:val="00244D66"/>
    <w:rsid w:val="00244F68"/>
    <w:rsid w:val="00245F3B"/>
    <w:rsid w:val="00247066"/>
    <w:rsid w:val="00250FB8"/>
    <w:rsid w:val="00251066"/>
    <w:rsid w:val="002527A4"/>
    <w:rsid w:val="00252948"/>
    <w:rsid w:val="002529BF"/>
    <w:rsid w:val="00256AEB"/>
    <w:rsid w:val="002630D1"/>
    <w:rsid w:val="00263267"/>
    <w:rsid w:val="00264FBE"/>
    <w:rsid w:val="0026694F"/>
    <w:rsid w:val="00266E33"/>
    <w:rsid w:val="00267393"/>
    <w:rsid w:val="00272502"/>
    <w:rsid w:val="00273AB1"/>
    <w:rsid w:val="00274A2D"/>
    <w:rsid w:val="00280BD2"/>
    <w:rsid w:val="00282980"/>
    <w:rsid w:val="002850D4"/>
    <w:rsid w:val="002860B3"/>
    <w:rsid w:val="00296D07"/>
    <w:rsid w:val="00296F68"/>
    <w:rsid w:val="002A125F"/>
    <w:rsid w:val="002A3FB8"/>
    <w:rsid w:val="002B0789"/>
    <w:rsid w:val="002B32D9"/>
    <w:rsid w:val="002B74E3"/>
    <w:rsid w:val="002C0CCC"/>
    <w:rsid w:val="002C0FD3"/>
    <w:rsid w:val="002C1149"/>
    <w:rsid w:val="002C7C62"/>
    <w:rsid w:val="002D0ADB"/>
    <w:rsid w:val="002D0C36"/>
    <w:rsid w:val="002D4221"/>
    <w:rsid w:val="002D425E"/>
    <w:rsid w:val="002E4391"/>
    <w:rsid w:val="002F318C"/>
    <w:rsid w:val="002F421E"/>
    <w:rsid w:val="002F43C8"/>
    <w:rsid w:val="002F4897"/>
    <w:rsid w:val="002F5BD7"/>
    <w:rsid w:val="002F7C75"/>
    <w:rsid w:val="00300272"/>
    <w:rsid w:val="00300A09"/>
    <w:rsid w:val="00301B94"/>
    <w:rsid w:val="00302D14"/>
    <w:rsid w:val="00305626"/>
    <w:rsid w:val="003131DE"/>
    <w:rsid w:val="003132E2"/>
    <w:rsid w:val="0031335B"/>
    <w:rsid w:val="00314E4B"/>
    <w:rsid w:val="00315988"/>
    <w:rsid w:val="00316861"/>
    <w:rsid w:val="00316F9D"/>
    <w:rsid w:val="0031790E"/>
    <w:rsid w:val="00320C14"/>
    <w:rsid w:val="00320ECB"/>
    <w:rsid w:val="00321E65"/>
    <w:rsid w:val="00322F1F"/>
    <w:rsid w:val="00325B01"/>
    <w:rsid w:val="00325CF8"/>
    <w:rsid w:val="00325D3D"/>
    <w:rsid w:val="00325E15"/>
    <w:rsid w:val="003263DD"/>
    <w:rsid w:val="00327D1C"/>
    <w:rsid w:val="003301AF"/>
    <w:rsid w:val="003312E7"/>
    <w:rsid w:val="003314D3"/>
    <w:rsid w:val="00331715"/>
    <w:rsid w:val="0033217E"/>
    <w:rsid w:val="003329DA"/>
    <w:rsid w:val="00333575"/>
    <w:rsid w:val="00333A76"/>
    <w:rsid w:val="00336F39"/>
    <w:rsid w:val="003411FA"/>
    <w:rsid w:val="00343A64"/>
    <w:rsid w:val="00344D2D"/>
    <w:rsid w:val="003457A3"/>
    <w:rsid w:val="003510DE"/>
    <w:rsid w:val="00351654"/>
    <w:rsid w:val="0035196E"/>
    <w:rsid w:val="00351B45"/>
    <w:rsid w:val="00354F07"/>
    <w:rsid w:val="00356AB1"/>
    <w:rsid w:val="0035707E"/>
    <w:rsid w:val="003575A5"/>
    <w:rsid w:val="00357E9B"/>
    <w:rsid w:val="00361DB6"/>
    <w:rsid w:val="00366EA0"/>
    <w:rsid w:val="0037740C"/>
    <w:rsid w:val="00383DE5"/>
    <w:rsid w:val="00385471"/>
    <w:rsid w:val="00385E5F"/>
    <w:rsid w:val="00387178"/>
    <w:rsid w:val="0039380B"/>
    <w:rsid w:val="003939CF"/>
    <w:rsid w:val="00394B8B"/>
    <w:rsid w:val="00395115"/>
    <w:rsid w:val="003952CB"/>
    <w:rsid w:val="003958FE"/>
    <w:rsid w:val="00397C97"/>
    <w:rsid w:val="003A08AB"/>
    <w:rsid w:val="003A0C80"/>
    <w:rsid w:val="003A265C"/>
    <w:rsid w:val="003A50E1"/>
    <w:rsid w:val="003A5E90"/>
    <w:rsid w:val="003A7E5E"/>
    <w:rsid w:val="003B0448"/>
    <w:rsid w:val="003B0F17"/>
    <w:rsid w:val="003B26B2"/>
    <w:rsid w:val="003B378C"/>
    <w:rsid w:val="003B3B29"/>
    <w:rsid w:val="003B72C0"/>
    <w:rsid w:val="003C1418"/>
    <w:rsid w:val="003C4A77"/>
    <w:rsid w:val="003C5492"/>
    <w:rsid w:val="003D03DB"/>
    <w:rsid w:val="003D05A8"/>
    <w:rsid w:val="003D2062"/>
    <w:rsid w:val="003D2095"/>
    <w:rsid w:val="003D2E08"/>
    <w:rsid w:val="003D71C3"/>
    <w:rsid w:val="003D7BE5"/>
    <w:rsid w:val="003D7E8A"/>
    <w:rsid w:val="003E00DB"/>
    <w:rsid w:val="003E4A7A"/>
    <w:rsid w:val="003E4B46"/>
    <w:rsid w:val="003E6E33"/>
    <w:rsid w:val="003F0CF6"/>
    <w:rsid w:val="003F37D0"/>
    <w:rsid w:val="003F766D"/>
    <w:rsid w:val="0040011C"/>
    <w:rsid w:val="004007F2"/>
    <w:rsid w:val="004014C4"/>
    <w:rsid w:val="00401FCE"/>
    <w:rsid w:val="004024A6"/>
    <w:rsid w:val="00405C99"/>
    <w:rsid w:val="004076E4"/>
    <w:rsid w:val="00407F3C"/>
    <w:rsid w:val="00410A23"/>
    <w:rsid w:val="004112FE"/>
    <w:rsid w:val="004123F9"/>
    <w:rsid w:val="004137C5"/>
    <w:rsid w:val="00414195"/>
    <w:rsid w:val="00414FF3"/>
    <w:rsid w:val="00422C35"/>
    <w:rsid w:val="00424A76"/>
    <w:rsid w:val="00426631"/>
    <w:rsid w:val="00426E65"/>
    <w:rsid w:val="00431E98"/>
    <w:rsid w:val="0043598F"/>
    <w:rsid w:val="0043715F"/>
    <w:rsid w:val="00441F58"/>
    <w:rsid w:val="00442230"/>
    <w:rsid w:val="00446931"/>
    <w:rsid w:val="00447315"/>
    <w:rsid w:val="00447387"/>
    <w:rsid w:val="00450474"/>
    <w:rsid w:val="004526D2"/>
    <w:rsid w:val="00452D5C"/>
    <w:rsid w:val="00453399"/>
    <w:rsid w:val="004539F9"/>
    <w:rsid w:val="00463E86"/>
    <w:rsid w:val="00464E22"/>
    <w:rsid w:val="00465A77"/>
    <w:rsid w:val="00471A04"/>
    <w:rsid w:val="004723E7"/>
    <w:rsid w:val="00473676"/>
    <w:rsid w:val="00473EE7"/>
    <w:rsid w:val="00477D89"/>
    <w:rsid w:val="00481070"/>
    <w:rsid w:val="00481934"/>
    <w:rsid w:val="00483460"/>
    <w:rsid w:val="00490CE8"/>
    <w:rsid w:val="004939F5"/>
    <w:rsid w:val="00493BD4"/>
    <w:rsid w:val="00494951"/>
    <w:rsid w:val="00497794"/>
    <w:rsid w:val="004A0135"/>
    <w:rsid w:val="004A20AF"/>
    <w:rsid w:val="004A26B4"/>
    <w:rsid w:val="004A2A87"/>
    <w:rsid w:val="004A3EA1"/>
    <w:rsid w:val="004A4770"/>
    <w:rsid w:val="004A51A4"/>
    <w:rsid w:val="004A7827"/>
    <w:rsid w:val="004B1479"/>
    <w:rsid w:val="004B1992"/>
    <w:rsid w:val="004B3D4C"/>
    <w:rsid w:val="004B4385"/>
    <w:rsid w:val="004B58C9"/>
    <w:rsid w:val="004B5FA5"/>
    <w:rsid w:val="004B6345"/>
    <w:rsid w:val="004B63AD"/>
    <w:rsid w:val="004B6924"/>
    <w:rsid w:val="004C0C1F"/>
    <w:rsid w:val="004C22D0"/>
    <w:rsid w:val="004C2BD5"/>
    <w:rsid w:val="004C3C75"/>
    <w:rsid w:val="004C529B"/>
    <w:rsid w:val="004C7550"/>
    <w:rsid w:val="004D104E"/>
    <w:rsid w:val="004D2794"/>
    <w:rsid w:val="004D57C7"/>
    <w:rsid w:val="004E1630"/>
    <w:rsid w:val="004E24FA"/>
    <w:rsid w:val="004F1C42"/>
    <w:rsid w:val="004F2318"/>
    <w:rsid w:val="004F695E"/>
    <w:rsid w:val="00500E76"/>
    <w:rsid w:val="00502D4F"/>
    <w:rsid w:val="00503E39"/>
    <w:rsid w:val="0050647C"/>
    <w:rsid w:val="005064DA"/>
    <w:rsid w:val="00507728"/>
    <w:rsid w:val="00512A93"/>
    <w:rsid w:val="00512FEB"/>
    <w:rsid w:val="005142EA"/>
    <w:rsid w:val="005214E2"/>
    <w:rsid w:val="00521D45"/>
    <w:rsid w:val="00526638"/>
    <w:rsid w:val="00531BDC"/>
    <w:rsid w:val="005350E8"/>
    <w:rsid w:val="0053635E"/>
    <w:rsid w:val="00536749"/>
    <w:rsid w:val="00536941"/>
    <w:rsid w:val="005376EA"/>
    <w:rsid w:val="0054126C"/>
    <w:rsid w:val="00542AB2"/>
    <w:rsid w:val="00545336"/>
    <w:rsid w:val="005459C3"/>
    <w:rsid w:val="00545C25"/>
    <w:rsid w:val="00545C98"/>
    <w:rsid w:val="00551A1E"/>
    <w:rsid w:val="0055334E"/>
    <w:rsid w:val="00553CB7"/>
    <w:rsid w:val="0055413A"/>
    <w:rsid w:val="005541AA"/>
    <w:rsid w:val="00556796"/>
    <w:rsid w:val="005603A0"/>
    <w:rsid w:val="0056099F"/>
    <w:rsid w:val="00560ADE"/>
    <w:rsid w:val="00560D87"/>
    <w:rsid w:val="00561AC3"/>
    <w:rsid w:val="00562F82"/>
    <w:rsid w:val="00566A54"/>
    <w:rsid w:val="00570411"/>
    <w:rsid w:val="00573D9E"/>
    <w:rsid w:val="0057580F"/>
    <w:rsid w:val="00576D39"/>
    <w:rsid w:val="00577483"/>
    <w:rsid w:val="00580594"/>
    <w:rsid w:val="005862F0"/>
    <w:rsid w:val="00587C5F"/>
    <w:rsid w:val="005905B6"/>
    <w:rsid w:val="00592451"/>
    <w:rsid w:val="00595EBA"/>
    <w:rsid w:val="005977D9"/>
    <w:rsid w:val="005A1830"/>
    <w:rsid w:val="005A1F33"/>
    <w:rsid w:val="005A20CE"/>
    <w:rsid w:val="005B05EB"/>
    <w:rsid w:val="005B166B"/>
    <w:rsid w:val="005B30CD"/>
    <w:rsid w:val="005B59F8"/>
    <w:rsid w:val="005C110B"/>
    <w:rsid w:val="005C23EC"/>
    <w:rsid w:val="005D39DB"/>
    <w:rsid w:val="005D3C5E"/>
    <w:rsid w:val="005D50B1"/>
    <w:rsid w:val="005E1E4A"/>
    <w:rsid w:val="005E572B"/>
    <w:rsid w:val="005E57D4"/>
    <w:rsid w:val="005F179B"/>
    <w:rsid w:val="005F32B6"/>
    <w:rsid w:val="005F3BAF"/>
    <w:rsid w:val="005F4535"/>
    <w:rsid w:val="005F5816"/>
    <w:rsid w:val="006000E3"/>
    <w:rsid w:val="0060353F"/>
    <w:rsid w:val="00606C3B"/>
    <w:rsid w:val="006079A8"/>
    <w:rsid w:val="006104B0"/>
    <w:rsid w:val="00614443"/>
    <w:rsid w:val="0061589A"/>
    <w:rsid w:val="00620411"/>
    <w:rsid w:val="00620BAD"/>
    <w:rsid w:val="0062398C"/>
    <w:rsid w:val="0062496E"/>
    <w:rsid w:val="0062667C"/>
    <w:rsid w:val="00630158"/>
    <w:rsid w:val="00631B7D"/>
    <w:rsid w:val="006323EA"/>
    <w:rsid w:val="00634650"/>
    <w:rsid w:val="006358BB"/>
    <w:rsid w:val="00635E7C"/>
    <w:rsid w:val="0063648F"/>
    <w:rsid w:val="00637A97"/>
    <w:rsid w:val="0064007A"/>
    <w:rsid w:val="00640591"/>
    <w:rsid w:val="006405D0"/>
    <w:rsid w:val="00642249"/>
    <w:rsid w:val="006450E7"/>
    <w:rsid w:val="00645300"/>
    <w:rsid w:val="00646270"/>
    <w:rsid w:val="00647422"/>
    <w:rsid w:val="006523B2"/>
    <w:rsid w:val="00654470"/>
    <w:rsid w:val="006544E3"/>
    <w:rsid w:val="00655F4B"/>
    <w:rsid w:val="00657E93"/>
    <w:rsid w:val="006605CD"/>
    <w:rsid w:val="00661390"/>
    <w:rsid w:val="00661A7D"/>
    <w:rsid w:val="00662BD8"/>
    <w:rsid w:val="0066623E"/>
    <w:rsid w:val="006671D1"/>
    <w:rsid w:val="0066773F"/>
    <w:rsid w:val="0067015E"/>
    <w:rsid w:val="006711A3"/>
    <w:rsid w:val="0067130F"/>
    <w:rsid w:val="006733C3"/>
    <w:rsid w:val="00674790"/>
    <w:rsid w:val="006777FE"/>
    <w:rsid w:val="006808EA"/>
    <w:rsid w:val="00681235"/>
    <w:rsid w:val="00682AC8"/>
    <w:rsid w:val="00682CA1"/>
    <w:rsid w:val="00684A2B"/>
    <w:rsid w:val="006850DB"/>
    <w:rsid w:val="00690F4E"/>
    <w:rsid w:val="0069176E"/>
    <w:rsid w:val="006917A4"/>
    <w:rsid w:val="00693C23"/>
    <w:rsid w:val="00695BDD"/>
    <w:rsid w:val="006965AD"/>
    <w:rsid w:val="006A276C"/>
    <w:rsid w:val="006A7A03"/>
    <w:rsid w:val="006B0A97"/>
    <w:rsid w:val="006B4912"/>
    <w:rsid w:val="006B6350"/>
    <w:rsid w:val="006B723E"/>
    <w:rsid w:val="006C0F63"/>
    <w:rsid w:val="006C2134"/>
    <w:rsid w:val="006C21AE"/>
    <w:rsid w:val="006C301B"/>
    <w:rsid w:val="006C6424"/>
    <w:rsid w:val="006C6DAA"/>
    <w:rsid w:val="006D09A7"/>
    <w:rsid w:val="006D482F"/>
    <w:rsid w:val="006D5E8D"/>
    <w:rsid w:val="006E04CF"/>
    <w:rsid w:val="006E17BD"/>
    <w:rsid w:val="006E6DAD"/>
    <w:rsid w:val="006E77EE"/>
    <w:rsid w:val="006F321D"/>
    <w:rsid w:val="006F750D"/>
    <w:rsid w:val="007001D3"/>
    <w:rsid w:val="00700352"/>
    <w:rsid w:val="007023DE"/>
    <w:rsid w:val="00703969"/>
    <w:rsid w:val="007048B0"/>
    <w:rsid w:val="00705656"/>
    <w:rsid w:val="00707D9D"/>
    <w:rsid w:val="007114B8"/>
    <w:rsid w:val="00714495"/>
    <w:rsid w:val="00714AA9"/>
    <w:rsid w:val="00717A4B"/>
    <w:rsid w:val="00717ED3"/>
    <w:rsid w:val="007216CF"/>
    <w:rsid w:val="00723D77"/>
    <w:rsid w:val="00724E81"/>
    <w:rsid w:val="00726036"/>
    <w:rsid w:val="00730A84"/>
    <w:rsid w:val="00731222"/>
    <w:rsid w:val="007353D1"/>
    <w:rsid w:val="0073704E"/>
    <w:rsid w:val="00741CCB"/>
    <w:rsid w:val="00741D2F"/>
    <w:rsid w:val="00743F1D"/>
    <w:rsid w:val="007466DC"/>
    <w:rsid w:val="00747902"/>
    <w:rsid w:val="00750588"/>
    <w:rsid w:val="007518AC"/>
    <w:rsid w:val="00751917"/>
    <w:rsid w:val="00751F83"/>
    <w:rsid w:val="00752A0C"/>
    <w:rsid w:val="00752A91"/>
    <w:rsid w:val="00753162"/>
    <w:rsid w:val="007537D5"/>
    <w:rsid w:val="00753855"/>
    <w:rsid w:val="0075497E"/>
    <w:rsid w:val="00760E48"/>
    <w:rsid w:val="007718D7"/>
    <w:rsid w:val="00772B8B"/>
    <w:rsid w:val="00773A8D"/>
    <w:rsid w:val="00773C02"/>
    <w:rsid w:val="00776015"/>
    <w:rsid w:val="00777C50"/>
    <w:rsid w:val="00777D76"/>
    <w:rsid w:val="00781B76"/>
    <w:rsid w:val="007831A1"/>
    <w:rsid w:val="00783B98"/>
    <w:rsid w:val="00784973"/>
    <w:rsid w:val="00785E5A"/>
    <w:rsid w:val="00787C8D"/>
    <w:rsid w:val="00787E20"/>
    <w:rsid w:val="00790AA5"/>
    <w:rsid w:val="00792EAE"/>
    <w:rsid w:val="00795D35"/>
    <w:rsid w:val="00796C25"/>
    <w:rsid w:val="00797AA9"/>
    <w:rsid w:val="007A0349"/>
    <w:rsid w:val="007A46EE"/>
    <w:rsid w:val="007A70F2"/>
    <w:rsid w:val="007A75D4"/>
    <w:rsid w:val="007B1E2D"/>
    <w:rsid w:val="007B4976"/>
    <w:rsid w:val="007C1881"/>
    <w:rsid w:val="007C2FA4"/>
    <w:rsid w:val="007C3155"/>
    <w:rsid w:val="007C3677"/>
    <w:rsid w:val="007C6863"/>
    <w:rsid w:val="007D3480"/>
    <w:rsid w:val="007D38F5"/>
    <w:rsid w:val="007D5677"/>
    <w:rsid w:val="007D6FD0"/>
    <w:rsid w:val="007E07BB"/>
    <w:rsid w:val="007E09F8"/>
    <w:rsid w:val="007E3E4E"/>
    <w:rsid w:val="007F044B"/>
    <w:rsid w:val="007F0FEE"/>
    <w:rsid w:val="007F2844"/>
    <w:rsid w:val="007F36B4"/>
    <w:rsid w:val="007F4339"/>
    <w:rsid w:val="007F4CEE"/>
    <w:rsid w:val="007F7859"/>
    <w:rsid w:val="007F7D9C"/>
    <w:rsid w:val="008011CE"/>
    <w:rsid w:val="008014C4"/>
    <w:rsid w:val="00806C29"/>
    <w:rsid w:val="008114C6"/>
    <w:rsid w:val="00811F69"/>
    <w:rsid w:val="0081784C"/>
    <w:rsid w:val="00821BB7"/>
    <w:rsid w:val="00827C1E"/>
    <w:rsid w:val="00831F25"/>
    <w:rsid w:val="00836724"/>
    <w:rsid w:val="008377C0"/>
    <w:rsid w:val="00841D33"/>
    <w:rsid w:val="00847121"/>
    <w:rsid w:val="00850575"/>
    <w:rsid w:val="0085502F"/>
    <w:rsid w:val="00855C39"/>
    <w:rsid w:val="00861F46"/>
    <w:rsid w:val="00862FED"/>
    <w:rsid w:val="00864F63"/>
    <w:rsid w:val="00866A8A"/>
    <w:rsid w:val="00870509"/>
    <w:rsid w:val="0087327B"/>
    <w:rsid w:val="00874764"/>
    <w:rsid w:val="00877CB9"/>
    <w:rsid w:val="00877D82"/>
    <w:rsid w:val="00883E6D"/>
    <w:rsid w:val="00885646"/>
    <w:rsid w:val="0088688B"/>
    <w:rsid w:val="00892702"/>
    <w:rsid w:val="00892EB2"/>
    <w:rsid w:val="0089477D"/>
    <w:rsid w:val="00897A49"/>
    <w:rsid w:val="008A2E1D"/>
    <w:rsid w:val="008A3215"/>
    <w:rsid w:val="008B0291"/>
    <w:rsid w:val="008B0C31"/>
    <w:rsid w:val="008C0C0F"/>
    <w:rsid w:val="008C3AA7"/>
    <w:rsid w:val="008C5625"/>
    <w:rsid w:val="008C6DD1"/>
    <w:rsid w:val="008C7141"/>
    <w:rsid w:val="008D3855"/>
    <w:rsid w:val="008D5330"/>
    <w:rsid w:val="008D65E7"/>
    <w:rsid w:val="008D78F4"/>
    <w:rsid w:val="008E0837"/>
    <w:rsid w:val="008E0BCB"/>
    <w:rsid w:val="008E2AD2"/>
    <w:rsid w:val="008E33D3"/>
    <w:rsid w:val="008E5FFD"/>
    <w:rsid w:val="008E6975"/>
    <w:rsid w:val="008E724F"/>
    <w:rsid w:val="008F0D15"/>
    <w:rsid w:val="008F52BF"/>
    <w:rsid w:val="008F700B"/>
    <w:rsid w:val="008F7637"/>
    <w:rsid w:val="008F7C63"/>
    <w:rsid w:val="008F7E0F"/>
    <w:rsid w:val="00907AC6"/>
    <w:rsid w:val="00910438"/>
    <w:rsid w:val="0091096D"/>
    <w:rsid w:val="009109C3"/>
    <w:rsid w:val="00910B79"/>
    <w:rsid w:val="00911A02"/>
    <w:rsid w:val="00911BAD"/>
    <w:rsid w:val="009145AE"/>
    <w:rsid w:val="00915338"/>
    <w:rsid w:val="009167ED"/>
    <w:rsid w:val="00920EB4"/>
    <w:rsid w:val="009216B3"/>
    <w:rsid w:val="009226A6"/>
    <w:rsid w:val="00922FA7"/>
    <w:rsid w:val="00926115"/>
    <w:rsid w:val="00930936"/>
    <w:rsid w:val="00932E37"/>
    <w:rsid w:val="009337ED"/>
    <w:rsid w:val="00934448"/>
    <w:rsid w:val="00935C15"/>
    <w:rsid w:val="0093688D"/>
    <w:rsid w:val="00936E35"/>
    <w:rsid w:val="00937512"/>
    <w:rsid w:val="0093754B"/>
    <w:rsid w:val="009428D0"/>
    <w:rsid w:val="00947C93"/>
    <w:rsid w:val="00953906"/>
    <w:rsid w:val="00953AF4"/>
    <w:rsid w:val="00960AE5"/>
    <w:rsid w:val="009644B2"/>
    <w:rsid w:val="0096454C"/>
    <w:rsid w:val="0096761B"/>
    <w:rsid w:val="00967FB0"/>
    <w:rsid w:val="00970F3C"/>
    <w:rsid w:val="0097201C"/>
    <w:rsid w:val="0097219F"/>
    <w:rsid w:val="00975B4F"/>
    <w:rsid w:val="00976A18"/>
    <w:rsid w:val="00976D13"/>
    <w:rsid w:val="00980C60"/>
    <w:rsid w:val="00981262"/>
    <w:rsid w:val="009833FB"/>
    <w:rsid w:val="00983B5B"/>
    <w:rsid w:val="00984A4E"/>
    <w:rsid w:val="00986413"/>
    <w:rsid w:val="009936B3"/>
    <w:rsid w:val="00996F72"/>
    <w:rsid w:val="00997117"/>
    <w:rsid w:val="009A0AD3"/>
    <w:rsid w:val="009A324D"/>
    <w:rsid w:val="009A39FB"/>
    <w:rsid w:val="009A44D3"/>
    <w:rsid w:val="009A4949"/>
    <w:rsid w:val="009A7636"/>
    <w:rsid w:val="009B0CD5"/>
    <w:rsid w:val="009B1626"/>
    <w:rsid w:val="009B2FBB"/>
    <w:rsid w:val="009B406D"/>
    <w:rsid w:val="009B5F35"/>
    <w:rsid w:val="009B7154"/>
    <w:rsid w:val="009B79BD"/>
    <w:rsid w:val="009C1D51"/>
    <w:rsid w:val="009C5A76"/>
    <w:rsid w:val="009D0720"/>
    <w:rsid w:val="009D4FE0"/>
    <w:rsid w:val="009D6A06"/>
    <w:rsid w:val="009E06F5"/>
    <w:rsid w:val="009E1AAA"/>
    <w:rsid w:val="009E1E4A"/>
    <w:rsid w:val="009E7EF2"/>
    <w:rsid w:val="009F351F"/>
    <w:rsid w:val="00A0261D"/>
    <w:rsid w:val="00A03F16"/>
    <w:rsid w:val="00A131EE"/>
    <w:rsid w:val="00A13325"/>
    <w:rsid w:val="00A15CFA"/>
    <w:rsid w:val="00A15ED8"/>
    <w:rsid w:val="00A2014D"/>
    <w:rsid w:val="00A205FE"/>
    <w:rsid w:val="00A20CD3"/>
    <w:rsid w:val="00A211EE"/>
    <w:rsid w:val="00A2187B"/>
    <w:rsid w:val="00A238CE"/>
    <w:rsid w:val="00A23EDD"/>
    <w:rsid w:val="00A251CB"/>
    <w:rsid w:val="00A268C2"/>
    <w:rsid w:val="00A32A0B"/>
    <w:rsid w:val="00A32D95"/>
    <w:rsid w:val="00A340EF"/>
    <w:rsid w:val="00A348F9"/>
    <w:rsid w:val="00A36E6D"/>
    <w:rsid w:val="00A37AD6"/>
    <w:rsid w:val="00A4067F"/>
    <w:rsid w:val="00A41A11"/>
    <w:rsid w:val="00A47C11"/>
    <w:rsid w:val="00A501D5"/>
    <w:rsid w:val="00A50253"/>
    <w:rsid w:val="00A50583"/>
    <w:rsid w:val="00A51A55"/>
    <w:rsid w:val="00A527B2"/>
    <w:rsid w:val="00A52C55"/>
    <w:rsid w:val="00A541B9"/>
    <w:rsid w:val="00A60FA3"/>
    <w:rsid w:val="00A6138E"/>
    <w:rsid w:val="00A67FFD"/>
    <w:rsid w:val="00A704FE"/>
    <w:rsid w:val="00A73D0E"/>
    <w:rsid w:val="00A74FF2"/>
    <w:rsid w:val="00A751FC"/>
    <w:rsid w:val="00A800BB"/>
    <w:rsid w:val="00A81D3B"/>
    <w:rsid w:val="00A83774"/>
    <w:rsid w:val="00A90295"/>
    <w:rsid w:val="00A9144E"/>
    <w:rsid w:val="00A938D4"/>
    <w:rsid w:val="00A95484"/>
    <w:rsid w:val="00A959B5"/>
    <w:rsid w:val="00AA092A"/>
    <w:rsid w:val="00AA0969"/>
    <w:rsid w:val="00AA52DA"/>
    <w:rsid w:val="00AA57C3"/>
    <w:rsid w:val="00AB0491"/>
    <w:rsid w:val="00AB2D14"/>
    <w:rsid w:val="00AB4E77"/>
    <w:rsid w:val="00AB4F5C"/>
    <w:rsid w:val="00AB7684"/>
    <w:rsid w:val="00AC2552"/>
    <w:rsid w:val="00AC2608"/>
    <w:rsid w:val="00AC2865"/>
    <w:rsid w:val="00AC2980"/>
    <w:rsid w:val="00AC29A7"/>
    <w:rsid w:val="00AC57D4"/>
    <w:rsid w:val="00AC6C67"/>
    <w:rsid w:val="00AD04D6"/>
    <w:rsid w:val="00AD2F6F"/>
    <w:rsid w:val="00AD3C28"/>
    <w:rsid w:val="00AD3D76"/>
    <w:rsid w:val="00AD3FF1"/>
    <w:rsid w:val="00AD4CD4"/>
    <w:rsid w:val="00AE2800"/>
    <w:rsid w:val="00AE3BD0"/>
    <w:rsid w:val="00AE50A6"/>
    <w:rsid w:val="00AE7CB4"/>
    <w:rsid w:val="00AF116C"/>
    <w:rsid w:val="00AF361D"/>
    <w:rsid w:val="00AF5307"/>
    <w:rsid w:val="00AF61C2"/>
    <w:rsid w:val="00B00048"/>
    <w:rsid w:val="00B0339C"/>
    <w:rsid w:val="00B048F2"/>
    <w:rsid w:val="00B079C9"/>
    <w:rsid w:val="00B11C1D"/>
    <w:rsid w:val="00B12F44"/>
    <w:rsid w:val="00B20736"/>
    <w:rsid w:val="00B20F53"/>
    <w:rsid w:val="00B222E6"/>
    <w:rsid w:val="00B30C15"/>
    <w:rsid w:val="00B31928"/>
    <w:rsid w:val="00B32471"/>
    <w:rsid w:val="00B3267D"/>
    <w:rsid w:val="00B326F3"/>
    <w:rsid w:val="00B33060"/>
    <w:rsid w:val="00B33DA0"/>
    <w:rsid w:val="00B35F86"/>
    <w:rsid w:val="00B362B7"/>
    <w:rsid w:val="00B3646E"/>
    <w:rsid w:val="00B40D58"/>
    <w:rsid w:val="00B41088"/>
    <w:rsid w:val="00B46A36"/>
    <w:rsid w:val="00B532FF"/>
    <w:rsid w:val="00B54111"/>
    <w:rsid w:val="00B550EC"/>
    <w:rsid w:val="00B55772"/>
    <w:rsid w:val="00B570EB"/>
    <w:rsid w:val="00B60E5D"/>
    <w:rsid w:val="00B6332A"/>
    <w:rsid w:val="00B641C5"/>
    <w:rsid w:val="00B65841"/>
    <w:rsid w:val="00B66EA3"/>
    <w:rsid w:val="00B719AB"/>
    <w:rsid w:val="00B7396A"/>
    <w:rsid w:val="00B73B6A"/>
    <w:rsid w:val="00B741B4"/>
    <w:rsid w:val="00B74F91"/>
    <w:rsid w:val="00B7778C"/>
    <w:rsid w:val="00B82B52"/>
    <w:rsid w:val="00B82EF2"/>
    <w:rsid w:val="00B9029F"/>
    <w:rsid w:val="00B9065E"/>
    <w:rsid w:val="00B92C36"/>
    <w:rsid w:val="00B95683"/>
    <w:rsid w:val="00B9580C"/>
    <w:rsid w:val="00B96B6C"/>
    <w:rsid w:val="00B97E02"/>
    <w:rsid w:val="00BA186F"/>
    <w:rsid w:val="00BA1C3E"/>
    <w:rsid w:val="00BA2AB7"/>
    <w:rsid w:val="00BB5768"/>
    <w:rsid w:val="00BC1524"/>
    <w:rsid w:val="00BC211A"/>
    <w:rsid w:val="00BC3E3F"/>
    <w:rsid w:val="00BC3E4C"/>
    <w:rsid w:val="00BC514D"/>
    <w:rsid w:val="00BC5B66"/>
    <w:rsid w:val="00BD04D8"/>
    <w:rsid w:val="00BD37AC"/>
    <w:rsid w:val="00BD384D"/>
    <w:rsid w:val="00BE07AD"/>
    <w:rsid w:val="00BE48FD"/>
    <w:rsid w:val="00BF0047"/>
    <w:rsid w:val="00BF170C"/>
    <w:rsid w:val="00BF3F7A"/>
    <w:rsid w:val="00BF493B"/>
    <w:rsid w:val="00BF54DE"/>
    <w:rsid w:val="00C0252A"/>
    <w:rsid w:val="00C0367C"/>
    <w:rsid w:val="00C16052"/>
    <w:rsid w:val="00C160A0"/>
    <w:rsid w:val="00C2479A"/>
    <w:rsid w:val="00C24D76"/>
    <w:rsid w:val="00C306A1"/>
    <w:rsid w:val="00C3603F"/>
    <w:rsid w:val="00C3622A"/>
    <w:rsid w:val="00C400C5"/>
    <w:rsid w:val="00C40111"/>
    <w:rsid w:val="00C461D7"/>
    <w:rsid w:val="00C50DFC"/>
    <w:rsid w:val="00C517CD"/>
    <w:rsid w:val="00C51E28"/>
    <w:rsid w:val="00C541D4"/>
    <w:rsid w:val="00C5578F"/>
    <w:rsid w:val="00C57EF2"/>
    <w:rsid w:val="00C60752"/>
    <w:rsid w:val="00C64BD2"/>
    <w:rsid w:val="00C6744E"/>
    <w:rsid w:val="00C72E0B"/>
    <w:rsid w:val="00C73913"/>
    <w:rsid w:val="00C73F61"/>
    <w:rsid w:val="00C756B2"/>
    <w:rsid w:val="00C76592"/>
    <w:rsid w:val="00C76B62"/>
    <w:rsid w:val="00C77B85"/>
    <w:rsid w:val="00C804DF"/>
    <w:rsid w:val="00C805AA"/>
    <w:rsid w:val="00C8194C"/>
    <w:rsid w:val="00C8211A"/>
    <w:rsid w:val="00C82F35"/>
    <w:rsid w:val="00C82FDD"/>
    <w:rsid w:val="00C8300E"/>
    <w:rsid w:val="00C83B54"/>
    <w:rsid w:val="00C92EF3"/>
    <w:rsid w:val="00C942E3"/>
    <w:rsid w:val="00CA06D3"/>
    <w:rsid w:val="00CA0FB8"/>
    <w:rsid w:val="00CA5FD1"/>
    <w:rsid w:val="00CA6FF8"/>
    <w:rsid w:val="00CB0B47"/>
    <w:rsid w:val="00CB1303"/>
    <w:rsid w:val="00CB210F"/>
    <w:rsid w:val="00CB230B"/>
    <w:rsid w:val="00CB4ADF"/>
    <w:rsid w:val="00CB5041"/>
    <w:rsid w:val="00CB6840"/>
    <w:rsid w:val="00CC0452"/>
    <w:rsid w:val="00CC0DF1"/>
    <w:rsid w:val="00CC0F43"/>
    <w:rsid w:val="00CC1462"/>
    <w:rsid w:val="00CC45E1"/>
    <w:rsid w:val="00CC5619"/>
    <w:rsid w:val="00CD1094"/>
    <w:rsid w:val="00CD114A"/>
    <w:rsid w:val="00CD62BB"/>
    <w:rsid w:val="00CD6792"/>
    <w:rsid w:val="00CE00D6"/>
    <w:rsid w:val="00CE1F6C"/>
    <w:rsid w:val="00CE209B"/>
    <w:rsid w:val="00CE4820"/>
    <w:rsid w:val="00CE7470"/>
    <w:rsid w:val="00CE77DA"/>
    <w:rsid w:val="00CF042B"/>
    <w:rsid w:val="00CF0BA1"/>
    <w:rsid w:val="00CF3D4E"/>
    <w:rsid w:val="00CF3E52"/>
    <w:rsid w:val="00CF46D2"/>
    <w:rsid w:val="00CF6196"/>
    <w:rsid w:val="00CF7971"/>
    <w:rsid w:val="00D01B9E"/>
    <w:rsid w:val="00D0225A"/>
    <w:rsid w:val="00D06509"/>
    <w:rsid w:val="00D07347"/>
    <w:rsid w:val="00D07936"/>
    <w:rsid w:val="00D108BC"/>
    <w:rsid w:val="00D11FBC"/>
    <w:rsid w:val="00D11FC4"/>
    <w:rsid w:val="00D1214C"/>
    <w:rsid w:val="00D124E0"/>
    <w:rsid w:val="00D159B6"/>
    <w:rsid w:val="00D15ACA"/>
    <w:rsid w:val="00D16219"/>
    <w:rsid w:val="00D202AE"/>
    <w:rsid w:val="00D21EFD"/>
    <w:rsid w:val="00D22041"/>
    <w:rsid w:val="00D224AC"/>
    <w:rsid w:val="00D254D4"/>
    <w:rsid w:val="00D257E4"/>
    <w:rsid w:val="00D25B1D"/>
    <w:rsid w:val="00D26D8B"/>
    <w:rsid w:val="00D32A2C"/>
    <w:rsid w:val="00D33DCA"/>
    <w:rsid w:val="00D342DE"/>
    <w:rsid w:val="00D35918"/>
    <w:rsid w:val="00D378AD"/>
    <w:rsid w:val="00D41CF5"/>
    <w:rsid w:val="00D4600B"/>
    <w:rsid w:val="00D47D2C"/>
    <w:rsid w:val="00D5078F"/>
    <w:rsid w:val="00D50A26"/>
    <w:rsid w:val="00D51E1A"/>
    <w:rsid w:val="00D53FD1"/>
    <w:rsid w:val="00D57400"/>
    <w:rsid w:val="00D57B73"/>
    <w:rsid w:val="00D57BB1"/>
    <w:rsid w:val="00D612DB"/>
    <w:rsid w:val="00D6273C"/>
    <w:rsid w:val="00D64980"/>
    <w:rsid w:val="00D72259"/>
    <w:rsid w:val="00D74D5E"/>
    <w:rsid w:val="00D77589"/>
    <w:rsid w:val="00D8027A"/>
    <w:rsid w:val="00D80DFB"/>
    <w:rsid w:val="00D82313"/>
    <w:rsid w:val="00D8341D"/>
    <w:rsid w:val="00D835D5"/>
    <w:rsid w:val="00D83C6F"/>
    <w:rsid w:val="00D84250"/>
    <w:rsid w:val="00D84527"/>
    <w:rsid w:val="00D849C7"/>
    <w:rsid w:val="00D85868"/>
    <w:rsid w:val="00D870CA"/>
    <w:rsid w:val="00D93947"/>
    <w:rsid w:val="00D94462"/>
    <w:rsid w:val="00D95FDA"/>
    <w:rsid w:val="00D9639A"/>
    <w:rsid w:val="00D979C6"/>
    <w:rsid w:val="00D97B7C"/>
    <w:rsid w:val="00DA0E85"/>
    <w:rsid w:val="00DB0C2F"/>
    <w:rsid w:val="00DB0CD5"/>
    <w:rsid w:val="00DB1524"/>
    <w:rsid w:val="00DB3C9D"/>
    <w:rsid w:val="00DB66D9"/>
    <w:rsid w:val="00DB672A"/>
    <w:rsid w:val="00DB74C6"/>
    <w:rsid w:val="00DB7693"/>
    <w:rsid w:val="00DC13A6"/>
    <w:rsid w:val="00DC31C3"/>
    <w:rsid w:val="00DC3F36"/>
    <w:rsid w:val="00DC553E"/>
    <w:rsid w:val="00DC5B32"/>
    <w:rsid w:val="00DC7424"/>
    <w:rsid w:val="00DD0840"/>
    <w:rsid w:val="00DD1882"/>
    <w:rsid w:val="00DD1E3D"/>
    <w:rsid w:val="00DD34E0"/>
    <w:rsid w:val="00DD7120"/>
    <w:rsid w:val="00DD7550"/>
    <w:rsid w:val="00DE053A"/>
    <w:rsid w:val="00DE0E69"/>
    <w:rsid w:val="00DE3853"/>
    <w:rsid w:val="00DE59F6"/>
    <w:rsid w:val="00DE62EE"/>
    <w:rsid w:val="00DE705E"/>
    <w:rsid w:val="00DF4C8D"/>
    <w:rsid w:val="00DF58F0"/>
    <w:rsid w:val="00DF5AA5"/>
    <w:rsid w:val="00DF72E1"/>
    <w:rsid w:val="00E0004F"/>
    <w:rsid w:val="00E01226"/>
    <w:rsid w:val="00E01449"/>
    <w:rsid w:val="00E01A13"/>
    <w:rsid w:val="00E02203"/>
    <w:rsid w:val="00E029D5"/>
    <w:rsid w:val="00E03FCC"/>
    <w:rsid w:val="00E042AD"/>
    <w:rsid w:val="00E04AD2"/>
    <w:rsid w:val="00E071CA"/>
    <w:rsid w:val="00E11329"/>
    <w:rsid w:val="00E149C5"/>
    <w:rsid w:val="00E14E2A"/>
    <w:rsid w:val="00E1584A"/>
    <w:rsid w:val="00E161E1"/>
    <w:rsid w:val="00E20DA1"/>
    <w:rsid w:val="00E22417"/>
    <w:rsid w:val="00E25998"/>
    <w:rsid w:val="00E33334"/>
    <w:rsid w:val="00E354E2"/>
    <w:rsid w:val="00E36135"/>
    <w:rsid w:val="00E36E02"/>
    <w:rsid w:val="00E42878"/>
    <w:rsid w:val="00E43A46"/>
    <w:rsid w:val="00E43BC6"/>
    <w:rsid w:val="00E4544C"/>
    <w:rsid w:val="00E47BF0"/>
    <w:rsid w:val="00E500BF"/>
    <w:rsid w:val="00E51DCD"/>
    <w:rsid w:val="00E537E2"/>
    <w:rsid w:val="00E53A39"/>
    <w:rsid w:val="00E56F18"/>
    <w:rsid w:val="00E61A6F"/>
    <w:rsid w:val="00E6316B"/>
    <w:rsid w:val="00E64638"/>
    <w:rsid w:val="00E73E44"/>
    <w:rsid w:val="00E7406A"/>
    <w:rsid w:val="00E751A7"/>
    <w:rsid w:val="00E77146"/>
    <w:rsid w:val="00E81447"/>
    <w:rsid w:val="00E872CA"/>
    <w:rsid w:val="00E92D22"/>
    <w:rsid w:val="00E95D15"/>
    <w:rsid w:val="00E96762"/>
    <w:rsid w:val="00EA2524"/>
    <w:rsid w:val="00EB0597"/>
    <w:rsid w:val="00EB0A98"/>
    <w:rsid w:val="00EB3527"/>
    <w:rsid w:val="00EB4C88"/>
    <w:rsid w:val="00EB55A1"/>
    <w:rsid w:val="00EC0480"/>
    <w:rsid w:val="00EC09F7"/>
    <w:rsid w:val="00EC17E1"/>
    <w:rsid w:val="00EC318C"/>
    <w:rsid w:val="00EC4921"/>
    <w:rsid w:val="00EC49EE"/>
    <w:rsid w:val="00EC49F7"/>
    <w:rsid w:val="00EC4AA1"/>
    <w:rsid w:val="00EC4B51"/>
    <w:rsid w:val="00EC5115"/>
    <w:rsid w:val="00EC7316"/>
    <w:rsid w:val="00EC7473"/>
    <w:rsid w:val="00EC76CB"/>
    <w:rsid w:val="00ED454B"/>
    <w:rsid w:val="00ED6D96"/>
    <w:rsid w:val="00EE19CD"/>
    <w:rsid w:val="00EE3230"/>
    <w:rsid w:val="00EE32B5"/>
    <w:rsid w:val="00EE643B"/>
    <w:rsid w:val="00EE64E4"/>
    <w:rsid w:val="00EF04BE"/>
    <w:rsid w:val="00EF20A6"/>
    <w:rsid w:val="00EF36FF"/>
    <w:rsid w:val="00EF6B9D"/>
    <w:rsid w:val="00F018BF"/>
    <w:rsid w:val="00F061E1"/>
    <w:rsid w:val="00F07320"/>
    <w:rsid w:val="00F12A21"/>
    <w:rsid w:val="00F139B5"/>
    <w:rsid w:val="00F14A6B"/>
    <w:rsid w:val="00F15A3B"/>
    <w:rsid w:val="00F2135D"/>
    <w:rsid w:val="00F21E1C"/>
    <w:rsid w:val="00F22BC2"/>
    <w:rsid w:val="00F2487F"/>
    <w:rsid w:val="00F248A3"/>
    <w:rsid w:val="00F25CB1"/>
    <w:rsid w:val="00F27C13"/>
    <w:rsid w:val="00F301EA"/>
    <w:rsid w:val="00F30331"/>
    <w:rsid w:val="00F31361"/>
    <w:rsid w:val="00F34034"/>
    <w:rsid w:val="00F344BB"/>
    <w:rsid w:val="00F371AA"/>
    <w:rsid w:val="00F37EF0"/>
    <w:rsid w:val="00F401C7"/>
    <w:rsid w:val="00F4192C"/>
    <w:rsid w:val="00F4228F"/>
    <w:rsid w:val="00F44304"/>
    <w:rsid w:val="00F50646"/>
    <w:rsid w:val="00F51D7D"/>
    <w:rsid w:val="00F54540"/>
    <w:rsid w:val="00F56D6F"/>
    <w:rsid w:val="00F5702B"/>
    <w:rsid w:val="00F57C27"/>
    <w:rsid w:val="00F60CFE"/>
    <w:rsid w:val="00F71A76"/>
    <w:rsid w:val="00F76144"/>
    <w:rsid w:val="00F82B17"/>
    <w:rsid w:val="00F840CC"/>
    <w:rsid w:val="00F84B8F"/>
    <w:rsid w:val="00F874A9"/>
    <w:rsid w:val="00F87EC9"/>
    <w:rsid w:val="00F96B1E"/>
    <w:rsid w:val="00F9709D"/>
    <w:rsid w:val="00FA2CBB"/>
    <w:rsid w:val="00FA398E"/>
    <w:rsid w:val="00FA652E"/>
    <w:rsid w:val="00FB300D"/>
    <w:rsid w:val="00FB360D"/>
    <w:rsid w:val="00FB55D2"/>
    <w:rsid w:val="00FB5F63"/>
    <w:rsid w:val="00FB6208"/>
    <w:rsid w:val="00FB784A"/>
    <w:rsid w:val="00FC0573"/>
    <w:rsid w:val="00FC4F34"/>
    <w:rsid w:val="00FC6FD8"/>
    <w:rsid w:val="00FD28B4"/>
    <w:rsid w:val="00FD5619"/>
    <w:rsid w:val="00FD5B9E"/>
    <w:rsid w:val="00FD6A6F"/>
    <w:rsid w:val="00FD7D61"/>
    <w:rsid w:val="00FE5522"/>
    <w:rsid w:val="00FE7247"/>
    <w:rsid w:val="00FF482E"/>
    <w:rsid w:val="00FF73C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D5"/>
    <w:pPr>
      <w:spacing w:after="200" w:line="276" w:lineRule="auto"/>
    </w:pPr>
    <w:rPr>
      <w:lang w:eastAsia="en-US"/>
    </w:rPr>
  </w:style>
  <w:style w:type="paragraph" w:styleId="Heading2">
    <w:name w:val="heading 2"/>
    <w:basedOn w:val="Normal"/>
    <w:next w:val="Normal"/>
    <w:link w:val="Heading2Char"/>
    <w:uiPriority w:val="99"/>
    <w:qFormat/>
    <w:rsid w:val="00C3622A"/>
    <w:pPr>
      <w:keepNext/>
      <w:spacing w:after="0" w:line="240" w:lineRule="auto"/>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qFormat/>
    <w:rsid w:val="00C3622A"/>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3622A"/>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C3622A"/>
    <w:rPr>
      <w:rFonts w:ascii="Times New Roman" w:hAnsi="Times New Roman" w:cs="Times New Roman"/>
      <w:b/>
      <w:bCs/>
      <w:sz w:val="24"/>
      <w:szCs w:val="24"/>
    </w:rPr>
  </w:style>
  <w:style w:type="paragraph" w:styleId="BalloonText">
    <w:name w:val="Balloon Text"/>
    <w:basedOn w:val="Normal"/>
    <w:link w:val="BalloonTextChar"/>
    <w:uiPriority w:val="99"/>
    <w:semiHidden/>
    <w:rsid w:val="003A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E5E"/>
    <w:rPr>
      <w:rFonts w:ascii="Tahoma" w:hAnsi="Tahoma" w:cs="Tahoma"/>
      <w:sz w:val="16"/>
      <w:szCs w:val="16"/>
    </w:rPr>
  </w:style>
  <w:style w:type="character" w:styleId="Hyperlink">
    <w:name w:val="Hyperlink"/>
    <w:basedOn w:val="DefaultParagraphFont"/>
    <w:uiPriority w:val="99"/>
    <w:rsid w:val="005142EA"/>
    <w:rPr>
      <w:rFonts w:cs="Times New Roman"/>
      <w:color w:val="0000FF"/>
      <w:u w:val="single"/>
    </w:rPr>
  </w:style>
  <w:style w:type="paragraph" w:styleId="NoSpacing">
    <w:name w:val="No Spacing"/>
    <w:uiPriority w:val="1"/>
    <w:qFormat/>
    <w:rsid w:val="005B166B"/>
    <w:rPr>
      <w:rFonts w:asciiTheme="minorHAnsi" w:eastAsiaTheme="minorHAnsi" w:hAnsiTheme="minorHAnsi" w:cstheme="minorBidi"/>
      <w:lang w:eastAsia="en-US"/>
    </w:rPr>
  </w:style>
  <w:style w:type="character" w:customStyle="1" w:styleId="apple-converted-space">
    <w:name w:val="apple-converted-space"/>
    <w:basedOn w:val="DefaultParagraphFont"/>
    <w:rsid w:val="00700352"/>
  </w:style>
  <w:style w:type="character" w:styleId="CommentReference">
    <w:name w:val="annotation reference"/>
    <w:basedOn w:val="DefaultParagraphFont"/>
    <w:uiPriority w:val="99"/>
    <w:semiHidden/>
    <w:unhideWhenUsed/>
    <w:rsid w:val="003E6E33"/>
    <w:rPr>
      <w:sz w:val="16"/>
      <w:szCs w:val="16"/>
    </w:rPr>
  </w:style>
  <w:style w:type="paragraph" w:styleId="CommentText">
    <w:name w:val="annotation text"/>
    <w:basedOn w:val="Normal"/>
    <w:link w:val="CommentTextChar"/>
    <w:uiPriority w:val="99"/>
    <w:semiHidden/>
    <w:unhideWhenUsed/>
    <w:rsid w:val="003E6E33"/>
    <w:pPr>
      <w:spacing w:line="240" w:lineRule="auto"/>
    </w:pPr>
    <w:rPr>
      <w:sz w:val="20"/>
      <w:szCs w:val="20"/>
    </w:rPr>
  </w:style>
  <w:style w:type="character" w:customStyle="1" w:styleId="CommentTextChar">
    <w:name w:val="Comment Text Char"/>
    <w:basedOn w:val="DefaultParagraphFont"/>
    <w:link w:val="CommentText"/>
    <w:uiPriority w:val="99"/>
    <w:semiHidden/>
    <w:rsid w:val="003E6E33"/>
    <w:rPr>
      <w:sz w:val="20"/>
      <w:szCs w:val="20"/>
      <w:lang w:eastAsia="en-US"/>
    </w:rPr>
  </w:style>
  <w:style w:type="paragraph" w:styleId="CommentSubject">
    <w:name w:val="annotation subject"/>
    <w:basedOn w:val="CommentText"/>
    <w:next w:val="CommentText"/>
    <w:link w:val="CommentSubjectChar"/>
    <w:uiPriority w:val="99"/>
    <w:semiHidden/>
    <w:unhideWhenUsed/>
    <w:rsid w:val="003E6E33"/>
    <w:rPr>
      <w:b/>
      <w:bCs/>
    </w:rPr>
  </w:style>
  <w:style w:type="character" w:customStyle="1" w:styleId="CommentSubjectChar">
    <w:name w:val="Comment Subject Char"/>
    <w:basedOn w:val="CommentTextChar"/>
    <w:link w:val="CommentSubject"/>
    <w:uiPriority w:val="99"/>
    <w:semiHidden/>
    <w:rsid w:val="003E6E33"/>
    <w:rPr>
      <w:b/>
      <w:bCs/>
    </w:rPr>
  </w:style>
  <w:style w:type="paragraph" w:styleId="NormalWeb">
    <w:name w:val="Normal (Web)"/>
    <w:basedOn w:val="Normal"/>
    <w:uiPriority w:val="99"/>
    <w:unhideWhenUsed/>
    <w:rsid w:val="0093754B"/>
    <w:pPr>
      <w:spacing w:before="100" w:beforeAutospacing="1" w:after="100" w:afterAutospacing="1" w:line="240" w:lineRule="auto"/>
    </w:pPr>
    <w:rPr>
      <w:rFonts w:ascii="Times New Roman" w:eastAsia="Times New Roman" w:hAnsi="Times New Roman"/>
      <w:sz w:val="24"/>
      <w:szCs w:val="24"/>
      <w:lang w:eastAsia="en-NZ"/>
    </w:rPr>
  </w:style>
  <w:style w:type="paragraph" w:styleId="ListParagraph">
    <w:name w:val="List Paragraph"/>
    <w:basedOn w:val="Normal"/>
    <w:uiPriority w:val="34"/>
    <w:qFormat/>
    <w:rsid w:val="008F700B"/>
    <w:pPr>
      <w:ind w:left="720"/>
      <w:contextualSpacing/>
    </w:pPr>
  </w:style>
  <w:style w:type="paragraph" w:styleId="Header">
    <w:name w:val="header"/>
    <w:basedOn w:val="Normal"/>
    <w:link w:val="HeaderChar"/>
    <w:uiPriority w:val="99"/>
    <w:semiHidden/>
    <w:unhideWhenUsed/>
    <w:rsid w:val="006E77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77EE"/>
    <w:rPr>
      <w:lang w:eastAsia="en-US"/>
    </w:rPr>
  </w:style>
  <w:style w:type="paragraph" w:styleId="Footer">
    <w:name w:val="footer"/>
    <w:basedOn w:val="Normal"/>
    <w:link w:val="FooterChar"/>
    <w:uiPriority w:val="99"/>
    <w:semiHidden/>
    <w:unhideWhenUsed/>
    <w:rsid w:val="006E77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77EE"/>
    <w:rPr>
      <w:lang w:eastAsia="en-US"/>
    </w:rPr>
  </w:style>
</w:styles>
</file>

<file path=word/webSettings.xml><?xml version="1.0" encoding="utf-8"?>
<w:webSettings xmlns:r="http://schemas.openxmlformats.org/officeDocument/2006/relationships" xmlns:w="http://schemas.openxmlformats.org/wordprocessingml/2006/main">
  <w:divs>
    <w:div w:id="143595001">
      <w:bodyDiv w:val="1"/>
      <w:marLeft w:val="0"/>
      <w:marRight w:val="0"/>
      <w:marTop w:val="0"/>
      <w:marBottom w:val="0"/>
      <w:divBdr>
        <w:top w:val="none" w:sz="0" w:space="0" w:color="auto"/>
        <w:left w:val="none" w:sz="0" w:space="0" w:color="auto"/>
        <w:bottom w:val="none" w:sz="0" w:space="0" w:color="auto"/>
        <w:right w:val="none" w:sz="0" w:space="0" w:color="auto"/>
      </w:divBdr>
    </w:div>
    <w:div w:id="229972502">
      <w:bodyDiv w:val="1"/>
      <w:marLeft w:val="0"/>
      <w:marRight w:val="0"/>
      <w:marTop w:val="0"/>
      <w:marBottom w:val="0"/>
      <w:divBdr>
        <w:top w:val="none" w:sz="0" w:space="0" w:color="auto"/>
        <w:left w:val="none" w:sz="0" w:space="0" w:color="auto"/>
        <w:bottom w:val="none" w:sz="0" w:space="0" w:color="auto"/>
        <w:right w:val="none" w:sz="0" w:space="0" w:color="auto"/>
      </w:divBdr>
    </w:div>
    <w:div w:id="414087113">
      <w:bodyDiv w:val="1"/>
      <w:marLeft w:val="0"/>
      <w:marRight w:val="0"/>
      <w:marTop w:val="0"/>
      <w:marBottom w:val="0"/>
      <w:divBdr>
        <w:top w:val="none" w:sz="0" w:space="0" w:color="auto"/>
        <w:left w:val="none" w:sz="0" w:space="0" w:color="auto"/>
        <w:bottom w:val="none" w:sz="0" w:space="0" w:color="auto"/>
        <w:right w:val="none" w:sz="0" w:space="0" w:color="auto"/>
      </w:divBdr>
    </w:div>
    <w:div w:id="506528125">
      <w:bodyDiv w:val="1"/>
      <w:marLeft w:val="0"/>
      <w:marRight w:val="0"/>
      <w:marTop w:val="0"/>
      <w:marBottom w:val="0"/>
      <w:divBdr>
        <w:top w:val="none" w:sz="0" w:space="0" w:color="auto"/>
        <w:left w:val="none" w:sz="0" w:space="0" w:color="auto"/>
        <w:bottom w:val="none" w:sz="0" w:space="0" w:color="auto"/>
        <w:right w:val="none" w:sz="0" w:space="0" w:color="auto"/>
      </w:divBdr>
    </w:div>
    <w:div w:id="561451263">
      <w:bodyDiv w:val="1"/>
      <w:marLeft w:val="0"/>
      <w:marRight w:val="0"/>
      <w:marTop w:val="0"/>
      <w:marBottom w:val="0"/>
      <w:divBdr>
        <w:top w:val="none" w:sz="0" w:space="0" w:color="auto"/>
        <w:left w:val="none" w:sz="0" w:space="0" w:color="auto"/>
        <w:bottom w:val="none" w:sz="0" w:space="0" w:color="auto"/>
        <w:right w:val="none" w:sz="0" w:space="0" w:color="auto"/>
      </w:divBdr>
    </w:div>
    <w:div w:id="608700005">
      <w:bodyDiv w:val="1"/>
      <w:marLeft w:val="0"/>
      <w:marRight w:val="0"/>
      <w:marTop w:val="0"/>
      <w:marBottom w:val="0"/>
      <w:divBdr>
        <w:top w:val="none" w:sz="0" w:space="0" w:color="auto"/>
        <w:left w:val="none" w:sz="0" w:space="0" w:color="auto"/>
        <w:bottom w:val="none" w:sz="0" w:space="0" w:color="auto"/>
        <w:right w:val="none" w:sz="0" w:space="0" w:color="auto"/>
      </w:divBdr>
    </w:div>
    <w:div w:id="630330949">
      <w:bodyDiv w:val="1"/>
      <w:marLeft w:val="0"/>
      <w:marRight w:val="0"/>
      <w:marTop w:val="0"/>
      <w:marBottom w:val="0"/>
      <w:divBdr>
        <w:top w:val="none" w:sz="0" w:space="0" w:color="auto"/>
        <w:left w:val="none" w:sz="0" w:space="0" w:color="auto"/>
        <w:bottom w:val="none" w:sz="0" w:space="0" w:color="auto"/>
        <w:right w:val="none" w:sz="0" w:space="0" w:color="auto"/>
      </w:divBdr>
    </w:div>
    <w:div w:id="683481487">
      <w:bodyDiv w:val="1"/>
      <w:marLeft w:val="0"/>
      <w:marRight w:val="0"/>
      <w:marTop w:val="0"/>
      <w:marBottom w:val="0"/>
      <w:divBdr>
        <w:top w:val="none" w:sz="0" w:space="0" w:color="auto"/>
        <w:left w:val="none" w:sz="0" w:space="0" w:color="auto"/>
        <w:bottom w:val="none" w:sz="0" w:space="0" w:color="auto"/>
        <w:right w:val="none" w:sz="0" w:space="0" w:color="auto"/>
      </w:divBdr>
    </w:div>
    <w:div w:id="756949305">
      <w:bodyDiv w:val="1"/>
      <w:marLeft w:val="0"/>
      <w:marRight w:val="0"/>
      <w:marTop w:val="0"/>
      <w:marBottom w:val="0"/>
      <w:divBdr>
        <w:top w:val="none" w:sz="0" w:space="0" w:color="auto"/>
        <w:left w:val="none" w:sz="0" w:space="0" w:color="auto"/>
        <w:bottom w:val="none" w:sz="0" w:space="0" w:color="auto"/>
        <w:right w:val="none" w:sz="0" w:space="0" w:color="auto"/>
      </w:divBdr>
    </w:div>
    <w:div w:id="772746583">
      <w:bodyDiv w:val="1"/>
      <w:marLeft w:val="0"/>
      <w:marRight w:val="0"/>
      <w:marTop w:val="0"/>
      <w:marBottom w:val="0"/>
      <w:divBdr>
        <w:top w:val="none" w:sz="0" w:space="0" w:color="auto"/>
        <w:left w:val="none" w:sz="0" w:space="0" w:color="auto"/>
        <w:bottom w:val="none" w:sz="0" w:space="0" w:color="auto"/>
        <w:right w:val="none" w:sz="0" w:space="0" w:color="auto"/>
      </w:divBdr>
    </w:div>
    <w:div w:id="842353939">
      <w:bodyDiv w:val="1"/>
      <w:marLeft w:val="0"/>
      <w:marRight w:val="0"/>
      <w:marTop w:val="0"/>
      <w:marBottom w:val="0"/>
      <w:divBdr>
        <w:top w:val="none" w:sz="0" w:space="0" w:color="auto"/>
        <w:left w:val="none" w:sz="0" w:space="0" w:color="auto"/>
        <w:bottom w:val="none" w:sz="0" w:space="0" w:color="auto"/>
        <w:right w:val="none" w:sz="0" w:space="0" w:color="auto"/>
      </w:divBdr>
    </w:div>
    <w:div w:id="888808872">
      <w:bodyDiv w:val="1"/>
      <w:marLeft w:val="0"/>
      <w:marRight w:val="0"/>
      <w:marTop w:val="0"/>
      <w:marBottom w:val="0"/>
      <w:divBdr>
        <w:top w:val="none" w:sz="0" w:space="0" w:color="auto"/>
        <w:left w:val="none" w:sz="0" w:space="0" w:color="auto"/>
        <w:bottom w:val="none" w:sz="0" w:space="0" w:color="auto"/>
        <w:right w:val="none" w:sz="0" w:space="0" w:color="auto"/>
      </w:divBdr>
    </w:div>
    <w:div w:id="891884342">
      <w:bodyDiv w:val="1"/>
      <w:marLeft w:val="0"/>
      <w:marRight w:val="0"/>
      <w:marTop w:val="0"/>
      <w:marBottom w:val="0"/>
      <w:divBdr>
        <w:top w:val="none" w:sz="0" w:space="0" w:color="auto"/>
        <w:left w:val="none" w:sz="0" w:space="0" w:color="auto"/>
        <w:bottom w:val="none" w:sz="0" w:space="0" w:color="auto"/>
        <w:right w:val="none" w:sz="0" w:space="0" w:color="auto"/>
      </w:divBdr>
    </w:div>
    <w:div w:id="892083802">
      <w:bodyDiv w:val="1"/>
      <w:marLeft w:val="0"/>
      <w:marRight w:val="0"/>
      <w:marTop w:val="0"/>
      <w:marBottom w:val="0"/>
      <w:divBdr>
        <w:top w:val="none" w:sz="0" w:space="0" w:color="auto"/>
        <w:left w:val="none" w:sz="0" w:space="0" w:color="auto"/>
        <w:bottom w:val="none" w:sz="0" w:space="0" w:color="auto"/>
        <w:right w:val="none" w:sz="0" w:space="0" w:color="auto"/>
      </w:divBdr>
    </w:div>
    <w:div w:id="1216314742">
      <w:bodyDiv w:val="1"/>
      <w:marLeft w:val="0"/>
      <w:marRight w:val="0"/>
      <w:marTop w:val="0"/>
      <w:marBottom w:val="0"/>
      <w:divBdr>
        <w:top w:val="none" w:sz="0" w:space="0" w:color="auto"/>
        <w:left w:val="none" w:sz="0" w:space="0" w:color="auto"/>
        <w:bottom w:val="none" w:sz="0" w:space="0" w:color="auto"/>
        <w:right w:val="none" w:sz="0" w:space="0" w:color="auto"/>
      </w:divBdr>
    </w:div>
    <w:div w:id="1333265463">
      <w:bodyDiv w:val="1"/>
      <w:marLeft w:val="0"/>
      <w:marRight w:val="0"/>
      <w:marTop w:val="0"/>
      <w:marBottom w:val="0"/>
      <w:divBdr>
        <w:top w:val="none" w:sz="0" w:space="0" w:color="auto"/>
        <w:left w:val="none" w:sz="0" w:space="0" w:color="auto"/>
        <w:bottom w:val="none" w:sz="0" w:space="0" w:color="auto"/>
        <w:right w:val="none" w:sz="0" w:space="0" w:color="auto"/>
      </w:divBdr>
    </w:div>
    <w:div w:id="1373923375">
      <w:bodyDiv w:val="1"/>
      <w:marLeft w:val="0"/>
      <w:marRight w:val="0"/>
      <w:marTop w:val="0"/>
      <w:marBottom w:val="0"/>
      <w:divBdr>
        <w:top w:val="none" w:sz="0" w:space="0" w:color="auto"/>
        <w:left w:val="none" w:sz="0" w:space="0" w:color="auto"/>
        <w:bottom w:val="none" w:sz="0" w:space="0" w:color="auto"/>
        <w:right w:val="none" w:sz="0" w:space="0" w:color="auto"/>
      </w:divBdr>
    </w:div>
    <w:div w:id="1444039549">
      <w:bodyDiv w:val="1"/>
      <w:marLeft w:val="0"/>
      <w:marRight w:val="0"/>
      <w:marTop w:val="0"/>
      <w:marBottom w:val="0"/>
      <w:divBdr>
        <w:top w:val="none" w:sz="0" w:space="0" w:color="auto"/>
        <w:left w:val="none" w:sz="0" w:space="0" w:color="auto"/>
        <w:bottom w:val="none" w:sz="0" w:space="0" w:color="auto"/>
        <w:right w:val="none" w:sz="0" w:space="0" w:color="auto"/>
      </w:divBdr>
    </w:div>
    <w:div w:id="1444810884">
      <w:bodyDiv w:val="1"/>
      <w:marLeft w:val="0"/>
      <w:marRight w:val="0"/>
      <w:marTop w:val="0"/>
      <w:marBottom w:val="0"/>
      <w:divBdr>
        <w:top w:val="none" w:sz="0" w:space="0" w:color="auto"/>
        <w:left w:val="none" w:sz="0" w:space="0" w:color="auto"/>
        <w:bottom w:val="none" w:sz="0" w:space="0" w:color="auto"/>
        <w:right w:val="none" w:sz="0" w:space="0" w:color="auto"/>
      </w:divBdr>
    </w:div>
    <w:div w:id="1508442770">
      <w:bodyDiv w:val="1"/>
      <w:marLeft w:val="0"/>
      <w:marRight w:val="0"/>
      <w:marTop w:val="0"/>
      <w:marBottom w:val="0"/>
      <w:divBdr>
        <w:top w:val="none" w:sz="0" w:space="0" w:color="auto"/>
        <w:left w:val="none" w:sz="0" w:space="0" w:color="auto"/>
        <w:bottom w:val="none" w:sz="0" w:space="0" w:color="auto"/>
        <w:right w:val="none" w:sz="0" w:space="0" w:color="auto"/>
      </w:divBdr>
    </w:div>
    <w:div w:id="1521577667">
      <w:bodyDiv w:val="1"/>
      <w:marLeft w:val="0"/>
      <w:marRight w:val="0"/>
      <w:marTop w:val="0"/>
      <w:marBottom w:val="0"/>
      <w:divBdr>
        <w:top w:val="none" w:sz="0" w:space="0" w:color="auto"/>
        <w:left w:val="none" w:sz="0" w:space="0" w:color="auto"/>
        <w:bottom w:val="none" w:sz="0" w:space="0" w:color="auto"/>
        <w:right w:val="none" w:sz="0" w:space="0" w:color="auto"/>
      </w:divBdr>
    </w:div>
    <w:div w:id="1654678296">
      <w:bodyDiv w:val="1"/>
      <w:marLeft w:val="0"/>
      <w:marRight w:val="0"/>
      <w:marTop w:val="0"/>
      <w:marBottom w:val="0"/>
      <w:divBdr>
        <w:top w:val="none" w:sz="0" w:space="0" w:color="auto"/>
        <w:left w:val="none" w:sz="0" w:space="0" w:color="auto"/>
        <w:bottom w:val="none" w:sz="0" w:space="0" w:color="auto"/>
        <w:right w:val="none" w:sz="0" w:space="0" w:color="auto"/>
      </w:divBdr>
    </w:div>
    <w:div w:id="1693652526">
      <w:bodyDiv w:val="1"/>
      <w:marLeft w:val="0"/>
      <w:marRight w:val="0"/>
      <w:marTop w:val="0"/>
      <w:marBottom w:val="0"/>
      <w:divBdr>
        <w:top w:val="none" w:sz="0" w:space="0" w:color="auto"/>
        <w:left w:val="none" w:sz="0" w:space="0" w:color="auto"/>
        <w:bottom w:val="none" w:sz="0" w:space="0" w:color="auto"/>
        <w:right w:val="none" w:sz="0" w:space="0" w:color="auto"/>
      </w:divBdr>
    </w:div>
    <w:div w:id="1851404268">
      <w:bodyDiv w:val="1"/>
      <w:marLeft w:val="0"/>
      <w:marRight w:val="0"/>
      <w:marTop w:val="0"/>
      <w:marBottom w:val="0"/>
      <w:divBdr>
        <w:top w:val="none" w:sz="0" w:space="0" w:color="auto"/>
        <w:left w:val="none" w:sz="0" w:space="0" w:color="auto"/>
        <w:bottom w:val="none" w:sz="0" w:space="0" w:color="auto"/>
        <w:right w:val="none" w:sz="0" w:space="0" w:color="auto"/>
      </w:divBdr>
    </w:div>
    <w:div w:id="20598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tel:027%20436%2046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nno.ingerson@corelogic.co.nz" TargetMode="External"/><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RushA\AppData\Local\Microsoft\Windows\Temporary%20Internet%20Files\Content.Outlook\0LX94STN\rpmindex_31JAN2014%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NZ" sz="1600" b="1"/>
            </a:pPr>
            <a:r>
              <a:rPr lang="en-NZ" sz="1600" b="1"/>
              <a:t>NZ price index relative to peak</a:t>
            </a:r>
          </a:p>
        </c:rich>
      </c:tx>
      <c:layout/>
      <c:overlay val="1"/>
    </c:title>
    <c:plotArea>
      <c:layout>
        <c:manualLayout>
          <c:layoutTarget val="inner"/>
          <c:xMode val="edge"/>
          <c:yMode val="edge"/>
          <c:x val="0.12632704419218091"/>
          <c:y val="9.7138693625441946E-2"/>
          <c:w val="0.8400251557948486"/>
          <c:h val="0.77427931802643712"/>
        </c:manualLayout>
      </c:layout>
      <c:lineChart>
        <c:grouping val="standard"/>
        <c:ser>
          <c:idx val="0"/>
          <c:order val="0"/>
          <c:tx>
            <c:strRef>
              <c:f>'chart data'!$C$2</c:f>
              <c:strCache>
                <c:ptCount val="1"/>
                <c:pt idx="0">
                  <c:v>New Zealand </c:v>
                </c:pt>
              </c:strCache>
            </c:strRef>
          </c:tx>
          <c:spPr>
            <a:ln w="38100">
              <a:solidFill>
                <a:srgbClr val="FF9900"/>
              </a:solidFill>
              <a:prstDash val="solid"/>
            </a:ln>
          </c:spPr>
          <c:marker>
            <c:symbol val="none"/>
          </c:marker>
          <c:dPt>
            <c:idx val="48"/>
            <c:marker>
              <c:symbol val="circle"/>
              <c:size val="8"/>
              <c:spPr>
                <a:solidFill>
                  <a:srgbClr val="0000FF"/>
                </a:solidFill>
              </c:spPr>
            </c:marker>
          </c:dPt>
          <c:dPt>
            <c:idx val="60"/>
            <c:marker>
              <c:symbol val="circle"/>
              <c:size val="8"/>
              <c:spPr>
                <a:solidFill>
                  <a:srgbClr val="0000FF"/>
                </a:solidFill>
              </c:spPr>
            </c:marker>
          </c:dPt>
          <c:cat>
            <c:numRef>
              <c:f>'chart data'!$D$1:$BL$1</c:f>
              <c:numCache>
                <c:formatCode>d\/mm\/yyyy</c:formatCode>
                <c:ptCount val="61"/>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pt idx="12">
                  <c:v>40179</c:v>
                </c:pt>
                <c:pt idx="13">
                  <c:v>40210</c:v>
                </c:pt>
                <c:pt idx="14">
                  <c:v>40238</c:v>
                </c:pt>
                <c:pt idx="15">
                  <c:v>40269</c:v>
                </c:pt>
                <c:pt idx="16">
                  <c:v>40299</c:v>
                </c:pt>
                <c:pt idx="17">
                  <c:v>40330</c:v>
                </c:pt>
                <c:pt idx="18">
                  <c:v>40360</c:v>
                </c:pt>
                <c:pt idx="19">
                  <c:v>40391</c:v>
                </c:pt>
                <c:pt idx="20">
                  <c:v>40422</c:v>
                </c:pt>
                <c:pt idx="21">
                  <c:v>40452</c:v>
                </c:pt>
                <c:pt idx="22">
                  <c:v>40483</c:v>
                </c:pt>
                <c:pt idx="23">
                  <c:v>40513</c:v>
                </c:pt>
                <c:pt idx="24">
                  <c:v>40544</c:v>
                </c:pt>
                <c:pt idx="25">
                  <c:v>40575</c:v>
                </c:pt>
                <c:pt idx="26">
                  <c:v>40603</c:v>
                </c:pt>
                <c:pt idx="27">
                  <c:v>40634</c:v>
                </c:pt>
                <c:pt idx="28">
                  <c:v>40664</c:v>
                </c:pt>
                <c:pt idx="29">
                  <c:v>40695</c:v>
                </c:pt>
                <c:pt idx="30">
                  <c:v>40725</c:v>
                </c:pt>
                <c:pt idx="31">
                  <c:v>40756</c:v>
                </c:pt>
                <c:pt idx="32">
                  <c:v>40787</c:v>
                </c:pt>
                <c:pt idx="33">
                  <c:v>40817</c:v>
                </c:pt>
                <c:pt idx="34">
                  <c:v>40848</c:v>
                </c:pt>
                <c:pt idx="35">
                  <c:v>40878</c:v>
                </c:pt>
                <c:pt idx="36">
                  <c:v>40909</c:v>
                </c:pt>
                <c:pt idx="37">
                  <c:v>40940</c:v>
                </c:pt>
                <c:pt idx="38">
                  <c:v>40969</c:v>
                </c:pt>
                <c:pt idx="39">
                  <c:v>41000</c:v>
                </c:pt>
                <c:pt idx="40">
                  <c:v>41030</c:v>
                </c:pt>
                <c:pt idx="41">
                  <c:v>41061</c:v>
                </c:pt>
                <c:pt idx="42">
                  <c:v>41091</c:v>
                </c:pt>
                <c:pt idx="43">
                  <c:v>41122</c:v>
                </c:pt>
                <c:pt idx="44">
                  <c:v>41153</c:v>
                </c:pt>
                <c:pt idx="45">
                  <c:v>41183</c:v>
                </c:pt>
                <c:pt idx="46">
                  <c:v>41214</c:v>
                </c:pt>
                <c:pt idx="47">
                  <c:v>41244</c:v>
                </c:pt>
                <c:pt idx="48">
                  <c:v>41275</c:v>
                </c:pt>
                <c:pt idx="49">
                  <c:v>41306</c:v>
                </c:pt>
                <c:pt idx="50">
                  <c:v>41334</c:v>
                </c:pt>
                <c:pt idx="51">
                  <c:v>41365</c:v>
                </c:pt>
                <c:pt idx="52">
                  <c:v>41395</c:v>
                </c:pt>
                <c:pt idx="53">
                  <c:v>41426</c:v>
                </c:pt>
                <c:pt idx="54">
                  <c:v>41456</c:v>
                </c:pt>
                <c:pt idx="55">
                  <c:v>41487</c:v>
                </c:pt>
                <c:pt idx="56">
                  <c:v>41518</c:v>
                </c:pt>
                <c:pt idx="57">
                  <c:v>41548</c:v>
                </c:pt>
                <c:pt idx="58">
                  <c:v>41579</c:v>
                </c:pt>
                <c:pt idx="59">
                  <c:v>41609</c:v>
                </c:pt>
                <c:pt idx="60">
                  <c:v>41640</c:v>
                </c:pt>
              </c:numCache>
            </c:numRef>
          </c:cat>
          <c:val>
            <c:numRef>
              <c:f>'chart data'!$D$2:$BL$2</c:f>
              <c:numCache>
                <c:formatCode>0.0%</c:formatCode>
                <c:ptCount val="61"/>
                <c:pt idx="0">
                  <c:v>0.90700000000000003</c:v>
                </c:pt>
                <c:pt idx="1">
                  <c:v>0.89900000000000035</c:v>
                </c:pt>
                <c:pt idx="2">
                  <c:v>0.89900000000000035</c:v>
                </c:pt>
                <c:pt idx="3">
                  <c:v>0.90200000000000002</c:v>
                </c:pt>
                <c:pt idx="4">
                  <c:v>0.90500000000000003</c:v>
                </c:pt>
                <c:pt idx="5">
                  <c:v>0.90900000000000003</c:v>
                </c:pt>
                <c:pt idx="6">
                  <c:v>0.91500000000000004</c:v>
                </c:pt>
                <c:pt idx="7">
                  <c:v>0.92200000000000004</c:v>
                </c:pt>
                <c:pt idx="8">
                  <c:v>0.93100000000000005</c:v>
                </c:pt>
                <c:pt idx="9">
                  <c:v>0.94000000000000061</c:v>
                </c:pt>
                <c:pt idx="10">
                  <c:v>0.94499999999999995</c:v>
                </c:pt>
                <c:pt idx="11">
                  <c:v>0.95300000000000062</c:v>
                </c:pt>
                <c:pt idx="12">
                  <c:v>0.95900000000000063</c:v>
                </c:pt>
                <c:pt idx="13">
                  <c:v>0.96200000000000063</c:v>
                </c:pt>
                <c:pt idx="14">
                  <c:v>0.96200000000000063</c:v>
                </c:pt>
                <c:pt idx="15">
                  <c:v>0.96100000000000063</c:v>
                </c:pt>
                <c:pt idx="16">
                  <c:v>0.95900000000000063</c:v>
                </c:pt>
                <c:pt idx="17">
                  <c:v>0.95900000000000063</c:v>
                </c:pt>
                <c:pt idx="18">
                  <c:v>0.95700000000000063</c:v>
                </c:pt>
                <c:pt idx="19">
                  <c:v>0.95300000000000062</c:v>
                </c:pt>
                <c:pt idx="20">
                  <c:v>0.94899999999999995</c:v>
                </c:pt>
                <c:pt idx="21">
                  <c:v>0.94799999999999995</c:v>
                </c:pt>
                <c:pt idx="22">
                  <c:v>0.94499999999999995</c:v>
                </c:pt>
                <c:pt idx="23">
                  <c:v>0.94599999999999995</c:v>
                </c:pt>
                <c:pt idx="24">
                  <c:v>0.94599999999999995</c:v>
                </c:pt>
                <c:pt idx="25">
                  <c:v>0.94499999999999995</c:v>
                </c:pt>
                <c:pt idx="26">
                  <c:v>0.94399999999999995</c:v>
                </c:pt>
                <c:pt idx="27">
                  <c:v>0.94599999999999995</c:v>
                </c:pt>
                <c:pt idx="28">
                  <c:v>0.95100000000000062</c:v>
                </c:pt>
                <c:pt idx="29">
                  <c:v>0.95500000000000063</c:v>
                </c:pt>
                <c:pt idx="30">
                  <c:v>0.95600000000000063</c:v>
                </c:pt>
                <c:pt idx="31">
                  <c:v>0.95800000000000063</c:v>
                </c:pt>
                <c:pt idx="32">
                  <c:v>0.96100000000000063</c:v>
                </c:pt>
                <c:pt idx="33">
                  <c:v>0.95900000000000063</c:v>
                </c:pt>
                <c:pt idx="34">
                  <c:v>0.96500000000000064</c:v>
                </c:pt>
                <c:pt idx="35">
                  <c:v>0.96900000000000064</c:v>
                </c:pt>
                <c:pt idx="36">
                  <c:v>0.97100000000000053</c:v>
                </c:pt>
                <c:pt idx="37">
                  <c:v>0.97100000000000053</c:v>
                </c:pt>
                <c:pt idx="38">
                  <c:v>0.97300000000000053</c:v>
                </c:pt>
                <c:pt idx="39">
                  <c:v>0.97300000000000053</c:v>
                </c:pt>
                <c:pt idx="40">
                  <c:v>0.98299999999999998</c:v>
                </c:pt>
                <c:pt idx="41">
                  <c:v>0.99</c:v>
                </c:pt>
                <c:pt idx="42">
                  <c:v>0.99399999999999999</c:v>
                </c:pt>
                <c:pt idx="43">
                  <c:v>0.999</c:v>
                </c:pt>
                <c:pt idx="44">
                  <c:v>1.0069999999999977</c:v>
                </c:pt>
                <c:pt idx="45">
                  <c:v>1.014</c:v>
                </c:pt>
                <c:pt idx="46">
                  <c:v>1.0169999999999977</c:v>
                </c:pt>
                <c:pt idx="47">
                  <c:v>1.0229999999999977</c:v>
                </c:pt>
                <c:pt idx="48">
                  <c:v>1.0289999999999977</c:v>
                </c:pt>
                <c:pt idx="49">
                  <c:v>1.0349999999999977</c:v>
                </c:pt>
                <c:pt idx="50">
                  <c:v>1.0349999999999977</c:v>
                </c:pt>
                <c:pt idx="51">
                  <c:v>1.0429999999999979</c:v>
                </c:pt>
                <c:pt idx="52">
                  <c:v>1.052</c:v>
                </c:pt>
                <c:pt idx="53">
                  <c:v>1.0649999999999979</c:v>
                </c:pt>
                <c:pt idx="54">
                  <c:v>1.075</c:v>
                </c:pt>
                <c:pt idx="55">
                  <c:v>1.083</c:v>
                </c:pt>
                <c:pt idx="56">
                  <c:v>1.0920000000000001</c:v>
                </c:pt>
                <c:pt idx="57">
                  <c:v>1.1040000000000001</c:v>
                </c:pt>
                <c:pt idx="58">
                  <c:v>1.1100000000000001</c:v>
                </c:pt>
                <c:pt idx="59">
                  <c:v>1.125</c:v>
                </c:pt>
                <c:pt idx="60">
                  <c:v>1.1279999999999977</c:v>
                </c:pt>
              </c:numCache>
            </c:numRef>
          </c:val>
        </c:ser>
        <c:marker val="1"/>
        <c:axId val="113550848"/>
        <c:axId val="113552384"/>
      </c:lineChart>
      <c:dateAx>
        <c:axId val="113550848"/>
        <c:scaling>
          <c:orientation val="minMax"/>
        </c:scaling>
        <c:axPos val="b"/>
        <c:numFmt formatCode="mmm\ yy" sourceLinked="0"/>
        <c:tickLblPos val="nextTo"/>
        <c:spPr>
          <a:ln w="3175">
            <a:solidFill>
              <a:srgbClr val="000000"/>
            </a:solidFill>
            <a:prstDash val="solid"/>
          </a:ln>
        </c:spPr>
        <c:txPr>
          <a:bodyPr rot="-2700000" vert="horz"/>
          <a:lstStyle/>
          <a:p>
            <a:pPr>
              <a:defRPr lang="en-NZ"/>
            </a:pPr>
            <a:endParaRPr lang="en-US"/>
          </a:p>
        </c:txPr>
        <c:crossAx val="113552384"/>
        <c:crosses val="autoZero"/>
        <c:auto val="1"/>
        <c:lblOffset val="100"/>
        <c:majorUnit val="3"/>
        <c:minorUnit val="3"/>
      </c:dateAx>
      <c:valAx>
        <c:axId val="113552384"/>
        <c:scaling>
          <c:orientation val="minMax"/>
          <c:max val="1.1500000000000001"/>
          <c:min val="0.85000000000000064"/>
        </c:scaling>
        <c:axPos val="l"/>
        <c:majorGridlines>
          <c:spPr>
            <a:ln w="3175">
              <a:solidFill>
                <a:srgbClr val="C0C0C0"/>
              </a:solidFill>
              <a:prstDash val="solid"/>
            </a:ln>
          </c:spPr>
        </c:majorGridlines>
        <c:title>
          <c:tx>
            <c:rich>
              <a:bodyPr/>
              <a:lstStyle/>
              <a:p>
                <a:pPr>
                  <a:defRPr lang="en-NZ"/>
                </a:pPr>
                <a:r>
                  <a:rPr lang="en-NZ"/>
                  <a:t>QV residential price index relative to market peak</a:t>
                </a:r>
              </a:p>
            </c:rich>
          </c:tx>
          <c:layout>
            <c:manualLayout>
              <c:xMode val="edge"/>
              <c:yMode val="edge"/>
              <c:x val="1.1418775605079191E-2"/>
              <c:y val="0.13829881558923274"/>
            </c:manualLayout>
          </c:layout>
        </c:title>
        <c:numFmt formatCode="0%" sourceLinked="0"/>
        <c:tickLblPos val="nextTo"/>
        <c:spPr>
          <a:ln w="3175">
            <a:solidFill>
              <a:srgbClr val="000000"/>
            </a:solidFill>
            <a:prstDash val="solid"/>
          </a:ln>
        </c:spPr>
        <c:txPr>
          <a:bodyPr rot="0" vert="horz"/>
          <a:lstStyle/>
          <a:p>
            <a:pPr>
              <a:defRPr lang="en-NZ"/>
            </a:pPr>
            <a:endParaRPr lang="en-US"/>
          </a:p>
        </c:txPr>
        <c:crossAx val="113550848"/>
        <c:crosses val="autoZero"/>
        <c:crossBetween val="midCat"/>
        <c:majorUnit val="5.0000000000000037E-2"/>
      </c:valAx>
      <c:spPr>
        <a:noFill/>
        <a:ln w="25400">
          <a:noFill/>
        </a:ln>
      </c:spPr>
    </c:plotArea>
    <c:plotVisOnly val="1"/>
    <c:dispBlanksAs val="gap"/>
  </c:chart>
  <c:spPr>
    <a:solidFill>
      <a:srgbClr val="FFFFFF"/>
    </a:solidFill>
    <a:ln w="3175">
      <a:noFill/>
      <a:prstDash val="solid"/>
    </a:ln>
  </c:spPr>
  <c:txPr>
    <a:bodyPr/>
    <a:lstStyle/>
    <a:p>
      <a:pPr>
        <a:defRPr sz="900" b="0" i="0" u="none" strike="noStrike" baseline="0">
          <a:solidFill>
            <a:srgbClr val="000000"/>
          </a:solidFill>
          <a:latin typeface="+mn-lt"/>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4578F-6507-4991-BC24-F64B65EB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ingersonj</dc:creator>
  <cp:lastModifiedBy>ingersonj</cp:lastModifiedBy>
  <cp:revision>3</cp:revision>
  <cp:lastPrinted>2013-02-07T21:21:00Z</cp:lastPrinted>
  <dcterms:created xsi:type="dcterms:W3CDTF">2014-02-09T22:46:00Z</dcterms:created>
  <dcterms:modified xsi:type="dcterms:W3CDTF">2014-02-09T22:52:00Z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A1115716</vt:lpwstr>
  </property>
  <property fmtid="{D5CDD505-2E9C-101B-9397-08002B2CF9AE}" pid="4" name="Objective-Title">
    <vt:lpwstr>QV co nz release - October 2013 Final</vt:lpwstr>
  </property>
</Properties>
</file>