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5073" w14:textId="30EF8F06" w:rsidR="001611CF" w:rsidRPr="00CD5EB8" w:rsidRDefault="001611CF" w:rsidP="001611C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noProof/>
          <w:szCs w:val="22"/>
          <w:lang w:val="en-US"/>
        </w:rPr>
      </w:pPr>
      <w:bookmarkStart w:id="0" w:name="_GoBack"/>
      <w:bookmarkEnd w:id="0"/>
      <w:r w:rsidRPr="00E52141">
        <w:rPr>
          <w:rFonts w:asciiTheme="minorHAnsi" w:hAnsiTheme="minorHAnsi" w:cstheme="minorHAnsi"/>
          <w:noProof/>
          <w:szCs w:val="22"/>
          <w:highlight w:val="yellow"/>
          <w:lang w:eastAsia="en-NZ"/>
        </w:rPr>
        <w:drawing>
          <wp:anchor distT="0" distB="0" distL="114300" distR="114300" simplePos="0" relativeHeight="251659264" behindDoc="1" locked="0" layoutInCell="1" allowOverlap="1" wp14:anchorId="31F83D17" wp14:editId="1B4C79B1">
            <wp:simplePos x="0" y="0"/>
            <wp:positionH relativeFrom="column">
              <wp:posOffset>3568065</wp:posOffset>
            </wp:positionH>
            <wp:positionV relativeFrom="paragraph">
              <wp:posOffset>-98287</wp:posOffset>
            </wp:positionV>
            <wp:extent cx="2154804" cy="605968"/>
            <wp:effectExtent l="0" t="0" r="0" b="3810"/>
            <wp:wrapNone/>
            <wp:docPr id="1" name="Picture 1" descr="jobs 201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 201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4" cy="605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B8">
        <w:rPr>
          <w:rFonts w:asciiTheme="minorHAnsi" w:hAnsiTheme="minorHAnsi" w:cstheme="minorHAnsi"/>
          <w:b/>
          <w:noProof/>
          <w:szCs w:val="22"/>
          <w:lang w:val="en-US"/>
        </w:rPr>
        <w:t>MEDIA RELEASE</w:t>
      </w:r>
    </w:p>
    <w:p w14:paraId="5B321B0D" w14:textId="77777777" w:rsidR="001611CF" w:rsidRPr="00CD5EB8" w:rsidRDefault="00F05A74" w:rsidP="001611C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noProof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Cs w:val="22"/>
          <w:lang w:val="en-US"/>
        </w:rPr>
        <w:t xml:space="preserve">9 </w:t>
      </w:r>
      <w:r w:rsidR="0049179D">
        <w:rPr>
          <w:rFonts w:asciiTheme="minorHAnsi" w:hAnsiTheme="minorHAnsi" w:cstheme="minorHAnsi"/>
          <w:b/>
          <w:noProof/>
          <w:szCs w:val="22"/>
          <w:lang w:val="en-US"/>
        </w:rPr>
        <w:t>Jan</w:t>
      </w:r>
      <w:r>
        <w:rPr>
          <w:rFonts w:asciiTheme="minorHAnsi" w:hAnsiTheme="minorHAnsi" w:cstheme="minorHAnsi"/>
          <w:b/>
          <w:noProof/>
          <w:szCs w:val="22"/>
          <w:lang w:val="en-US"/>
        </w:rPr>
        <w:t>uary</w:t>
      </w:r>
      <w:r w:rsidR="0049179D">
        <w:rPr>
          <w:rFonts w:asciiTheme="minorHAnsi" w:hAnsiTheme="minorHAnsi" w:cstheme="minorHAnsi"/>
          <w:b/>
          <w:noProof/>
          <w:szCs w:val="22"/>
          <w:lang w:val="en-US"/>
        </w:rPr>
        <w:t xml:space="preserve"> 2014</w:t>
      </w:r>
    </w:p>
    <w:p w14:paraId="2C44A24F" w14:textId="77777777" w:rsidR="001611CF" w:rsidRPr="00CD5EB8" w:rsidRDefault="001611CF" w:rsidP="001611C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60136958" w14:textId="77777777" w:rsidR="001611CF" w:rsidRPr="00CD5EB8" w:rsidRDefault="001611CF" w:rsidP="001611C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3BD3B18" w14:textId="35AB49C4" w:rsidR="001611CF" w:rsidRPr="00CD5EB8" w:rsidRDefault="00170192" w:rsidP="001611C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</w:t>
      </w:r>
      <w:r w:rsidR="0000171F">
        <w:rPr>
          <w:rFonts w:asciiTheme="minorHAnsi" w:hAnsiTheme="minorHAnsi" w:cstheme="minorHAnsi"/>
          <w:b/>
          <w:sz w:val="32"/>
          <w:szCs w:val="32"/>
        </w:rPr>
        <w:t>ob market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B356B">
        <w:rPr>
          <w:rFonts w:asciiTheme="minorHAnsi" w:hAnsiTheme="minorHAnsi" w:cstheme="minorHAnsi"/>
          <w:b/>
          <w:sz w:val="32"/>
          <w:szCs w:val="32"/>
        </w:rPr>
        <w:t>shows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B356B">
        <w:rPr>
          <w:rFonts w:asciiTheme="minorHAnsi" w:hAnsiTheme="minorHAnsi" w:cstheme="minorHAnsi"/>
          <w:b/>
          <w:sz w:val="32"/>
          <w:szCs w:val="32"/>
        </w:rPr>
        <w:t>continuing health</w:t>
      </w:r>
    </w:p>
    <w:p w14:paraId="6D90F7A9" w14:textId="77777777" w:rsidR="001611CF" w:rsidRPr="0039008A" w:rsidRDefault="001611CF">
      <w:pPr>
        <w:rPr>
          <w:rFonts w:asciiTheme="minorHAnsi" w:hAnsiTheme="minorHAnsi" w:cstheme="minorHAnsi"/>
          <w:sz w:val="22"/>
          <w:szCs w:val="22"/>
        </w:rPr>
      </w:pPr>
    </w:p>
    <w:p w14:paraId="6D79F678" w14:textId="77777777" w:rsidR="00673A78" w:rsidRPr="0039008A" w:rsidRDefault="001611CF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 w:rsidRPr="0039008A">
        <w:rPr>
          <w:rFonts w:asciiTheme="minorHAnsi" w:hAnsiTheme="minorHAnsi" w:cstheme="minorHAnsi"/>
          <w:sz w:val="22"/>
          <w:szCs w:val="22"/>
        </w:rPr>
        <w:t xml:space="preserve">The New Zealand </w:t>
      </w:r>
      <w:r w:rsidR="0000171F">
        <w:rPr>
          <w:rFonts w:asciiTheme="minorHAnsi" w:hAnsiTheme="minorHAnsi" w:cstheme="minorHAnsi"/>
          <w:sz w:val="22"/>
          <w:szCs w:val="22"/>
        </w:rPr>
        <w:t>job</w:t>
      </w:r>
      <w:r w:rsidRPr="0039008A">
        <w:rPr>
          <w:rFonts w:asciiTheme="minorHAnsi" w:hAnsiTheme="minorHAnsi" w:cstheme="minorHAnsi"/>
          <w:sz w:val="22"/>
          <w:szCs w:val="22"/>
        </w:rPr>
        <w:t xml:space="preserve"> market </w:t>
      </w:r>
      <w:r w:rsidR="003E6B75">
        <w:rPr>
          <w:rFonts w:asciiTheme="minorHAnsi" w:hAnsiTheme="minorHAnsi" w:cstheme="minorHAnsi"/>
          <w:sz w:val="22"/>
          <w:szCs w:val="22"/>
        </w:rPr>
        <w:t xml:space="preserve">continues </w:t>
      </w:r>
      <w:r w:rsidR="0000171F">
        <w:rPr>
          <w:rFonts w:asciiTheme="minorHAnsi" w:hAnsiTheme="minorHAnsi" w:cstheme="minorHAnsi"/>
          <w:sz w:val="22"/>
          <w:szCs w:val="22"/>
        </w:rPr>
        <w:t>to go from strength to strength</w:t>
      </w:r>
      <w:r w:rsidR="00D54E3A">
        <w:rPr>
          <w:rFonts w:asciiTheme="minorHAnsi" w:hAnsiTheme="minorHAnsi" w:cstheme="minorHAnsi"/>
          <w:sz w:val="22"/>
          <w:szCs w:val="22"/>
        </w:rPr>
        <w:t xml:space="preserve">, </w:t>
      </w:r>
      <w:r w:rsidRPr="0039008A">
        <w:rPr>
          <w:rFonts w:asciiTheme="minorHAnsi" w:hAnsiTheme="minorHAnsi" w:cstheme="minorHAnsi"/>
          <w:sz w:val="22"/>
          <w:szCs w:val="22"/>
        </w:rPr>
        <w:t xml:space="preserve">according to an analysis of over </w:t>
      </w:r>
      <w:r w:rsidR="00267A26" w:rsidRPr="00267A26">
        <w:rPr>
          <w:rFonts w:asciiTheme="minorHAnsi" w:hAnsiTheme="minorHAnsi" w:cstheme="minorHAnsi"/>
          <w:sz w:val="22"/>
          <w:szCs w:val="22"/>
        </w:rPr>
        <w:t>50,000</w:t>
      </w:r>
      <w:r w:rsidRPr="00267A26">
        <w:rPr>
          <w:rFonts w:asciiTheme="minorHAnsi" w:hAnsiTheme="minorHAnsi" w:cstheme="minorHAnsi"/>
          <w:sz w:val="22"/>
          <w:szCs w:val="22"/>
        </w:rPr>
        <w:t xml:space="preserve"> </w:t>
      </w:r>
      <w:r w:rsidRPr="0039008A">
        <w:rPr>
          <w:rFonts w:asciiTheme="minorHAnsi" w:hAnsiTheme="minorHAnsi" w:cstheme="minorHAnsi"/>
          <w:sz w:val="22"/>
          <w:szCs w:val="22"/>
        </w:rPr>
        <w:t>roles listed on Trade Me Jobs</w:t>
      </w:r>
      <w:r w:rsidR="00F05A74">
        <w:rPr>
          <w:rFonts w:asciiTheme="minorHAnsi" w:hAnsiTheme="minorHAnsi" w:cstheme="minorHAnsi"/>
          <w:sz w:val="22"/>
          <w:szCs w:val="22"/>
        </w:rPr>
        <w:t xml:space="preserve"> in the final quarter of 2013</w:t>
      </w:r>
      <w:r w:rsidRPr="003900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F13EF8" w14:textId="77777777" w:rsidR="001611CF" w:rsidRPr="0039008A" w:rsidRDefault="001611CF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9A728" w14:textId="7A94F13F" w:rsidR="00F05A74" w:rsidRDefault="001611CF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 w:rsidRPr="0039008A">
        <w:rPr>
          <w:rFonts w:asciiTheme="minorHAnsi" w:hAnsiTheme="minorHAnsi" w:cstheme="minorHAnsi"/>
          <w:sz w:val="22"/>
          <w:szCs w:val="22"/>
        </w:rPr>
        <w:t xml:space="preserve">Head of Trade Me Jobs, Peter Osborne, said </w:t>
      </w:r>
      <w:r w:rsidR="00391E01" w:rsidRPr="0039008A">
        <w:rPr>
          <w:rFonts w:asciiTheme="minorHAnsi" w:hAnsiTheme="minorHAnsi" w:cstheme="minorHAnsi"/>
          <w:sz w:val="22"/>
          <w:szCs w:val="22"/>
        </w:rPr>
        <w:t xml:space="preserve">the number of job listings </w:t>
      </w:r>
      <w:r w:rsidR="00CD5EB8" w:rsidRPr="0039008A">
        <w:rPr>
          <w:rFonts w:asciiTheme="minorHAnsi" w:hAnsiTheme="minorHAnsi" w:cstheme="minorHAnsi"/>
          <w:sz w:val="22"/>
          <w:szCs w:val="22"/>
        </w:rPr>
        <w:t>increased</w:t>
      </w:r>
      <w:r w:rsidR="004B4F49" w:rsidRPr="0039008A">
        <w:rPr>
          <w:rFonts w:asciiTheme="minorHAnsi" w:hAnsiTheme="minorHAnsi" w:cstheme="minorHAnsi"/>
          <w:sz w:val="22"/>
          <w:szCs w:val="22"/>
        </w:rPr>
        <w:t xml:space="preserve"> </w:t>
      </w:r>
      <w:r w:rsidR="009F5AA1">
        <w:rPr>
          <w:rFonts w:asciiTheme="minorHAnsi" w:hAnsiTheme="minorHAnsi" w:cstheme="minorHAnsi"/>
          <w:sz w:val="22"/>
          <w:szCs w:val="22"/>
        </w:rPr>
        <w:t>17</w:t>
      </w:r>
      <w:r w:rsidR="00267A26">
        <w:rPr>
          <w:rFonts w:asciiTheme="minorHAnsi" w:hAnsiTheme="minorHAnsi" w:cstheme="minorHAnsi"/>
          <w:sz w:val="22"/>
          <w:szCs w:val="22"/>
        </w:rPr>
        <w:t>%</w:t>
      </w:r>
      <w:r w:rsidRPr="0039008A">
        <w:rPr>
          <w:rFonts w:asciiTheme="minorHAnsi" w:hAnsiTheme="minorHAnsi" w:cstheme="minorHAnsi"/>
          <w:sz w:val="22"/>
          <w:szCs w:val="22"/>
        </w:rPr>
        <w:t xml:space="preserve"> over the same period last year, </w:t>
      </w:r>
      <w:r w:rsidR="009F5AA1">
        <w:rPr>
          <w:rFonts w:asciiTheme="minorHAnsi" w:hAnsiTheme="minorHAnsi" w:cstheme="minorHAnsi"/>
          <w:sz w:val="22"/>
          <w:szCs w:val="22"/>
        </w:rPr>
        <w:t xml:space="preserve">with many employers predicting a healthy job market </w:t>
      </w:r>
      <w:r w:rsidR="008D1015">
        <w:rPr>
          <w:rFonts w:asciiTheme="minorHAnsi" w:hAnsiTheme="minorHAnsi" w:cstheme="minorHAnsi"/>
          <w:sz w:val="22"/>
          <w:szCs w:val="22"/>
        </w:rPr>
        <w:t xml:space="preserve">is </w:t>
      </w:r>
      <w:r w:rsidR="009F5AA1">
        <w:rPr>
          <w:rFonts w:asciiTheme="minorHAnsi" w:hAnsiTheme="minorHAnsi" w:cstheme="minorHAnsi"/>
          <w:sz w:val="22"/>
          <w:szCs w:val="22"/>
        </w:rPr>
        <w:t xml:space="preserve">in </w:t>
      </w:r>
      <w:r w:rsidR="00E02955">
        <w:rPr>
          <w:rFonts w:asciiTheme="minorHAnsi" w:hAnsiTheme="minorHAnsi" w:cstheme="minorHAnsi"/>
          <w:sz w:val="22"/>
          <w:szCs w:val="22"/>
        </w:rPr>
        <w:t xml:space="preserve">store for </w:t>
      </w:r>
      <w:r w:rsidR="009F5AA1">
        <w:rPr>
          <w:rFonts w:asciiTheme="minorHAnsi" w:hAnsiTheme="minorHAnsi" w:cstheme="minorHAnsi"/>
          <w:sz w:val="22"/>
          <w:szCs w:val="22"/>
        </w:rPr>
        <w:t>2014</w:t>
      </w:r>
      <w:r w:rsidRPr="003900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5E7522" w14:textId="77777777" w:rsidR="00F05A74" w:rsidRDefault="00F05A74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07DC2" w14:textId="0FEDA1C1" w:rsidR="00B65B64" w:rsidRPr="008563D8" w:rsidRDefault="001611CF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 w:rsidRPr="0039008A">
        <w:rPr>
          <w:rFonts w:asciiTheme="minorHAnsi" w:hAnsiTheme="minorHAnsi" w:cstheme="minorHAnsi"/>
          <w:sz w:val="22"/>
          <w:szCs w:val="22"/>
        </w:rPr>
        <w:t>“</w:t>
      </w:r>
      <w:r w:rsidR="00F05A74">
        <w:rPr>
          <w:rFonts w:asciiTheme="minorHAnsi" w:hAnsiTheme="minorHAnsi" w:cstheme="minorHAnsi"/>
          <w:sz w:val="22"/>
          <w:szCs w:val="22"/>
        </w:rPr>
        <w:t>W</w:t>
      </w:r>
      <w:r w:rsidR="00E02955">
        <w:rPr>
          <w:rFonts w:asciiTheme="minorHAnsi" w:hAnsiTheme="minorHAnsi" w:cstheme="minorHAnsi"/>
          <w:sz w:val="22"/>
          <w:szCs w:val="22"/>
        </w:rPr>
        <w:t xml:space="preserve">e saw a real patchwork market </w:t>
      </w:r>
      <w:r w:rsidR="00047519">
        <w:rPr>
          <w:rFonts w:asciiTheme="minorHAnsi" w:hAnsiTheme="minorHAnsi" w:cstheme="minorHAnsi"/>
          <w:sz w:val="22"/>
          <w:szCs w:val="22"/>
        </w:rPr>
        <w:t xml:space="preserve">during the first half of </w:t>
      </w:r>
      <w:r w:rsidR="00F05A74">
        <w:rPr>
          <w:rFonts w:asciiTheme="minorHAnsi" w:hAnsiTheme="minorHAnsi" w:cstheme="minorHAnsi"/>
          <w:sz w:val="22"/>
          <w:szCs w:val="22"/>
        </w:rPr>
        <w:t xml:space="preserve">2013 </w:t>
      </w:r>
      <w:r w:rsidR="00E02955">
        <w:rPr>
          <w:rFonts w:asciiTheme="minorHAnsi" w:hAnsiTheme="minorHAnsi" w:cstheme="minorHAnsi"/>
          <w:sz w:val="22"/>
          <w:szCs w:val="22"/>
        </w:rPr>
        <w:t>with grow</w:t>
      </w:r>
      <w:r w:rsidR="00F05A74">
        <w:rPr>
          <w:rFonts w:asciiTheme="minorHAnsi" w:hAnsiTheme="minorHAnsi" w:cstheme="minorHAnsi"/>
          <w:sz w:val="22"/>
          <w:szCs w:val="22"/>
        </w:rPr>
        <w:t xml:space="preserve">th </w:t>
      </w:r>
      <w:r w:rsidR="00E02955">
        <w:rPr>
          <w:rFonts w:asciiTheme="minorHAnsi" w:hAnsiTheme="minorHAnsi" w:cstheme="minorHAnsi"/>
          <w:sz w:val="22"/>
          <w:szCs w:val="22"/>
        </w:rPr>
        <w:t>in</w:t>
      </w:r>
      <w:r w:rsidR="0000171F">
        <w:rPr>
          <w:rFonts w:asciiTheme="minorHAnsi" w:hAnsiTheme="minorHAnsi" w:cstheme="minorHAnsi"/>
          <w:sz w:val="22"/>
          <w:szCs w:val="22"/>
        </w:rPr>
        <w:t xml:space="preserve"> jo</w:t>
      </w:r>
      <w:r w:rsidR="00E02955">
        <w:rPr>
          <w:rFonts w:asciiTheme="minorHAnsi" w:hAnsiTheme="minorHAnsi" w:cstheme="minorHAnsi"/>
          <w:sz w:val="22"/>
          <w:szCs w:val="22"/>
        </w:rPr>
        <w:t>b opportunities in</w:t>
      </w:r>
      <w:r w:rsidR="00047519">
        <w:rPr>
          <w:rFonts w:asciiTheme="minorHAnsi" w:hAnsiTheme="minorHAnsi" w:cstheme="minorHAnsi"/>
          <w:sz w:val="22"/>
          <w:szCs w:val="22"/>
        </w:rPr>
        <w:t xml:space="preserve"> some regions, notably Auckland,</w:t>
      </w:r>
      <w:r w:rsidR="00E02955">
        <w:rPr>
          <w:rFonts w:asciiTheme="minorHAnsi" w:hAnsiTheme="minorHAnsi" w:cstheme="minorHAnsi"/>
          <w:sz w:val="22"/>
          <w:szCs w:val="22"/>
        </w:rPr>
        <w:t xml:space="preserve"> </w:t>
      </w:r>
      <w:r w:rsidR="0000171F">
        <w:rPr>
          <w:rFonts w:asciiTheme="minorHAnsi" w:hAnsiTheme="minorHAnsi" w:cstheme="minorHAnsi"/>
          <w:sz w:val="22"/>
          <w:szCs w:val="22"/>
        </w:rPr>
        <w:t xml:space="preserve">Canterbury </w:t>
      </w:r>
      <w:r w:rsidR="00E02955">
        <w:rPr>
          <w:rFonts w:asciiTheme="minorHAnsi" w:hAnsiTheme="minorHAnsi" w:cstheme="minorHAnsi"/>
          <w:sz w:val="22"/>
          <w:szCs w:val="22"/>
        </w:rPr>
        <w:t>and Waikato</w:t>
      </w:r>
      <w:r w:rsidR="00047519">
        <w:rPr>
          <w:rFonts w:asciiTheme="minorHAnsi" w:hAnsiTheme="minorHAnsi" w:cstheme="minorHAnsi"/>
          <w:sz w:val="22"/>
          <w:szCs w:val="22"/>
        </w:rPr>
        <w:t>,</w:t>
      </w:r>
      <w:r w:rsidR="00E02955">
        <w:rPr>
          <w:rFonts w:asciiTheme="minorHAnsi" w:hAnsiTheme="minorHAnsi" w:cstheme="minorHAnsi"/>
          <w:sz w:val="22"/>
          <w:szCs w:val="22"/>
        </w:rPr>
        <w:t xml:space="preserve"> </w:t>
      </w:r>
      <w:r w:rsidR="0000171F">
        <w:rPr>
          <w:rFonts w:asciiTheme="minorHAnsi" w:hAnsiTheme="minorHAnsi" w:cstheme="minorHAnsi"/>
          <w:sz w:val="22"/>
          <w:szCs w:val="22"/>
        </w:rPr>
        <w:t>but mixed</w:t>
      </w:r>
      <w:r w:rsidR="00E02955">
        <w:rPr>
          <w:rFonts w:asciiTheme="minorHAnsi" w:hAnsiTheme="minorHAnsi" w:cstheme="minorHAnsi"/>
          <w:sz w:val="22"/>
          <w:szCs w:val="22"/>
        </w:rPr>
        <w:t xml:space="preserve"> results elsewhere</w:t>
      </w:r>
      <w:r w:rsidR="00F05A74">
        <w:rPr>
          <w:rFonts w:asciiTheme="minorHAnsi" w:hAnsiTheme="minorHAnsi" w:cstheme="minorHAnsi"/>
          <w:sz w:val="22"/>
          <w:szCs w:val="22"/>
        </w:rPr>
        <w:t>,” he said. “I</w:t>
      </w:r>
      <w:r w:rsidR="00E02955">
        <w:rPr>
          <w:rFonts w:asciiTheme="minorHAnsi" w:hAnsiTheme="minorHAnsi" w:cstheme="minorHAnsi"/>
          <w:sz w:val="22"/>
          <w:szCs w:val="22"/>
        </w:rPr>
        <w:t>n the</w:t>
      </w:r>
      <w:r w:rsidR="00047519">
        <w:rPr>
          <w:rFonts w:asciiTheme="minorHAnsi" w:hAnsiTheme="minorHAnsi" w:cstheme="minorHAnsi"/>
          <w:sz w:val="22"/>
          <w:szCs w:val="22"/>
        </w:rPr>
        <w:t xml:space="preserve"> </w:t>
      </w:r>
      <w:r w:rsidR="00F05A74">
        <w:rPr>
          <w:rFonts w:asciiTheme="minorHAnsi" w:hAnsiTheme="minorHAnsi" w:cstheme="minorHAnsi"/>
          <w:sz w:val="22"/>
          <w:szCs w:val="22"/>
        </w:rPr>
        <w:t xml:space="preserve">second </w:t>
      </w:r>
      <w:r w:rsidR="00047519">
        <w:rPr>
          <w:rFonts w:asciiTheme="minorHAnsi" w:hAnsiTheme="minorHAnsi" w:cstheme="minorHAnsi"/>
          <w:sz w:val="22"/>
          <w:szCs w:val="22"/>
        </w:rPr>
        <w:t xml:space="preserve">half of </w:t>
      </w:r>
      <w:r w:rsidR="00F05A74">
        <w:rPr>
          <w:rFonts w:asciiTheme="minorHAnsi" w:hAnsiTheme="minorHAnsi" w:cstheme="minorHAnsi"/>
          <w:sz w:val="22"/>
          <w:szCs w:val="22"/>
        </w:rPr>
        <w:t>the year,</w:t>
      </w:r>
      <w:r w:rsidR="00047519">
        <w:rPr>
          <w:rFonts w:asciiTheme="minorHAnsi" w:hAnsiTheme="minorHAnsi" w:cstheme="minorHAnsi"/>
          <w:sz w:val="22"/>
          <w:szCs w:val="22"/>
        </w:rPr>
        <w:t xml:space="preserve"> a more buoyant economy shone through with Wellington and most other regions joining the party to finish</w:t>
      </w:r>
      <w:r w:rsidR="00F05A74">
        <w:rPr>
          <w:rFonts w:asciiTheme="minorHAnsi" w:hAnsiTheme="minorHAnsi" w:cstheme="minorHAnsi"/>
          <w:sz w:val="22"/>
          <w:szCs w:val="22"/>
        </w:rPr>
        <w:t xml:space="preserve"> 2013 </w:t>
      </w:r>
      <w:r w:rsidR="00047519">
        <w:rPr>
          <w:rFonts w:asciiTheme="minorHAnsi" w:hAnsiTheme="minorHAnsi" w:cstheme="minorHAnsi"/>
          <w:sz w:val="22"/>
          <w:szCs w:val="22"/>
        </w:rPr>
        <w:t>on a real high.”</w:t>
      </w:r>
    </w:p>
    <w:p w14:paraId="06A53E3E" w14:textId="77777777" w:rsidR="008563D8" w:rsidRPr="0039008A" w:rsidRDefault="008563D8" w:rsidP="008563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1AFBB" w14:textId="5F801FAC" w:rsidR="008563D8" w:rsidRDefault="00F05A74" w:rsidP="008563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Osborne said </w:t>
      </w:r>
      <w:r w:rsidR="008D1015">
        <w:rPr>
          <w:rFonts w:asciiTheme="minorHAnsi" w:hAnsiTheme="minorHAnsi" w:cstheme="minorHAnsi"/>
          <w:sz w:val="22"/>
          <w:szCs w:val="22"/>
        </w:rPr>
        <w:t xml:space="preserve">the Christchurch rebuild and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8D1015">
        <w:rPr>
          <w:rFonts w:asciiTheme="minorHAnsi" w:hAnsiTheme="minorHAnsi" w:cstheme="minorHAnsi"/>
          <w:sz w:val="22"/>
          <w:szCs w:val="22"/>
        </w:rPr>
        <w:t>insatiable appetite for growth in Auckland</w:t>
      </w:r>
      <w:r>
        <w:rPr>
          <w:rFonts w:asciiTheme="minorHAnsi" w:hAnsiTheme="minorHAnsi" w:cstheme="minorHAnsi"/>
          <w:sz w:val="22"/>
          <w:szCs w:val="22"/>
        </w:rPr>
        <w:t xml:space="preserve"> had dominated recent </w:t>
      </w:r>
      <w:r w:rsidR="00876A03">
        <w:rPr>
          <w:rFonts w:asciiTheme="minorHAnsi" w:hAnsiTheme="minorHAnsi" w:cstheme="minorHAnsi"/>
          <w:sz w:val="22"/>
          <w:szCs w:val="22"/>
        </w:rPr>
        <w:t>market activity</w:t>
      </w:r>
      <w:r w:rsidR="008D1015">
        <w:rPr>
          <w:rFonts w:asciiTheme="minorHAnsi" w:hAnsiTheme="minorHAnsi" w:cstheme="minorHAnsi"/>
          <w:sz w:val="22"/>
          <w:szCs w:val="22"/>
        </w:rPr>
        <w:t xml:space="preserve">, but </w:t>
      </w:r>
      <w:r w:rsidR="00876A03">
        <w:rPr>
          <w:rFonts w:asciiTheme="minorHAnsi" w:hAnsiTheme="minorHAnsi" w:cstheme="minorHAnsi"/>
          <w:sz w:val="22"/>
          <w:szCs w:val="22"/>
        </w:rPr>
        <w:t xml:space="preserve">there was also good news elsewhere. </w:t>
      </w:r>
      <w:r w:rsidR="008563D8" w:rsidRPr="0039008A">
        <w:rPr>
          <w:rFonts w:asciiTheme="minorHAnsi" w:hAnsiTheme="minorHAnsi" w:cstheme="minorHAnsi"/>
          <w:sz w:val="22"/>
          <w:szCs w:val="22"/>
        </w:rPr>
        <w:t>“</w:t>
      </w:r>
      <w:r w:rsidR="00876A03">
        <w:rPr>
          <w:rFonts w:asciiTheme="minorHAnsi" w:hAnsiTheme="minorHAnsi" w:cstheme="minorHAnsi"/>
          <w:sz w:val="22"/>
          <w:szCs w:val="22"/>
        </w:rPr>
        <w:t>This quarter w</w:t>
      </w:r>
      <w:r w:rsidR="008D1015">
        <w:rPr>
          <w:rFonts w:asciiTheme="minorHAnsi" w:hAnsiTheme="minorHAnsi" w:cstheme="minorHAnsi"/>
          <w:sz w:val="22"/>
          <w:szCs w:val="22"/>
        </w:rPr>
        <w:t xml:space="preserve">e saw </w:t>
      </w:r>
      <w:r w:rsidR="00876A03">
        <w:rPr>
          <w:rFonts w:asciiTheme="minorHAnsi" w:hAnsiTheme="minorHAnsi" w:cstheme="minorHAnsi"/>
          <w:sz w:val="22"/>
          <w:szCs w:val="22"/>
        </w:rPr>
        <w:t xml:space="preserve">year-on-year growth in the number of roles advertised </w:t>
      </w:r>
      <w:r w:rsidR="008D1015">
        <w:rPr>
          <w:rFonts w:asciiTheme="minorHAnsi" w:hAnsiTheme="minorHAnsi" w:cstheme="minorHAnsi"/>
          <w:sz w:val="22"/>
          <w:szCs w:val="22"/>
        </w:rPr>
        <w:t>in all regions except Gisborne, and across a majority of industries</w:t>
      </w:r>
      <w:r w:rsidR="00876A03">
        <w:rPr>
          <w:rFonts w:asciiTheme="minorHAnsi" w:hAnsiTheme="minorHAnsi" w:cstheme="minorHAnsi"/>
          <w:sz w:val="22"/>
          <w:szCs w:val="22"/>
        </w:rPr>
        <w:t>.</w:t>
      </w:r>
      <w:r w:rsidR="00AD673D">
        <w:rPr>
          <w:rFonts w:asciiTheme="minorHAnsi" w:hAnsiTheme="minorHAnsi" w:cstheme="minorHAnsi"/>
          <w:sz w:val="22"/>
          <w:szCs w:val="22"/>
        </w:rPr>
        <w:t xml:space="preserve"> </w:t>
      </w:r>
      <w:r w:rsidR="008D1015">
        <w:rPr>
          <w:rFonts w:asciiTheme="minorHAnsi" w:hAnsiTheme="minorHAnsi" w:cstheme="minorHAnsi"/>
          <w:sz w:val="22"/>
          <w:szCs w:val="22"/>
        </w:rPr>
        <w:t>Th</w:t>
      </w:r>
      <w:r w:rsidR="00876A03">
        <w:rPr>
          <w:rFonts w:asciiTheme="minorHAnsi" w:hAnsiTheme="minorHAnsi" w:cstheme="minorHAnsi"/>
          <w:sz w:val="22"/>
          <w:szCs w:val="22"/>
        </w:rPr>
        <w:t xml:space="preserve">is demonstrates the healthy state of the national </w:t>
      </w:r>
      <w:r w:rsidR="008D1015">
        <w:rPr>
          <w:rFonts w:asciiTheme="minorHAnsi" w:hAnsiTheme="minorHAnsi" w:cstheme="minorHAnsi"/>
          <w:sz w:val="22"/>
          <w:szCs w:val="22"/>
        </w:rPr>
        <w:t>job market and means th</w:t>
      </w:r>
      <w:r w:rsidR="00876A03">
        <w:rPr>
          <w:rFonts w:asciiTheme="minorHAnsi" w:hAnsiTheme="minorHAnsi" w:cstheme="minorHAnsi"/>
          <w:sz w:val="22"/>
          <w:szCs w:val="22"/>
        </w:rPr>
        <w:t xml:space="preserve">ere are </w:t>
      </w:r>
      <w:r w:rsidR="008D1015">
        <w:rPr>
          <w:rFonts w:asciiTheme="minorHAnsi" w:hAnsiTheme="minorHAnsi" w:cstheme="minorHAnsi"/>
          <w:sz w:val="22"/>
          <w:szCs w:val="22"/>
        </w:rPr>
        <w:t xml:space="preserve">opportunities for </w:t>
      </w:r>
      <w:r w:rsidR="00876A03">
        <w:rPr>
          <w:rFonts w:asciiTheme="minorHAnsi" w:hAnsiTheme="minorHAnsi" w:cstheme="minorHAnsi"/>
          <w:sz w:val="22"/>
          <w:szCs w:val="22"/>
        </w:rPr>
        <w:t>many job hunters across the country.</w:t>
      </w:r>
      <w:r w:rsidR="008563D8" w:rsidRPr="0039008A">
        <w:rPr>
          <w:rFonts w:asciiTheme="minorHAnsi" w:hAnsiTheme="minorHAnsi" w:cstheme="minorHAnsi"/>
          <w:sz w:val="22"/>
          <w:szCs w:val="22"/>
        </w:rPr>
        <w:t>”</w:t>
      </w:r>
      <w:r w:rsidR="00EB78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F6F2E" w14:textId="77777777" w:rsidR="008563D8" w:rsidRPr="0039008A" w:rsidRDefault="008563D8" w:rsidP="00AF22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18EDCF" w14:textId="77777777" w:rsidR="00802622" w:rsidRPr="00B65B64" w:rsidRDefault="00327B45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 w:rsidRPr="0039008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4195C">
        <w:rPr>
          <w:rFonts w:asciiTheme="minorHAnsi" w:hAnsiTheme="minorHAnsi" w:cstheme="minorHAnsi"/>
          <w:b/>
          <w:sz w:val="22"/>
          <w:szCs w:val="22"/>
        </w:rPr>
        <w:t>national</w:t>
      </w:r>
      <w:r w:rsidRPr="0039008A">
        <w:rPr>
          <w:rFonts w:asciiTheme="minorHAnsi" w:hAnsiTheme="minorHAnsi" w:cstheme="minorHAnsi"/>
          <w:b/>
          <w:sz w:val="22"/>
          <w:szCs w:val="22"/>
        </w:rPr>
        <w:t xml:space="preserve"> picture</w:t>
      </w:r>
    </w:p>
    <w:p w14:paraId="7167FD95" w14:textId="77777777" w:rsidR="008B1898" w:rsidRDefault="008B1898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81FBC" w14:textId="3A1A4A93" w:rsidR="00876A03" w:rsidRDefault="007A1956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Remarkably, several regions recorded </w:t>
      </w:r>
      <w:r w:rsidR="00876A03">
        <w:rPr>
          <w:rFonts w:asciiTheme="minorHAnsi" w:hAnsiTheme="minorHAnsi" w:cstheme="minorHAnsi"/>
          <w:sz w:val="22"/>
          <w:szCs w:val="22"/>
        </w:rPr>
        <w:t xml:space="preserve">year-on-year </w:t>
      </w:r>
      <w:r>
        <w:rPr>
          <w:rFonts w:asciiTheme="minorHAnsi" w:hAnsiTheme="minorHAnsi" w:cstheme="minorHAnsi"/>
          <w:sz w:val="22"/>
          <w:szCs w:val="22"/>
        </w:rPr>
        <w:t>job ad growth in excess of 20% during the last quarter with Bay of Plenty (</w:t>
      </w:r>
      <w:r w:rsidR="00AD0BBB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28%), Waikato (</w:t>
      </w:r>
      <w:r w:rsidR="00AD0BBB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26%), Nelson/Tasman (</w:t>
      </w:r>
      <w:r w:rsidR="00AD0BBB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28%) and Canterbury (</w:t>
      </w:r>
      <w:r w:rsidR="00AD0BBB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 xml:space="preserve">23%) all notable </w:t>
      </w:r>
      <w:r w:rsidR="00A3213B">
        <w:rPr>
          <w:rFonts w:asciiTheme="minorHAnsi" w:hAnsiTheme="minorHAnsi" w:cstheme="minorHAnsi"/>
          <w:sz w:val="22"/>
          <w:szCs w:val="22"/>
        </w:rPr>
        <w:t>standouts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664AA2" w14:textId="77777777" w:rsidR="00876A03" w:rsidRDefault="00876A03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272FB" w14:textId="5100C05A" w:rsidR="008E7DFF" w:rsidRPr="0039008A" w:rsidRDefault="00CD5EB8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 w:rsidRPr="0039008A">
        <w:rPr>
          <w:rFonts w:asciiTheme="minorHAnsi" w:hAnsiTheme="minorHAnsi" w:cstheme="minorHAnsi"/>
          <w:sz w:val="22"/>
          <w:szCs w:val="22"/>
        </w:rPr>
        <w:t>“</w:t>
      </w:r>
      <w:r w:rsidR="00A3213B">
        <w:rPr>
          <w:rFonts w:asciiTheme="minorHAnsi" w:hAnsiTheme="minorHAnsi" w:cstheme="minorHAnsi"/>
          <w:sz w:val="22"/>
          <w:szCs w:val="22"/>
        </w:rPr>
        <w:t>Together these regions account for one</w:t>
      </w:r>
      <w:r w:rsidR="00876A03">
        <w:rPr>
          <w:rFonts w:asciiTheme="minorHAnsi" w:hAnsiTheme="minorHAnsi" w:cstheme="minorHAnsi"/>
          <w:sz w:val="22"/>
          <w:szCs w:val="22"/>
        </w:rPr>
        <w:t>-</w:t>
      </w:r>
      <w:r w:rsidR="00A3213B">
        <w:rPr>
          <w:rFonts w:asciiTheme="minorHAnsi" w:hAnsiTheme="minorHAnsi" w:cstheme="minorHAnsi"/>
          <w:sz w:val="22"/>
          <w:szCs w:val="22"/>
        </w:rPr>
        <w:t xml:space="preserve">third of all jobs on site, </w:t>
      </w:r>
      <w:r w:rsidR="00876A03">
        <w:rPr>
          <w:rFonts w:asciiTheme="minorHAnsi" w:hAnsiTheme="minorHAnsi" w:cstheme="minorHAnsi"/>
          <w:sz w:val="22"/>
          <w:szCs w:val="22"/>
        </w:rPr>
        <w:t xml:space="preserve">and </w:t>
      </w:r>
      <w:r w:rsidR="00A3213B">
        <w:rPr>
          <w:rFonts w:asciiTheme="minorHAnsi" w:hAnsiTheme="minorHAnsi" w:cstheme="minorHAnsi"/>
          <w:sz w:val="22"/>
          <w:szCs w:val="22"/>
        </w:rPr>
        <w:t>their accelerated growth is a major contributor to the overall 17% increase in jobs advertised</w:t>
      </w:r>
      <w:r w:rsidR="00876A03">
        <w:rPr>
          <w:rFonts w:asciiTheme="minorHAnsi" w:hAnsiTheme="minorHAnsi" w:cstheme="minorHAnsi"/>
          <w:sz w:val="22"/>
          <w:szCs w:val="22"/>
        </w:rPr>
        <w:t>,</w:t>
      </w:r>
      <w:r w:rsidR="00902A7C" w:rsidRPr="0039008A">
        <w:rPr>
          <w:rFonts w:asciiTheme="minorHAnsi" w:hAnsiTheme="minorHAnsi" w:cstheme="minorHAnsi"/>
          <w:sz w:val="22"/>
          <w:szCs w:val="22"/>
        </w:rPr>
        <w:t>”</w:t>
      </w:r>
      <w:r w:rsidR="00BE79E3">
        <w:rPr>
          <w:rFonts w:asciiTheme="minorHAnsi" w:hAnsiTheme="minorHAnsi" w:cstheme="minorHAnsi"/>
          <w:sz w:val="22"/>
          <w:szCs w:val="22"/>
        </w:rPr>
        <w:t xml:space="preserve"> Mr Osborne said. </w:t>
      </w:r>
      <w:r w:rsidR="00876A03">
        <w:rPr>
          <w:rFonts w:asciiTheme="minorHAnsi" w:hAnsiTheme="minorHAnsi" w:cstheme="minorHAnsi"/>
          <w:sz w:val="22"/>
          <w:szCs w:val="22"/>
        </w:rPr>
        <w:t>“</w:t>
      </w:r>
      <w:r w:rsidR="00A3213B">
        <w:rPr>
          <w:rFonts w:asciiTheme="minorHAnsi" w:hAnsiTheme="minorHAnsi" w:cstheme="minorHAnsi"/>
          <w:sz w:val="22"/>
          <w:szCs w:val="22"/>
        </w:rPr>
        <w:t xml:space="preserve">Auckland represents </w:t>
      </w:r>
      <w:r w:rsidR="00876A03">
        <w:rPr>
          <w:rFonts w:asciiTheme="minorHAnsi" w:hAnsiTheme="minorHAnsi" w:cstheme="minorHAnsi"/>
          <w:sz w:val="22"/>
          <w:szCs w:val="22"/>
        </w:rPr>
        <w:t>almost 40</w:t>
      </w:r>
      <w:r w:rsidR="00A3213B">
        <w:rPr>
          <w:rFonts w:asciiTheme="minorHAnsi" w:hAnsiTheme="minorHAnsi" w:cstheme="minorHAnsi"/>
          <w:sz w:val="22"/>
          <w:szCs w:val="22"/>
        </w:rPr>
        <w:t xml:space="preserve">% of the national market and </w:t>
      </w:r>
      <w:r w:rsidR="00876A03">
        <w:rPr>
          <w:rFonts w:asciiTheme="minorHAnsi" w:hAnsiTheme="minorHAnsi" w:cstheme="minorHAnsi"/>
          <w:sz w:val="22"/>
          <w:szCs w:val="22"/>
        </w:rPr>
        <w:t xml:space="preserve">saw </w:t>
      </w:r>
      <w:r w:rsidR="00A3213B">
        <w:rPr>
          <w:rFonts w:asciiTheme="minorHAnsi" w:hAnsiTheme="minorHAnsi" w:cstheme="minorHAnsi"/>
          <w:sz w:val="22"/>
          <w:szCs w:val="22"/>
        </w:rPr>
        <w:t xml:space="preserve">17% growth </w:t>
      </w:r>
      <w:r w:rsidR="00876A03">
        <w:rPr>
          <w:rFonts w:asciiTheme="minorHAnsi" w:hAnsiTheme="minorHAnsi" w:cstheme="minorHAnsi"/>
          <w:sz w:val="22"/>
          <w:szCs w:val="22"/>
        </w:rPr>
        <w:t xml:space="preserve">on a year ago, providing a </w:t>
      </w:r>
      <w:r w:rsidR="00A3213B">
        <w:rPr>
          <w:rFonts w:asciiTheme="minorHAnsi" w:hAnsiTheme="minorHAnsi" w:cstheme="minorHAnsi"/>
          <w:sz w:val="22"/>
          <w:szCs w:val="22"/>
        </w:rPr>
        <w:t>clear</w:t>
      </w:r>
      <w:r w:rsidR="00876A03">
        <w:rPr>
          <w:rFonts w:asciiTheme="minorHAnsi" w:hAnsiTheme="minorHAnsi" w:cstheme="minorHAnsi"/>
          <w:sz w:val="22"/>
          <w:szCs w:val="22"/>
        </w:rPr>
        <w:t xml:space="preserve"> indication that </w:t>
      </w:r>
      <w:r w:rsidR="00A3213B">
        <w:rPr>
          <w:rFonts w:asciiTheme="minorHAnsi" w:hAnsiTheme="minorHAnsi" w:cstheme="minorHAnsi"/>
          <w:sz w:val="22"/>
          <w:szCs w:val="22"/>
        </w:rPr>
        <w:t xml:space="preserve">our biggest </w:t>
      </w:r>
      <w:r w:rsidR="00876A03">
        <w:rPr>
          <w:rFonts w:asciiTheme="minorHAnsi" w:hAnsiTheme="minorHAnsi" w:cstheme="minorHAnsi"/>
          <w:sz w:val="22"/>
          <w:szCs w:val="22"/>
        </w:rPr>
        <w:t xml:space="preserve">employment market </w:t>
      </w:r>
      <w:r w:rsidR="00A3213B">
        <w:rPr>
          <w:rFonts w:asciiTheme="minorHAnsi" w:hAnsiTheme="minorHAnsi" w:cstheme="minorHAnsi"/>
          <w:sz w:val="22"/>
          <w:szCs w:val="22"/>
        </w:rPr>
        <w:t>is showing no signs of losing speed.</w:t>
      </w:r>
    </w:p>
    <w:p w14:paraId="6BC0162A" w14:textId="77777777" w:rsidR="00802622" w:rsidRPr="0039008A" w:rsidRDefault="00802622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F4557" w14:textId="78670EE7" w:rsidR="00DA6706" w:rsidRDefault="00AD673D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E79E3">
        <w:rPr>
          <w:rFonts w:asciiTheme="minorHAnsi" w:hAnsiTheme="minorHAnsi" w:cstheme="minorHAnsi"/>
          <w:sz w:val="22"/>
          <w:szCs w:val="22"/>
        </w:rPr>
        <w:t>Christchurch</w:t>
      </w:r>
      <w:r w:rsidR="00802622" w:rsidRPr="0039008A">
        <w:rPr>
          <w:rFonts w:asciiTheme="minorHAnsi" w:hAnsiTheme="minorHAnsi" w:cstheme="minorHAnsi"/>
          <w:sz w:val="22"/>
          <w:szCs w:val="22"/>
        </w:rPr>
        <w:t xml:space="preserve"> job listings </w:t>
      </w:r>
      <w:r w:rsidR="00BE79E3">
        <w:rPr>
          <w:rFonts w:asciiTheme="minorHAnsi" w:hAnsiTheme="minorHAnsi" w:cstheme="minorHAnsi"/>
          <w:sz w:val="22"/>
          <w:szCs w:val="22"/>
        </w:rPr>
        <w:t xml:space="preserve">have also </w:t>
      </w:r>
      <w:r w:rsidR="000B7C3D">
        <w:rPr>
          <w:rFonts w:asciiTheme="minorHAnsi" w:hAnsiTheme="minorHAnsi" w:cstheme="minorHAnsi"/>
          <w:sz w:val="22"/>
          <w:szCs w:val="22"/>
        </w:rPr>
        <w:t xml:space="preserve">caught our attention with their </w:t>
      </w:r>
      <w:r w:rsidR="00BE79E3">
        <w:rPr>
          <w:rFonts w:asciiTheme="minorHAnsi" w:hAnsiTheme="minorHAnsi" w:cstheme="minorHAnsi"/>
          <w:sz w:val="22"/>
          <w:szCs w:val="22"/>
        </w:rPr>
        <w:t>momentum,</w:t>
      </w:r>
      <w:r w:rsidR="00802622" w:rsidRPr="0039008A">
        <w:rPr>
          <w:rFonts w:asciiTheme="minorHAnsi" w:hAnsiTheme="minorHAnsi" w:cstheme="minorHAnsi"/>
          <w:sz w:val="22"/>
          <w:szCs w:val="22"/>
        </w:rPr>
        <w:t xml:space="preserve"> up </w:t>
      </w:r>
      <w:r w:rsidR="00BE79E3">
        <w:rPr>
          <w:rFonts w:asciiTheme="minorHAnsi" w:hAnsiTheme="minorHAnsi" w:cstheme="minorHAnsi"/>
          <w:sz w:val="22"/>
          <w:szCs w:val="22"/>
        </w:rPr>
        <w:t>24</w:t>
      </w:r>
      <w:r w:rsidR="00267A26">
        <w:rPr>
          <w:rFonts w:asciiTheme="minorHAnsi" w:hAnsiTheme="minorHAnsi" w:cstheme="minorHAnsi"/>
          <w:sz w:val="22"/>
          <w:szCs w:val="22"/>
        </w:rPr>
        <w:t>%</w:t>
      </w:r>
      <w:r w:rsidR="00BE79E3">
        <w:rPr>
          <w:rFonts w:asciiTheme="minorHAnsi" w:hAnsiTheme="minorHAnsi" w:cstheme="minorHAnsi"/>
          <w:sz w:val="22"/>
          <w:szCs w:val="22"/>
        </w:rPr>
        <w:t xml:space="preserve"> on the same period last year</w:t>
      </w:r>
      <w:r w:rsidR="00876A0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” Mr Osborne said. ”Meanwhile,</w:t>
      </w:r>
      <w:r w:rsidR="00876A03">
        <w:rPr>
          <w:rFonts w:asciiTheme="minorHAnsi" w:hAnsiTheme="minorHAnsi" w:cstheme="minorHAnsi"/>
          <w:sz w:val="22"/>
          <w:szCs w:val="22"/>
        </w:rPr>
        <w:t xml:space="preserve"> </w:t>
      </w:r>
      <w:r w:rsidR="00DA6706">
        <w:rPr>
          <w:rFonts w:asciiTheme="minorHAnsi" w:hAnsiTheme="minorHAnsi" w:cstheme="minorHAnsi"/>
          <w:sz w:val="22"/>
          <w:szCs w:val="22"/>
        </w:rPr>
        <w:t>t</w:t>
      </w:r>
      <w:r w:rsidR="00802622" w:rsidRPr="0039008A">
        <w:rPr>
          <w:rFonts w:asciiTheme="minorHAnsi" w:hAnsiTheme="minorHAnsi" w:cstheme="minorHAnsi"/>
          <w:sz w:val="22"/>
          <w:szCs w:val="22"/>
        </w:rPr>
        <w:t xml:space="preserve">he Wellington job </w:t>
      </w:r>
      <w:r w:rsidR="00360690">
        <w:rPr>
          <w:rFonts w:asciiTheme="minorHAnsi" w:hAnsiTheme="minorHAnsi" w:cstheme="minorHAnsi"/>
          <w:sz w:val="22"/>
          <w:szCs w:val="22"/>
        </w:rPr>
        <w:t>market has</w:t>
      </w:r>
      <w:r w:rsidR="00876A03">
        <w:rPr>
          <w:rFonts w:asciiTheme="minorHAnsi" w:hAnsiTheme="minorHAnsi" w:cstheme="minorHAnsi"/>
          <w:sz w:val="22"/>
          <w:szCs w:val="22"/>
        </w:rPr>
        <w:t xml:space="preserve"> also </w:t>
      </w:r>
      <w:r w:rsidR="00DA6706">
        <w:rPr>
          <w:rFonts w:asciiTheme="minorHAnsi" w:hAnsiTheme="minorHAnsi" w:cstheme="minorHAnsi"/>
          <w:sz w:val="22"/>
          <w:szCs w:val="22"/>
        </w:rPr>
        <w:t xml:space="preserve">shown a higher rate of growth in the December quarter </w:t>
      </w:r>
      <w:r w:rsidR="00876A03">
        <w:rPr>
          <w:rFonts w:asciiTheme="minorHAnsi" w:hAnsiTheme="minorHAnsi" w:cstheme="minorHAnsi"/>
          <w:sz w:val="22"/>
          <w:szCs w:val="22"/>
        </w:rPr>
        <w:t xml:space="preserve">with </w:t>
      </w:r>
      <w:r w:rsidR="00DA6706">
        <w:rPr>
          <w:rFonts w:asciiTheme="minorHAnsi" w:hAnsiTheme="minorHAnsi" w:cstheme="minorHAnsi"/>
          <w:sz w:val="22"/>
          <w:szCs w:val="22"/>
        </w:rPr>
        <w:t xml:space="preserve">7.4% </w:t>
      </w:r>
      <w:r w:rsidR="00F13AE4">
        <w:rPr>
          <w:rFonts w:asciiTheme="minorHAnsi" w:hAnsiTheme="minorHAnsi" w:cstheme="minorHAnsi"/>
          <w:sz w:val="22"/>
          <w:szCs w:val="22"/>
        </w:rPr>
        <w:t xml:space="preserve">growth outstripping its </w:t>
      </w:r>
      <w:r w:rsidR="00DA6706">
        <w:rPr>
          <w:rFonts w:asciiTheme="minorHAnsi" w:hAnsiTheme="minorHAnsi" w:cstheme="minorHAnsi"/>
          <w:sz w:val="22"/>
          <w:szCs w:val="22"/>
        </w:rPr>
        <w:t xml:space="preserve">3.1% </w:t>
      </w:r>
      <w:r w:rsidR="00F13AE4">
        <w:rPr>
          <w:rFonts w:asciiTheme="minorHAnsi" w:hAnsiTheme="minorHAnsi" w:cstheme="minorHAnsi"/>
          <w:sz w:val="22"/>
          <w:szCs w:val="22"/>
        </w:rPr>
        <w:t xml:space="preserve">increase in </w:t>
      </w:r>
      <w:r>
        <w:rPr>
          <w:rFonts w:asciiTheme="minorHAnsi" w:hAnsiTheme="minorHAnsi" w:cstheme="minorHAnsi"/>
          <w:sz w:val="22"/>
          <w:szCs w:val="22"/>
        </w:rPr>
        <w:t>September.”</w:t>
      </w:r>
    </w:p>
    <w:p w14:paraId="21B3ECA7" w14:textId="77777777" w:rsidR="00B91A61" w:rsidRPr="0039008A" w:rsidRDefault="00B91A61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A988A" w14:textId="77777777" w:rsidR="00B91A61" w:rsidRPr="0039008A" w:rsidRDefault="00B91A61" w:rsidP="00AF22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08A">
        <w:rPr>
          <w:rFonts w:asciiTheme="minorHAnsi" w:hAnsiTheme="minorHAnsi" w:cstheme="minorHAnsi"/>
          <w:b/>
          <w:sz w:val="22"/>
          <w:szCs w:val="22"/>
        </w:rPr>
        <w:t>In the sectors</w:t>
      </w:r>
    </w:p>
    <w:p w14:paraId="760A9FC0" w14:textId="77777777" w:rsidR="00B91A61" w:rsidRDefault="00B91A61" w:rsidP="00AF22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9F7CBE" w14:textId="1726F258" w:rsidR="00F13AE4" w:rsidRDefault="00F13AE4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Osborne said it was no surprise that </w:t>
      </w:r>
      <w:r w:rsidR="005D6279">
        <w:rPr>
          <w:rFonts w:asciiTheme="minorHAnsi" w:hAnsiTheme="minorHAnsi" w:cstheme="minorHAnsi"/>
          <w:sz w:val="22"/>
          <w:szCs w:val="22"/>
        </w:rPr>
        <w:t>the number of roles in hospitality and t</w:t>
      </w:r>
      <w:r w:rsidR="003B662F">
        <w:rPr>
          <w:rFonts w:asciiTheme="minorHAnsi" w:hAnsiTheme="minorHAnsi" w:cstheme="minorHAnsi"/>
          <w:sz w:val="22"/>
          <w:szCs w:val="22"/>
        </w:rPr>
        <w:t>ourism rose significantly in the</w:t>
      </w:r>
      <w:r w:rsidR="005D6279">
        <w:rPr>
          <w:rFonts w:asciiTheme="minorHAnsi" w:hAnsiTheme="minorHAnsi" w:cstheme="minorHAnsi"/>
          <w:sz w:val="22"/>
          <w:szCs w:val="22"/>
        </w:rPr>
        <w:t xml:space="preserve"> lead</w:t>
      </w:r>
      <w:r>
        <w:rPr>
          <w:rFonts w:asciiTheme="minorHAnsi" w:hAnsiTheme="minorHAnsi" w:cstheme="minorHAnsi"/>
          <w:sz w:val="22"/>
          <w:szCs w:val="22"/>
        </w:rPr>
        <w:t>-</w:t>
      </w:r>
      <w:r w:rsidR="005D6279">
        <w:rPr>
          <w:rFonts w:asciiTheme="minorHAnsi" w:hAnsiTheme="minorHAnsi" w:cstheme="minorHAnsi"/>
          <w:sz w:val="22"/>
          <w:szCs w:val="22"/>
        </w:rPr>
        <w:t xml:space="preserve">up to the summer holidays, but the 30% increase over </w:t>
      </w:r>
      <w:r w:rsidR="00DB0F32">
        <w:rPr>
          <w:rFonts w:asciiTheme="minorHAnsi" w:hAnsiTheme="minorHAnsi" w:cstheme="minorHAnsi"/>
          <w:sz w:val="22"/>
          <w:szCs w:val="22"/>
        </w:rPr>
        <w:t xml:space="preserve">and above the same </w:t>
      </w:r>
      <w:r w:rsidR="00EB123B">
        <w:rPr>
          <w:rFonts w:asciiTheme="minorHAnsi" w:hAnsiTheme="minorHAnsi" w:cstheme="minorHAnsi"/>
          <w:sz w:val="22"/>
          <w:szCs w:val="22"/>
        </w:rPr>
        <w:t>period in</w:t>
      </w:r>
      <w:r w:rsidR="005D6279">
        <w:rPr>
          <w:rFonts w:asciiTheme="minorHAnsi" w:hAnsiTheme="minorHAnsi" w:cstheme="minorHAnsi"/>
          <w:sz w:val="22"/>
          <w:szCs w:val="22"/>
        </w:rPr>
        <w:t xml:space="preserve"> 2012 </w:t>
      </w:r>
      <w:r>
        <w:rPr>
          <w:rFonts w:asciiTheme="minorHAnsi" w:hAnsiTheme="minorHAnsi" w:cstheme="minorHAnsi"/>
          <w:sz w:val="22"/>
          <w:szCs w:val="22"/>
        </w:rPr>
        <w:t>was “</w:t>
      </w:r>
      <w:r w:rsidR="005D6279">
        <w:rPr>
          <w:rFonts w:asciiTheme="minorHAnsi" w:hAnsiTheme="minorHAnsi" w:cstheme="minorHAnsi"/>
          <w:sz w:val="22"/>
          <w:szCs w:val="22"/>
        </w:rPr>
        <w:t>a pleasant surprise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EB123B">
        <w:rPr>
          <w:rFonts w:asciiTheme="minorHAnsi" w:hAnsiTheme="minorHAnsi" w:cstheme="minorHAnsi"/>
          <w:sz w:val="22"/>
          <w:szCs w:val="22"/>
        </w:rPr>
        <w:t>.</w:t>
      </w:r>
    </w:p>
    <w:p w14:paraId="51813F64" w14:textId="77777777" w:rsidR="00F13AE4" w:rsidRDefault="00F13AE4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69CC46" w14:textId="44BBEF54" w:rsidR="000055F6" w:rsidRDefault="005D6279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Agriculture, fishing </w:t>
      </w:r>
      <w:r w:rsidR="00F13AE4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forestry</w:t>
      </w:r>
      <w:r w:rsidR="00F13AE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customer service roles </w:t>
      </w:r>
      <w:r w:rsidR="00F13AE4">
        <w:rPr>
          <w:rFonts w:asciiTheme="minorHAnsi" w:hAnsiTheme="minorHAnsi" w:cstheme="minorHAnsi"/>
          <w:sz w:val="22"/>
          <w:szCs w:val="22"/>
        </w:rPr>
        <w:t xml:space="preserve">typically enjoy </w:t>
      </w:r>
      <w:r>
        <w:rPr>
          <w:rFonts w:asciiTheme="minorHAnsi" w:hAnsiTheme="minorHAnsi" w:cstheme="minorHAnsi"/>
          <w:sz w:val="22"/>
          <w:szCs w:val="22"/>
        </w:rPr>
        <w:t xml:space="preserve">a pre-Christmas </w:t>
      </w:r>
      <w:r w:rsidR="00F13AE4">
        <w:rPr>
          <w:rFonts w:asciiTheme="minorHAnsi" w:hAnsiTheme="minorHAnsi" w:cstheme="minorHAnsi"/>
          <w:sz w:val="22"/>
          <w:szCs w:val="22"/>
        </w:rPr>
        <w:t xml:space="preserve">spike and were up </w:t>
      </w:r>
      <w:r>
        <w:rPr>
          <w:rFonts w:asciiTheme="minorHAnsi" w:hAnsiTheme="minorHAnsi" w:cstheme="minorHAnsi"/>
          <w:sz w:val="22"/>
          <w:szCs w:val="22"/>
        </w:rPr>
        <w:t>32% and 35% year</w:t>
      </w:r>
      <w:r w:rsidR="00F13AE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on</w:t>
      </w:r>
      <w:r w:rsidR="00F13AE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year respectively. </w:t>
      </w:r>
    </w:p>
    <w:p w14:paraId="03CE7752" w14:textId="77777777" w:rsidR="005D6279" w:rsidRDefault="005D6279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428C2" w14:textId="1DABBE86" w:rsidR="00F13AE4" w:rsidRDefault="005D6279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second biggest employment sector, IT, experienced 9% year</w:t>
      </w:r>
      <w:r w:rsidR="00F13AE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on</w:t>
      </w:r>
      <w:r w:rsidR="00F13AE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year growth </w:t>
      </w:r>
      <w:r w:rsidR="00F13AE4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continues to dominate the top end of the pay scale</w:t>
      </w:r>
      <w:r w:rsidR="00F13AE4">
        <w:rPr>
          <w:rFonts w:asciiTheme="minorHAnsi" w:hAnsiTheme="minorHAnsi" w:cstheme="minorHAnsi"/>
          <w:sz w:val="22"/>
          <w:szCs w:val="22"/>
        </w:rPr>
        <w:t>. “E</w:t>
      </w:r>
      <w:r>
        <w:rPr>
          <w:rFonts w:asciiTheme="minorHAnsi" w:hAnsiTheme="minorHAnsi" w:cstheme="minorHAnsi"/>
          <w:sz w:val="22"/>
          <w:szCs w:val="22"/>
        </w:rPr>
        <w:t xml:space="preserve">ight of </w:t>
      </w:r>
      <w:r w:rsidR="00F13AE4">
        <w:rPr>
          <w:rFonts w:asciiTheme="minorHAnsi" w:hAnsiTheme="minorHAnsi" w:cstheme="minorHAnsi"/>
          <w:sz w:val="22"/>
          <w:szCs w:val="22"/>
        </w:rPr>
        <w:t xml:space="preserve">the top </w:t>
      </w:r>
      <w:r>
        <w:rPr>
          <w:rFonts w:asciiTheme="minorHAnsi" w:hAnsiTheme="minorHAnsi" w:cstheme="minorHAnsi"/>
          <w:sz w:val="22"/>
          <w:szCs w:val="22"/>
        </w:rPr>
        <w:t>ten highest</w:t>
      </w:r>
      <w:r w:rsidR="00BA0B1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paying jobs </w:t>
      </w:r>
      <w:r w:rsidR="00F13AE4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 xml:space="preserve">in the IT sector and paying </w:t>
      </w:r>
      <w:r w:rsidR="00F13AE4">
        <w:rPr>
          <w:rFonts w:asciiTheme="minorHAnsi" w:hAnsiTheme="minorHAnsi" w:cstheme="minorHAnsi"/>
          <w:sz w:val="22"/>
          <w:szCs w:val="22"/>
        </w:rPr>
        <w:t xml:space="preserve">at least </w:t>
      </w:r>
      <w:r>
        <w:rPr>
          <w:rFonts w:asciiTheme="minorHAnsi" w:hAnsiTheme="minorHAnsi" w:cstheme="minorHAnsi"/>
          <w:sz w:val="22"/>
          <w:szCs w:val="22"/>
        </w:rPr>
        <w:t xml:space="preserve">$110,000 </w:t>
      </w:r>
      <w:r w:rsidR="00F13AE4">
        <w:rPr>
          <w:rFonts w:asciiTheme="minorHAnsi" w:hAnsiTheme="minorHAnsi" w:cstheme="minorHAnsi"/>
          <w:sz w:val="22"/>
          <w:szCs w:val="22"/>
        </w:rPr>
        <w:t>per year</w:t>
      </w:r>
      <w:r w:rsidR="008C7E27">
        <w:rPr>
          <w:rFonts w:asciiTheme="minorHAnsi" w:hAnsiTheme="minorHAnsi" w:cstheme="minorHAnsi"/>
          <w:sz w:val="22"/>
          <w:szCs w:val="22"/>
        </w:rPr>
        <w:t>. We’re seeing these high salaries being offered because there’s a real shortage of IT gurus out there, and businesses are throwing more money on the table to attract people into their roles</w:t>
      </w:r>
      <w:r w:rsidR="00AD0BBB">
        <w:rPr>
          <w:rFonts w:asciiTheme="minorHAnsi" w:hAnsiTheme="minorHAnsi" w:cstheme="minorHAnsi"/>
          <w:sz w:val="22"/>
          <w:szCs w:val="22"/>
        </w:rPr>
        <w:t>,</w:t>
      </w:r>
      <w:r w:rsidR="00F13AE4">
        <w:rPr>
          <w:rFonts w:asciiTheme="minorHAnsi" w:hAnsiTheme="minorHAnsi" w:cstheme="minorHAnsi"/>
          <w:sz w:val="22"/>
          <w:szCs w:val="22"/>
        </w:rPr>
        <w:t xml:space="preserve">” Mr Osborne said. </w:t>
      </w:r>
    </w:p>
    <w:p w14:paraId="5A5C5525" w14:textId="77777777" w:rsidR="00F13AE4" w:rsidRDefault="00F13AE4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3B4EE6" w14:textId="77777777" w:rsidR="003B662F" w:rsidRDefault="0023629B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Doctors ($146,000) and </w:t>
      </w:r>
      <w:r w:rsidR="00F13AE4">
        <w:rPr>
          <w:rFonts w:asciiTheme="minorHAnsi" w:hAnsiTheme="minorHAnsi" w:cstheme="minorHAnsi"/>
          <w:sz w:val="22"/>
          <w:szCs w:val="22"/>
        </w:rPr>
        <w:t>co</w:t>
      </w:r>
      <w:r>
        <w:rPr>
          <w:rFonts w:asciiTheme="minorHAnsi" w:hAnsiTheme="minorHAnsi" w:cstheme="minorHAnsi"/>
          <w:sz w:val="22"/>
          <w:szCs w:val="22"/>
        </w:rPr>
        <w:t xml:space="preserve">mmercial </w:t>
      </w:r>
      <w:r w:rsidR="00F13AE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roperty </w:t>
      </w:r>
      <w:r w:rsidR="00F13AE4">
        <w:rPr>
          <w:rFonts w:asciiTheme="minorHAnsi" w:hAnsiTheme="minorHAnsi" w:cstheme="minorHAnsi"/>
          <w:sz w:val="22"/>
          <w:szCs w:val="22"/>
        </w:rPr>
        <w:t xml:space="preserve">agents </w:t>
      </w:r>
      <w:r>
        <w:rPr>
          <w:rFonts w:asciiTheme="minorHAnsi" w:hAnsiTheme="minorHAnsi" w:cstheme="minorHAnsi"/>
          <w:sz w:val="22"/>
          <w:szCs w:val="22"/>
        </w:rPr>
        <w:t xml:space="preserve">($112,000) </w:t>
      </w:r>
      <w:r w:rsidR="00F13AE4">
        <w:rPr>
          <w:rFonts w:asciiTheme="minorHAnsi" w:hAnsiTheme="minorHAnsi" w:cstheme="minorHAnsi"/>
          <w:sz w:val="22"/>
          <w:szCs w:val="22"/>
        </w:rPr>
        <w:t xml:space="preserve">rounded out the top ten list. </w:t>
      </w:r>
    </w:p>
    <w:p w14:paraId="354E9AF5" w14:textId="77777777" w:rsidR="0023629B" w:rsidRPr="0039008A" w:rsidRDefault="0023629B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B74D5" w14:textId="77777777" w:rsidR="000055F6" w:rsidRPr="0039008A" w:rsidRDefault="00B44BEC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 w:rsidRPr="0039008A">
        <w:rPr>
          <w:rFonts w:asciiTheme="minorHAnsi" w:hAnsiTheme="minorHAnsi" w:cstheme="minorHAnsi"/>
          <w:b/>
          <w:sz w:val="22"/>
          <w:szCs w:val="22"/>
        </w:rPr>
        <w:t>Looking ahead</w:t>
      </w:r>
    </w:p>
    <w:p w14:paraId="1DDDE254" w14:textId="77777777" w:rsidR="00173BBE" w:rsidRPr="0039008A" w:rsidRDefault="00173BBE" w:rsidP="00AF2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4066E9" w14:textId="77777777" w:rsidR="00354CCD" w:rsidRPr="0039008A" w:rsidRDefault="00E56959" w:rsidP="00AF2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F13AE4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February </w:t>
      </w:r>
      <w:r w:rsidR="00F13AE4">
        <w:rPr>
          <w:rFonts w:asciiTheme="minorHAnsi" w:hAnsiTheme="minorHAnsi" w:cstheme="minorHAnsi"/>
          <w:sz w:val="22"/>
          <w:szCs w:val="22"/>
        </w:rPr>
        <w:t xml:space="preserve">are the peak months </w:t>
      </w:r>
      <w:r>
        <w:rPr>
          <w:rFonts w:asciiTheme="minorHAnsi" w:hAnsiTheme="minorHAnsi" w:cstheme="minorHAnsi"/>
          <w:sz w:val="22"/>
          <w:szCs w:val="22"/>
        </w:rPr>
        <w:t xml:space="preserve">for new job advertising, </w:t>
      </w:r>
      <w:r w:rsidR="00F13AE4">
        <w:rPr>
          <w:rFonts w:asciiTheme="minorHAnsi" w:hAnsiTheme="minorHAnsi" w:cstheme="minorHAnsi"/>
          <w:sz w:val="22"/>
          <w:szCs w:val="22"/>
        </w:rPr>
        <w:t xml:space="preserve">and Mr Osborne said </w:t>
      </w:r>
      <w:r>
        <w:rPr>
          <w:rFonts w:asciiTheme="minorHAnsi" w:hAnsiTheme="minorHAnsi" w:cstheme="minorHAnsi"/>
          <w:sz w:val="22"/>
          <w:szCs w:val="22"/>
        </w:rPr>
        <w:t xml:space="preserve">the strong conditions in the latter half of 2013 </w:t>
      </w:r>
      <w:r w:rsidR="00D575C8">
        <w:rPr>
          <w:rFonts w:asciiTheme="minorHAnsi" w:hAnsiTheme="minorHAnsi" w:cstheme="minorHAnsi"/>
          <w:sz w:val="22"/>
          <w:szCs w:val="22"/>
        </w:rPr>
        <w:t xml:space="preserve">looked set </w:t>
      </w:r>
      <w:r>
        <w:rPr>
          <w:rFonts w:asciiTheme="minorHAnsi" w:hAnsiTheme="minorHAnsi" w:cstheme="minorHAnsi"/>
          <w:sz w:val="22"/>
          <w:szCs w:val="22"/>
        </w:rPr>
        <w:t>to continue</w:t>
      </w:r>
      <w:r w:rsidR="00D575C8">
        <w:rPr>
          <w:rFonts w:asciiTheme="minorHAnsi" w:hAnsiTheme="minorHAnsi" w:cstheme="minorHAnsi"/>
          <w:sz w:val="22"/>
          <w:szCs w:val="22"/>
        </w:rPr>
        <w:t xml:space="preserve"> into 2014</w:t>
      </w:r>
      <w:r w:rsidR="00F13AE4">
        <w:rPr>
          <w:rFonts w:asciiTheme="minorHAnsi" w:hAnsiTheme="minorHAnsi" w:cstheme="minorHAnsi"/>
          <w:sz w:val="22"/>
          <w:szCs w:val="22"/>
        </w:rPr>
        <w:t>. “</w:t>
      </w:r>
      <w:r w:rsidR="006622E1">
        <w:rPr>
          <w:rFonts w:asciiTheme="minorHAnsi" w:hAnsiTheme="minorHAnsi" w:cstheme="minorHAnsi"/>
          <w:sz w:val="22"/>
          <w:szCs w:val="22"/>
        </w:rPr>
        <w:t>We expect there</w:t>
      </w:r>
      <w:r w:rsidR="00D575C8">
        <w:rPr>
          <w:rFonts w:asciiTheme="minorHAnsi" w:hAnsiTheme="minorHAnsi" w:cstheme="minorHAnsi"/>
          <w:sz w:val="22"/>
          <w:szCs w:val="22"/>
        </w:rPr>
        <w:t xml:space="preserve">’ll </w:t>
      </w:r>
      <w:r w:rsidR="006622E1">
        <w:rPr>
          <w:rFonts w:asciiTheme="minorHAnsi" w:hAnsiTheme="minorHAnsi" w:cstheme="minorHAnsi"/>
          <w:sz w:val="22"/>
          <w:szCs w:val="22"/>
        </w:rPr>
        <w:t xml:space="preserve">be </w:t>
      </w:r>
      <w:r w:rsidR="00F13AE4">
        <w:rPr>
          <w:rFonts w:asciiTheme="minorHAnsi" w:hAnsiTheme="minorHAnsi" w:cstheme="minorHAnsi"/>
          <w:sz w:val="22"/>
          <w:szCs w:val="22"/>
        </w:rPr>
        <w:t xml:space="preserve">plenty of opportunities for </w:t>
      </w:r>
      <w:r>
        <w:rPr>
          <w:rFonts w:asciiTheme="minorHAnsi" w:hAnsiTheme="minorHAnsi" w:cstheme="minorHAnsi"/>
          <w:sz w:val="22"/>
          <w:szCs w:val="22"/>
        </w:rPr>
        <w:t>school leavers</w:t>
      </w:r>
      <w:r w:rsidR="006622E1">
        <w:rPr>
          <w:rFonts w:asciiTheme="minorHAnsi" w:hAnsiTheme="minorHAnsi" w:cstheme="minorHAnsi"/>
          <w:sz w:val="22"/>
          <w:szCs w:val="22"/>
        </w:rPr>
        <w:t xml:space="preserve">, </w:t>
      </w:r>
      <w:r w:rsidR="00F13AE4">
        <w:rPr>
          <w:rFonts w:asciiTheme="minorHAnsi" w:hAnsiTheme="minorHAnsi" w:cstheme="minorHAnsi"/>
          <w:sz w:val="22"/>
          <w:szCs w:val="22"/>
        </w:rPr>
        <w:t>uni graduates</w:t>
      </w:r>
      <w:r>
        <w:rPr>
          <w:rFonts w:asciiTheme="minorHAnsi" w:hAnsiTheme="minorHAnsi" w:cstheme="minorHAnsi"/>
          <w:sz w:val="22"/>
          <w:szCs w:val="22"/>
        </w:rPr>
        <w:t xml:space="preserve"> and those looking for a change in the New Year to find the job </w:t>
      </w:r>
      <w:r w:rsidR="00F13AE4">
        <w:rPr>
          <w:rFonts w:asciiTheme="minorHAnsi" w:hAnsiTheme="minorHAnsi" w:cstheme="minorHAnsi"/>
          <w:sz w:val="22"/>
          <w:szCs w:val="22"/>
        </w:rPr>
        <w:t>they’ve been coveting</w:t>
      </w:r>
      <w:r>
        <w:rPr>
          <w:rFonts w:asciiTheme="minorHAnsi" w:hAnsiTheme="minorHAnsi" w:cstheme="minorHAnsi"/>
          <w:sz w:val="22"/>
          <w:szCs w:val="22"/>
        </w:rPr>
        <w:t>.</w:t>
      </w:r>
      <w:r w:rsidR="00F13AE4">
        <w:rPr>
          <w:rFonts w:asciiTheme="minorHAnsi" w:hAnsiTheme="minorHAnsi" w:cstheme="minorHAnsi"/>
          <w:sz w:val="22"/>
          <w:szCs w:val="22"/>
        </w:rPr>
        <w:t>”</w:t>
      </w:r>
      <w:r w:rsidR="00173BBE" w:rsidRPr="00390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B8F3E8" w14:textId="77777777" w:rsidR="00173BBE" w:rsidRPr="0039008A" w:rsidRDefault="00173BBE" w:rsidP="00B44B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1B709" w14:textId="1F25A262" w:rsidR="006622E1" w:rsidRDefault="006622E1" w:rsidP="003B66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job listings and salaries trending up, the outlook was rosy. “As confidence flows back into the wider economy, </w:t>
      </w:r>
      <w:r w:rsidR="003B662F">
        <w:rPr>
          <w:rFonts w:asciiTheme="minorHAnsi" w:hAnsiTheme="minorHAnsi" w:cstheme="minorHAnsi"/>
          <w:sz w:val="22"/>
          <w:szCs w:val="22"/>
        </w:rPr>
        <w:t>the immediate future is a solid show of strength for the national job market</w:t>
      </w:r>
      <w:r>
        <w:rPr>
          <w:rFonts w:asciiTheme="minorHAnsi" w:hAnsiTheme="minorHAnsi" w:cstheme="minorHAnsi"/>
          <w:sz w:val="22"/>
          <w:szCs w:val="22"/>
        </w:rPr>
        <w:t>,” he said. “W</w:t>
      </w:r>
      <w:r w:rsidR="003B662F">
        <w:rPr>
          <w:rFonts w:asciiTheme="minorHAnsi" w:hAnsiTheme="minorHAnsi" w:cstheme="minorHAnsi"/>
          <w:sz w:val="22"/>
          <w:szCs w:val="22"/>
        </w:rPr>
        <w:t xml:space="preserve">e haven’t seen a trend of increased job applications, which means candidates </w:t>
      </w:r>
      <w:r>
        <w:rPr>
          <w:rFonts w:asciiTheme="minorHAnsi" w:hAnsiTheme="minorHAnsi" w:cstheme="minorHAnsi"/>
          <w:sz w:val="22"/>
          <w:szCs w:val="22"/>
        </w:rPr>
        <w:t xml:space="preserve">in many sectors and regions remain in </w:t>
      </w:r>
      <w:r w:rsidR="003B662F">
        <w:rPr>
          <w:rFonts w:asciiTheme="minorHAnsi" w:hAnsiTheme="minorHAnsi" w:cstheme="minorHAnsi"/>
          <w:sz w:val="22"/>
          <w:szCs w:val="22"/>
        </w:rPr>
        <w:t xml:space="preserve">short supply and are </w:t>
      </w:r>
      <w:r w:rsidR="00DB0F32">
        <w:rPr>
          <w:rFonts w:asciiTheme="minorHAnsi" w:hAnsiTheme="minorHAnsi" w:cstheme="minorHAnsi"/>
          <w:sz w:val="22"/>
          <w:szCs w:val="22"/>
        </w:rPr>
        <w:t>yet to take full advantage of a market leaning more in their favour</w:t>
      </w:r>
      <w:r w:rsidR="003B66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3B66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C76D4B" w14:textId="77777777" w:rsidR="00C7543F" w:rsidRDefault="00C7543F" w:rsidP="003B66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87D777" w14:textId="77777777" w:rsidR="005A4200" w:rsidRDefault="005A4200" w:rsidP="00A72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008A">
        <w:rPr>
          <w:rFonts w:asciiTheme="minorHAnsi" w:hAnsiTheme="minorHAnsi" w:cstheme="minorHAnsi"/>
          <w:b/>
          <w:sz w:val="22"/>
          <w:szCs w:val="22"/>
        </w:rPr>
        <w:t>-ends-</w:t>
      </w:r>
    </w:p>
    <w:p w14:paraId="3261F288" w14:textId="77777777" w:rsidR="00762672" w:rsidRDefault="00762672" w:rsidP="00A72C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09D57E" w14:textId="49E55B1F" w:rsidR="00762672" w:rsidRDefault="00762672" w:rsidP="00C754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More info: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7543F">
        <w:rPr>
          <w:rFonts w:asciiTheme="minorHAnsi" w:hAnsiTheme="minorHAnsi" w:cstheme="minorHAnsi"/>
          <w:b/>
          <w:sz w:val="22"/>
          <w:szCs w:val="22"/>
        </w:rPr>
        <w:br/>
      </w:r>
      <w:r w:rsidR="00C7543F">
        <w:rPr>
          <w:rFonts w:asciiTheme="minorHAnsi" w:hAnsiTheme="minorHAnsi" w:cstheme="minorHAnsi"/>
          <w:b/>
          <w:sz w:val="22"/>
          <w:szCs w:val="22"/>
        </w:rPr>
        <w:br/>
      </w:r>
      <w:r w:rsidR="00C7543F" w:rsidRPr="00C7543F">
        <w:rPr>
          <w:rFonts w:asciiTheme="minorHAnsi" w:hAnsiTheme="minorHAnsi" w:cstheme="minorHAnsi"/>
          <w:b/>
          <w:sz w:val="22"/>
          <w:szCs w:val="22"/>
        </w:rPr>
        <w:t>1/</w:t>
      </w:r>
      <w:r w:rsidR="00C754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543F" w:rsidRPr="00C7543F">
        <w:rPr>
          <w:rFonts w:asciiTheme="minorHAnsi" w:hAnsiTheme="minorHAnsi" w:cstheme="minorHAnsi"/>
          <w:sz w:val="22"/>
          <w:szCs w:val="22"/>
        </w:rPr>
        <w:t>To arrange</w:t>
      </w:r>
      <w:r w:rsidR="00C754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543F" w:rsidRPr="00C7543F">
        <w:rPr>
          <w:rFonts w:asciiTheme="minorHAnsi" w:hAnsiTheme="minorHAnsi" w:cstheme="minorHAnsi"/>
          <w:sz w:val="22"/>
          <w:szCs w:val="22"/>
        </w:rPr>
        <w:t>an interview with Pete</w:t>
      </w:r>
      <w:r w:rsidR="00C7543F">
        <w:rPr>
          <w:rFonts w:asciiTheme="minorHAnsi" w:hAnsiTheme="minorHAnsi" w:cstheme="minorHAnsi"/>
          <w:sz w:val="22"/>
          <w:szCs w:val="22"/>
        </w:rPr>
        <w:t xml:space="preserve">r Osborne, please contact Jeff Hunkin at Trade Me on 04 803 2702 or 021 778 403, or email </w:t>
      </w:r>
      <w:hyperlink r:id="rId8" w:history="1">
        <w:r w:rsidR="00C7543F" w:rsidRPr="00671C3B">
          <w:rPr>
            <w:rStyle w:val="Hyperlink"/>
            <w:rFonts w:asciiTheme="minorHAnsi" w:hAnsiTheme="minorHAnsi" w:cstheme="minorHAnsi"/>
            <w:sz w:val="22"/>
            <w:szCs w:val="22"/>
          </w:rPr>
          <w:t>jeff@trademe.co.nz</w:t>
        </w:r>
      </w:hyperlink>
      <w:r w:rsidR="00C7543F">
        <w:rPr>
          <w:rFonts w:asciiTheme="minorHAnsi" w:hAnsiTheme="minorHAnsi" w:cstheme="minorHAnsi"/>
          <w:sz w:val="22"/>
          <w:szCs w:val="22"/>
        </w:rPr>
        <w:t xml:space="preserve"> </w:t>
      </w:r>
      <w:r w:rsidR="00C7543F">
        <w:rPr>
          <w:rFonts w:asciiTheme="minorHAnsi" w:hAnsiTheme="minorHAnsi" w:cstheme="minorHAnsi"/>
          <w:b/>
          <w:sz w:val="22"/>
          <w:szCs w:val="22"/>
        </w:rPr>
        <w:br/>
      </w:r>
      <w:r w:rsidR="00C7543F">
        <w:rPr>
          <w:rFonts w:asciiTheme="minorHAnsi" w:hAnsiTheme="minorHAnsi" w:cstheme="minorHAnsi"/>
          <w:b/>
          <w:sz w:val="22"/>
          <w:szCs w:val="22"/>
        </w:rPr>
        <w:br/>
      </w:r>
      <w:r w:rsidR="00C7543F" w:rsidRPr="00C7543F">
        <w:rPr>
          <w:rFonts w:asciiTheme="minorHAnsi" w:hAnsiTheme="minorHAnsi" w:cstheme="minorHAnsi"/>
          <w:b/>
          <w:sz w:val="22"/>
          <w:szCs w:val="22"/>
        </w:rPr>
        <w:t>2/</w:t>
      </w:r>
      <w:r w:rsidR="00C754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full Trade Me Jobs employment survey results are set out below.</w:t>
      </w:r>
    </w:p>
    <w:p w14:paraId="144FE099" w14:textId="77777777" w:rsidR="00D575C8" w:rsidRDefault="00D575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680C4C" w14:textId="77777777" w:rsidR="000538E8" w:rsidRPr="000538E8" w:rsidRDefault="000538E8" w:rsidP="000538E8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538E8">
        <w:rPr>
          <w:rFonts w:asciiTheme="minorHAnsi" w:hAnsiTheme="minorHAnsi" w:cstheme="minorHAnsi"/>
          <w:b/>
          <w:sz w:val="32"/>
          <w:szCs w:val="32"/>
        </w:rPr>
        <w:lastRenderedPageBreak/>
        <w:t xml:space="preserve">Trade Me Jobs employment survey results: </w:t>
      </w:r>
      <w:r w:rsidR="0023629B">
        <w:rPr>
          <w:rFonts w:asciiTheme="minorHAnsi" w:hAnsiTheme="minorHAnsi" w:cstheme="minorHAnsi"/>
          <w:b/>
          <w:sz w:val="32"/>
          <w:szCs w:val="32"/>
        </w:rPr>
        <w:t>Oct</w:t>
      </w:r>
      <w:r w:rsidRPr="000538E8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23629B">
        <w:rPr>
          <w:rFonts w:asciiTheme="minorHAnsi" w:hAnsiTheme="minorHAnsi" w:cstheme="minorHAnsi"/>
          <w:b/>
          <w:sz w:val="32"/>
          <w:szCs w:val="32"/>
        </w:rPr>
        <w:t>Dec</w:t>
      </w:r>
      <w:r w:rsidRPr="000538E8">
        <w:rPr>
          <w:rFonts w:asciiTheme="minorHAnsi" w:hAnsiTheme="minorHAnsi" w:cstheme="minorHAnsi"/>
          <w:b/>
          <w:sz w:val="32"/>
          <w:szCs w:val="32"/>
        </w:rPr>
        <w:t xml:space="preserve"> 2013</w:t>
      </w:r>
    </w:p>
    <w:p w14:paraId="4DACA861" w14:textId="77777777" w:rsidR="000538E8" w:rsidRPr="000538E8" w:rsidRDefault="000538E8" w:rsidP="000538E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538E8">
        <w:rPr>
          <w:rFonts w:asciiTheme="minorHAnsi" w:hAnsiTheme="minorHAnsi" w:cstheme="minorHAnsi"/>
          <w:b/>
          <w:i/>
          <w:sz w:val="20"/>
          <w:szCs w:val="20"/>
        </w:rPr>
        <w:t xml:space="preserve">1. Listings growth by job: </w:t>
      </w:r>
      <w:r w:rsidR="0023629B">
        <w:rPr>
          <w:rFonts w:asciiTheme="minorHAnsi" w:hAnsiTheme="minorHAnsi" w:cstheme="minorHAnsi"/>
          <w:b/>
          <w:i/>
          <w:sz w:val="20"/>
          <w:szCs w:val="20"/>
        </w:rPr>
        <w:t>Q4</w:t>
      </w:r>
      <w:r w:rsidRPr="000538E8">
        <w:rPr>
          <w:rFonts w:asciiTheme="minorHAnsi" w:hAnsiTheme="minorHAnsi" w:cstheme="minorHAnsi"/>
          <w:b/>
          <w:i/>
          <w:sz w:val="20"/>
          <w:szCs w:val="20"/>
        </w:rPr>
        <w:t>/2013</w:t>
      </w:r>
    </w:p>
    <w:p w14:paraId="73C460A9" w14:textId="77777777" w:rsidR="000538E8" w:rsidRPr="000538E8" w:rsidRDefault="000538E8" w:rsidP="000538E8">
      <w:pPr>
        <w:rPr>
          <w:rFonts w:asciiTheme="minorHAnsi" w:hAnsiTheme="minorHAnsi" w:cstheme="minorHAnsi"/>
          <w:b/>
          <w:sz w:val="18"/>
          <w:szCs w:val="18"/>
        </w:rPr>
      </w:pPr>
    </w:p>
    <w:p w14:paraId="4FBD21EA" w14:textId="77777777" w:rsidR="000538E8" w:rsidRPr="000538E8" w:rsidRDefault="000538E8" w:rsidP="000538E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32"/>
      </w:tblGrid>
      <w:tr w:rsidR="00841D9E" w:rsidRPr="000538E8" w14:paraId="0ACEFBA8" w14:textId="77777777" w:rsidTr="00841D9E">
        <w:trPr>
          <w:trHeight w:val="525"/>
        </w:trPr>
        <w:tc>
          <w:tcPr>
            <w:tcW w:w="3438" w:type="dxa"/>
            <w:shd w:val="clear" w:color="auto" w:fill="3366FF"/>
            <w:vAlign w:val="center"/>
          </w:tcPr>
          <w:p w14:paraId="25CAE4DA" w14:textId="77777777" w:rsidR="00841D9E" w:rsidRPr="000538E8" w:rsidRDefault="00841D9E" w:rsidP="00841D9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Job</w:t>
            </w:r>
          </w:p>
        </w:tc>
        <w:tc>
          <w:tcPr>
            <w:tcW w:w="2232" w:type="dxa"/>
            <w:shd w:val="clear" w:color="auto" w:fill="3366FF"/>
            <w:vAlign w:val="center"/>
          </w:tcPr>
          <w:p w14:paraId="73BA46AD" w14:textId="77777777" w:rsidR="00841D9E" w:rsidRDefault="00841D9E" w:rsidP="00841D9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Year-on-year</w:t>
            </w:r>
          </w:p>
          <w:p w14:paraId="4C363FA0" w14:textId="77777777" w:rsidR="00841D9E" w:rsidRPr="000538E8" w:rsidRDefault="00841D9E" w:rsidP="00841D9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% change </w:t>
            </w:r>
          </w:p>
          <w:p w14:paraId="5833C2CD" w14:textId="77777777" w:rsidR="00841D9E" w:rsidRPr="000538E8" w:rsidRDefault="00841D9E" w:rsidP="00841D9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Q4</w:t>
            </w: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/2013 vs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Q4</w:t>
            </w: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/2012 </w:t>
            </w:r>
          </w:p>
        </w:tc>
      </w:tr>
      <w:tr w:rsidR="00841D9E" w:rsidRPr="000538E8" w14:paraId="172611D3" w14:textId="77777777" w:rsidTr="00841D9E">
        <w:tc>
          <w:tcPr>
            <w:tcW w:w="3438" w:type="dxa"/>
            <w:noWrap/>
            <w:vAlign w:val="center"/>
          </w:tcPr>
          <w:p w14:paraId="419906E4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Accounting </w:t>
            </w:r>
          </w:p>
        </w:tc>
        <w:tc>
          <w:tcPr>
            <w:tcW w:w="2232" w:type="dxa"/>
            <w:vAlign w:val="center"/>
          </w:tcPr>
          <w:p w14:paraId="26AA2EC6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- 1.1</w:t>
            </w:r>
          </w:p>
        </w:tc>
      </w:tr>
      <w:tr w:rsidR="00841D9E" w:rsidRPr="000538E8" w14:paraId="523CE2EA" w14:textId="77777777" w:rsidTr="00841D9E">
        <w:tc>
          <w:tcPr>
            <w:tcW w:w="3438" w:type="dxa"/>
            <w:noWrap/>
            <w:vAlign w:val="center"/>
          </w:tcPr>
          <w:p w14:paraId="2A868666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Agriculture, fishing &amp; forestry </w:t>
            </w:r>
          </w:p>
        </w:tc>
        <w:tc>
          <w:tcPr>
            <w:tcW w:w="2232" w:type="dxa"/>
            <w:vAlign w:val="center"/>
          </w:tcPr>
          <w:p w14:paraId="05DEBA1F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32.5</w:t>
            </w:r>
          </w:p>
        </w:tc>
      </w:tr>
      <w:tr w:rsidR="00841D9E" w:rsidRPr="000538E8" w14:paraId="22A44FA8" w14:textId="77777777" w:rsidTr="00841D9E">
        <w:tc>
          <w:tcPr>
            <w:tcW w:w="3438" w:type="dxa"/>
            <w:noWrap/>
            <w:vAlign w:val="center"/>
          </w:tcPr>
          <w:p w14:paraId="04D9FA70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Banking, finance &amp; insurance </w:t>
            </w:r>
          </w:p>
        </w:tc>
        <w:tc>
          <w:tcPr>
            <w:tcW w:w="2232" w:type="dxa"/>
            <w:vAlign w:val="center"/>
          </w:tcPr>
          <w:p w14:paraId="39693C7B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- 8.7</w:t>
            </w:r>
          </w:p>
        </w:tc>
      </w:tr>
      <w:tr w:rsidR="00841D9E" w:rsidRPr="000538E8" w14:paraId="734EA5E4" w14:textId="77777777" w:rsidTr="00841D9E">
        <w:tc>
          <w:tcPr>
            <w:tcW w:w="3438" w:type="dxa"/>
            <w:noWrap/>
            <w:vAlign w:val="center"/>
          </w:tcPr>
          <w:p w14:paraId="1490A292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Construction &amp; architecture </w:t>
            </w:r>
          </w:p>
        </w:tc>
        <w:tc>
          <w:tcPr>
            <w:tcW w:w="2232" w:type="dxa"/>
            <w:vAlign w:val="center"/>
          </w:tcPr>
          <w:p w14:paraId="0BB979E8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15.8 </w:t>
            </w:r>
          </w:p>
        </w:tc>
      </w:tr>
      <w:tr w:rsidR="00841D9E" w:rsidRPr="000538E8" w14:paraId="29A02A9E" w14:textId="77777777" w:rsidTr="00841D9E">
        <w:tc>
          <w:tcPr>
            <w:tcW w:w="3438" w:type="dxa"/>
            <w:noWrap/>
            <w:vAlign w:val="center"/>
          </w:tcPr>
          <w:p w14:paraId="2B3F2300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Customer service </w:t>
            </w:r>
          </w:p>
        </w:tc>
        <w:tc>
          <w:tcPr>
            <w:tcW w:w="2232" w:type="dxa"/>
            <w:vAlign w:val="center"/>
          </w:tcPr>
          <w:p w14:paraId="302E848D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34.6 </w:t>
            </w:r>
          </w:p>
        </w:tc>
      </w:tr>
      <w:tr w:rsidR="00841D9E" w:rsidRPr="000538E8" w14:paraId="7075CF69" w14:textId="77777777" w:rsidTr="00841D9E">
        <w:tc>
          <w:tcPr>
            <w:tcW w:w="3438" w:type="dxa"/>
            <w:noWrap/>
            <w:vAlign w:val="center"/>
          </w:tcPr>
          <w:p w14:paraId="008FA68D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Education </w:t>
            </w:r>
          </w:p>
        </w:tc>
        <w:tc>
          <w:tcPr>
            <w:tcW w:w="2232" w:type="dxa"/>
            <w:vAlign w:val="center"/>
          </w:tcPr>
          <w:p w14:paraId="21F516B6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16.5 </w:t>
            </w:r>
          </w:p>
        </w:tc>
      </w:tr>
      <w:tr w:rsidR="00841D9E" w:rsidRPr="000538E8" w14:paraId="2215EE34" w14:textId="77777777" w:rsidTr="00841D9E">
        <w:tc>
          <w:tcPr>
            <w:tcW w:w="3438" w:type="dxa"/>
            <w:noWrap/>
            <w:vAlign w:val="center"/>
          </w:tcPr>
          <w:p w14:paraId="72A2DCD6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Engineering </w:t>
            </w:r>
          </w:p>
        </w:tc>
        <w:tc>
          <w:tcPr>
            <w:tcW w:w="2232" w:type="dxa"/>
            <w:vAlign w:val="center"/>
          </w:tcPr>
          <w:p w14:paraId="6CFEFAF2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15.4 </w:t>
            </w:r>
          </w:p>
        </w:tc>
      </w:tr>
      <w:tr w:rsidR="00841D9E" w:rsidRPr="000538E8" w14:paraId="599188F9" w14:textId="77777777" w:rsidTr="00841D9E">
        <w:tc>
          <w:tcPr>
            <w:tcW w:w="3438" w:type="dxa"/>
            <w:noWrap/>
            <w:vAlign w:val="center"/>
          </w:tcPr>
          <w:p w14:paraId="3E6002FA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Government &amp; council </w:t>
            </w:r>
          </w:p>
        </w:tc>
        <w:tc>
          <w:tcPr>
            <w:tcW w:w="2232" w:type="dxa"/>
            <w:vAlign w:val="center"/>
          </w:tcPr>
          <w:p w14:paraId="045F129B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- 8.0</w:t>
            </w:r>
          </w:p>
        </w:tc>
      </w:tr>
      <w:tr w:rsidR="00841D9E" w:rsidRPr="000538E8" w14:paraId="7E28F31E" w14:textId="77777777" w:rsidTr="00841D9E">
        <w:tc>
          <w:tcPr>
            <w:tcW w:w="3438" w:type="dxa"/>
            <w:noWrap/>
            <w:vAlign w:val="center"/>
          </w:tcPr>
          <w:p w14:paraId="3F40AE65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Healthcare </w:t>
            </w:r>
          </w:p>
        </w:tc>
        <w:tc>
          <w:tcPr>
            <w:tcW w:w="2232" w:type="dxa"/>
            <w:vAlign w:val="center"/>
          </w:tcPr>
          <w:p w14:paraId="2F6F2EC9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2.5 </w:t>
            </w:r>
          </w:p>
        </w:tc>
      </w:tr>
      <w:tr w:rsidR="00841D9E" w:rsidRPr="000538E8" w14:paraId="19E4C397" w14:textId="77777777" w:rsidTr="00841D9E">
        <w:tc>
          <w:tcPr>
            <w:tcW w:w="3438" w:type="dxa"/>
            <w:noWrap/>
            <w:vAlign w:val="center"/>
          </w:tcPr>
          <w:p w14:paraId="0403CE1F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Hospitality &amp; tourism </w:t>
            </w:r>
          </w:p>
        </w:tc>
        <w:tc>
          <w:tcPr>
            <w:tcW w:w="2232" w:type="dxa"/>
            <w:vAlign w:val="center"/>
          </w:tcPr>
          <w:p w14:paraId="2107376E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30.5 </w:t>
            </w:r>
          </w:p>
        </w:tc>
      </w:tr>
      <w:tr w:rsidR="00841D9E" w:rsidRPr="000538E8" w14:paraId="651B1A7D" w14:textId="77777777" w:rsidTr="00841D9E">
        <w:tc>
          <w:tcPr>
            <w:tcW w:w="3438" w:type="dxa"/>
            <w:noWrap/>
            <w:vAlign w:val="center"/>
          </w:tcPr>
          <w:p w14:paraId="783024CF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HR &amp; recruitment </w:t>
            </w:r>
          </w:p>
        </w:tc>
        <w:tc>
          <w:tcPr>
            <w:tcW w:w="2232" w:type="dxa"/>
            <w:vAlign w:val="center"/>
          </w:tcPr>
          <w:p w14:paraId="6A0118CD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14.0 </w:t>
            </w:r>
          </w:p>
        </w:tc>
      </w:tr>
      <w:tr w:rsidR="00841D9E" w:rsidRPr="000538E8" w14:paraId="20D5750D" w14:textId="77777777" w:rsidTr="00841D9E">
        <w:tc>
          <w:tcPr>
            <w:tcW w:w="3438" w:type="dxa"/>
            <w:noWrap/>
            <w:vAlign w:val="center"/>
          </w:tcPr>
          <w:p w14:paraId="5BD41AE1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IT </w:t>
            </w:r>
          </w:p>
        </w:tc>
        <w:tc>
          <w:tcPr>
            <w:tcW w:w="2232" w:type="dxa"/>
            <w:vAlign w:val="center"/>
          </w:tcPr>
          <w:p w14:paraId="73181209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8.8 </w:t>
            </w:r>
          </w:p>
        </w:tc>
      </w:tr>
      <w:tr w:rsidR="00841D9E" w:rsidRPr="000538E8" w14:paraId="0C89A716" w14:textId="77777777" w:rsidTr="00841D9E">
        <w:tc>
          <w:tcPr>
            <w:tcW w:w="3438" w:type="dxa"/>
            <w:noWrap/>
            <w:vAlign w:val="center"/>
          </w:tcPr>
          <w:p w14:paraId="37F84492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Legal </w:t>
            </w:r>
          </w:p>
        </w:tc>
        <w:tc>
          <w:tcPr>
            <w:tcW w:w="2232" w:type="dxa"/>
            <w:vAlign w:val="center"/>
          </w:tcPr>
          <w:p w14:paraId="4A6B6E81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- 36.9</w:t>
            </w:r>
          </w:p>
        </w:tc>
      </w:tr>
      <w:tr w:rsidR="00841D9E" w:rsidRPr="000538E8" w14:paraId="39E4EB72" w14:textId="77777777" w:rsidTr="00841D9E">
        <w:tc>
          <w:tcPr>
            <w:tcW w:w="3438" w:type="dxa"/>
            <w:noWrap/>
            <w:vAlign w:val="center"/>
          </w:tcPr>
          <w:p w14:paraId="17DB9CFC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Manufacturing &amp; operations </w:t>
            </w:r>
          </w:p>
        </w:tc>
        <w:tc>
          <w:tcPr>
            <w:tcW w:w="2232" w:type="dxa"/>
            <w:vAlign w:val="center"/>
          </w:tcPr>
          <w:p w14:paraId="5F22268B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23.4 </w:t>
            </w:r>
          </w:p>
        </w:tc>
      </w:tr>
      <w:tr w:rsidR="00841D9E" w:rsidRPr="000538E8" w14:paraId="458A9B17" w14:textId="77777777" w:rsidTr="00841D9E">
        <w:tc>
          <w:tcPr>
            <w:tcW w:w="3438" w:type="dxa"/>
            <w:noWrap/>
            <w:vAlign w:val="center"/>
          </w:tcPr>
          <w:p w14:paraId="1E295440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Marketing, media &amp; communications </w:t>
            </w:r>
          </w:p>
        </w:tc>
        <w:tc>
          <w:tcPr>
            <w:tcW w:w="2232" w:type="dxa"/>
            <w:vAlign w:val="center"/>
          </w:tcPr>
          <w:p w14:paraId="3291DAF1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8.2 </w:t>
            </w:r>
          </w:p>
        </w:tc>
      </w:tr>
      <w:tr w:rsidR="00841D9E" w:rsidRPr="000538E8" w14:paraId="10E57168" w14:textId="77777777" w:rsidTr="00841D9E">
        <w:tc>
          <w:tcPr>
            <w:tcW w:w="3438" w:type="dxa"/>
            <w:noWrap/>
            <w:vAlign w:val="center"/>
          </w:tcPr>
          <w:p w14:paraId="716CA648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Office &amp; administration </w:t>
            </w:r>
          </w:p>
        </w:tc>
        <w:tc>
          <w:tcPr>
            <w:tcW w:w="2232" w:type="dxa"/>
            <w:vAlign w:val="center"/>
          </w:tcPr>
          <w:p w14:paraId="70340BB1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0.9 </w:t>
            </w:r>
          </w:p>
        </w:tc>
      </w:tr>
      <w:tr w:rsidR="00841D9E" w:rsidRPr="000538E8" w14:paraId="6C9A068B" w14:textId="77777777" w:rsidTr="00841D9E">
        <w:tc>
          <w:tcPr>
            <w:tcW w:w="3438" w:type="dxa"/>
            <w:noWrap/>
            <w:vAlign w:val="center"/>
          </w:tcPr>
          <w:p w14:paraId="0F40FC86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Retail </w:t>
            </w:r>
          </w:p>
        </w:tc>
        <w:tc>
          <w:tcPr>
            <w:tcW w:w="2232" w:type="dxa"/>
            <w:vAlign w:val="center"/>
          </w:tcPr>
          <w:p w14:paraId="4B24513C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23.0 </w:t>
            </w:r>
          </w:p>
        </w:tc>
      </w:tr>
      <w:tr w:rsidR="00841D9E" w:rsidRPr="000538E8" w14:paraId="4DA7C3F7" w14:textId="77777777" w:rsidTr="00841D9E">
        <w:tc>
          <w:tcPr>
            <w:tcW w:w="3438" w:type="dxa"/>
            <w:noWrap/>
            <w:vAlign w:val="center"/>
          </w:tcPr>
          <w:p w14:paraId="6BF9E879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Sales </w:t>
            </w:r>
          </w:p>
        </w:tc>
        <w:tc>
          <w:tcPr>
            <w:tcW w:w="2232" w:type="dxa"/>
            <w:vAlign w:val="center"/>
          </w:tcPr>
          <w:p w14:paraId="6D584C09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10.3 </w:t>
            </w:r>
          </w:p>
        </w:tc>
      </w:tr>
      <w:tr w:rsidR="00841D9E" w:rsidRPr="000538E8" w14:paraId="0EC162A4" w14:textId="77777777" w:rsidTr="00841D9E">
        <w:tc>
          <w:tcPr>
            <w:tcW w:w="3438" w:type="dxa"/>
            <w:noWrap/>
            <w:vAlign w:val="center"/>
          </w:tcPr>
          <w:p w14:paraId="3815AEBA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Science &amp; technology </w:t>
            </w:r>
          </w:p>
        </w:tc>
        <w:tc>
          <w:tcPr>
            <w:tcW w:w="2232" w:type="dxa"/>
            <w:vAlign w:val="center"/>
          </w:tcPr>
          <w:p w14:paraId="32DCE0CD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- 0.6</w:t>
            </w:r>
          </w:p>
        </w:tc>
      </w:tr>
      <w:tr w:rsidR="00841D9E" w:rsidRPr="000538E8" w14:paraId="72AA5B74" w14:textId="77777777" w:rsidTr="00841D9E">
        <w:tc>
          <w:tcPr>
            <w:tcW w:w="3438" w:type="dxa"/>
            <w:noWrap/>
            <w:vAlign w:val="center"/>
          </w:tcPr>
          <w:p w14:paraId="2BF1D91D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Trades &amp; services </w:t>
            </w:r>
          </w:p>
        </w:tc>
        <w:tc>
          <w:tcPr>
            <w:tcW w:w="2232" w:type="dxa"/>
            <w:vAlign w:val="center"/>
          </w:tcPr>
          <w:p w14:paraId="7822F577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32.7 </w:t>
            </w:r>
          </w:p>
        </w:tc>
      </w:tr>
      <w:tr w:rsidR="00841D9E" w:rsidRPr="000538E8" w14:paraId="41F0ED2B" w14:textId="77777777" w:rsidTr="00841D9E">
        <w:tc>
          <w:tcPr>
            <w:tcW w:w="3438" w:type="dxa"/>
            <w:shd w:val="clear" w:color="auto" w:fill="FFFFFF" w:themeFill="background1"/>
            <w:noWrap/>
            <w:vAlign w:val="center"/>
          </w:tcPr>
          <w:p w14:paraId="0C835FF7" w14:textId="77777777" w:rsidR="00841D9E" w:rsidRDefault="00841D9E" w:rsidP="00841D9E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Transport &amp; logistics 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7052CB9" w14:textId="77777777" w:rsidR="00841D9E" w:rsidRPr="00AB2196" w:rsidRDefault="00841D9E" w:rsidP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30.4 </w:t>
            </w:r>
          </w:p>
        </w:tc>
      </w:tr>
      <w:tr w:rsidR="00841D9E" w:rsidRPr="000538E8" w14:paraId="2992AB9F" w14:textId="77777777" w:rsidTr="00841D9E">
        <w:trPr>
          <w:trHeight w:val="59"/>
        </w:trPr>
        <w:tc>
          <w:tcPr>
            <w:tcW w:w="3438" w:type="dxa"/>
            <w:shd w:val="clear" w:color="auto" w:fill="CCCCCC"/>
            <w:noWrap/>
          </w:tcPr>
          <w:p w14:paraId="52C76223" w14:textId="77777777" w:rsidR="00841D9E" w:rsidRPr="000538E8" w:rsidRDefault="00841D9E" w:rsidP="00841D9E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  <w:t>Overall</w:t>
            </w:r>
          </w:p>
        </w:tc>
        <w:tc>
          <w:tcPr>
            <w:tcW w:w="2232" w:type="dxa"/>
            <w:shd w:val="clear" w:color="auto" w:fill="CCCCCC"/>
            <w:vAlign w:val="center"/>
          </w:tcPr>
          <w:p w14:paraId="460CB88C" w14:textId="77777777" w:rsidR="00841D9E" w:rsidRPr="000C2363" w:rsidRDefault="00841D9E" w:rsidP="00841D9E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0C2363">
              <w:rPr>
                <w:rFonts w:ascii="Calibri" w:hAnsi="Calibri"/>
                <w:b/>
                <w:sz w:val="18"/>
                <w:szCs w:val="18"/>
              </w:rPr>
              <w:t xml:space="preserve">17.0 </w:t>
            </w:r>
          </w:p>
        </w:tc>
      </w:tr>
    </w:tbl>
    <w:p w14:paraId="7ACEB8AB" w14:textId="77777777" w:rsidR="000538E8" w:rsidRPr="000538E8" w:rsidRDefault="000538E8" w:rsidP="000538E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538E8">
        <w:rPr>
          <w:rFonts w:asciiTheme="minorHAnsi" w:hAnsiTheme="minorHAnsi" w:cstheme="minorHAnsi"/>
          <w:b/>
          <w:sz w:val="18"/>
          <w:szCs w:val="18"/>
        </w:rPr>
        <w:br w:type="textWrapping" w:clear="all"/>
      </w:r>
    </w:p>
    <w:p w14:paraId="678F6404" w14:textId="77777777" w:rsidR="000538E8" w:rsidRPr="000538E8" w:rsidRDefault="000538E8" w:rsidP="000538E8">
      <w:pPr>
        <w:ind w:left="-360" w:firstLine="360"/>
        <w:rPr>
          <w:rFonts w:asciiTheme="minorHAnsi" w:hAnsiTheme="minorHAnsi" w:cstheme="minorHAnsi"/>
          <w:b/>
          <w:i/>
          <w:sz w:val="20"/>
          <w:szCs w:val="20"/>
        </w:rPr>
      </w:pPr>
      <w:r w:rsidRPr="000538E8">
        <w:rPr>
          <w:rFonts w:asciiTheme="minorHAnsi" w:hAnsiTheme="minorHAnsi" w:cstheme="minorHAnsi"/>
          <w:b/>
          <w:i/>
          <w:sz w:val="20"/>
          <w:szCs w:val="20"/>
        </w:rPr>
        <w:t>2. Average rates of pay by job (full-time jobs only): Q</w:t>
      </w:r>
      <w:r w:rsidR="0023629B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0538E8">
        <w:rPr>
          <w:rFonts w:asciiTheme="minorHAnsi" w:hAnsiTheme="minorHAnsi" w:cstheme="minorHAnsi"/>
          <w:b/>
          <w:i/>
          <w:sz w:val="20"/>
          <w:szCs w:val="20"/>
        </w:rPr>
        <w:t>/2013</w:t>
      </w:r>
    </w:p>
    <w:p w14:paraId="02FCDCE0" w14:textId="77777777" w:rsidR="000538E8" w:rsidRPr="000538E8" w:rsidRDefault="000538E8" w:rsidP="000538E8">
      <w:pPr>
        <w:ind w:left="-36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685" w:type="dxa"/>
        <w:tblInd w:w="93" w:type="dxa"/>
        <w:tblLook w:val="0000" w:firstRow="0" w:lastRow="0" w:firstColumn="0" w:lastColumn="0" w:noHBand="0" w:noVBand="0"/>
      </w:tblPr>
      <w:tblGrid>
        <w:gridCol w:w="360"/>
        <w:gridCol w:w="3624"/>
        <w:gridCol w:w="1701"/>
      </w:tblGrid>
      <w:tr w:rsidR="000538E8" w:rsidRPr="000538E8" w14:paraId="5426F27F" w14:textId="77777777" w:rsidTr="009F5AA1">
        <w:trPr>
          <w:trHeight w:val="52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39B234AC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049B8647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Highest paid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5D7B0977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Pay rate ($)</w:t>
            </w:r>
          </w:p>
        </w:tc>
      </w:tr>
      <w:tr w:rsidR="000538E8" w:rsidRPr="000538E8" w14:paraId="306324A5" w14:textId="77777777" w:rsidTr="009F5AA1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531CAEC" w14:textId="77777777" w:rsidR="000538E8" w:rsidRPr="000538E8" w:rsidRDefault="000538E8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right w:val="single" w:sz="8" w:space="0" w:color="auto"/>
            </w:tcBorders>
          </w:tcPr>
          <w:p w14:paraId="1242C94E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14:paraId="27317BB2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23629B" w:rsidRPr="000538E8" w14:paraId="411C99FE" w14:textId="77777777" w:rsidTr="009F5AA1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6681A4A2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vAlign w:val="center"/>
          </w:tcPr>
          <w:p w14:paraId="1695BAC3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Healthcare - Doctors &amp; specialists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vAlign w:val="center"/>
          </w:tcPr>
          <w:p w14:paraId="092A9180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146,596</w:t>
            </w:r>
          </w:p>
        </w:tc>
      </w:tr>
      <w:tr w:rsidR="0023629B" w:rsidRPr="000538E8" w14:paraId="60C755A7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C6B7C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C42F17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IT - Architects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F644A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135,691</w:t>
            </w:r>
          </w:p>
        </w:tc>
      </w:tr>
      <w:tr w:rsidR="0023629B" w:rsidRPr="000538E8" w14:paraId="7547FA20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2DE1A6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36926B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IT - Project management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9BE90A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131,215</w:t>
            </w:r>
          </w:p>
        </w:tc>
      </w:tr>
      <w:tr w:rsidR="0023629B" w:rsidRPr="000538E8" w14:paraId="3AACF315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5538121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8DB138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IT - Management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D49035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126,347</w:t>
            </w:r>
          </w:p>
        </w:tc>
      </w:tr>
      <w:tr w:rsidR="0023629B" w:rsidRPr="000538E8" w14:paraId="090CD640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7F63E74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C6A91A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IT - Data warehousing &amp; 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5236CB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121,932</w:t>
            </w:r>
          </w:p>
        </w:tc>
      </w:tr>
      <w:tr w:rsidR="000538E8" w:rsidRPr="000538E8" w14:paraId="6555B67A" w14:textId="77777777" w:rsidTr="009F5AA1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4C841A2F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02ED5B1D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Lowest paid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66CD196F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Pay rate ($)</w:t>
            </w:r>
          </w:p>
        </w:tc>
      </w:tr>
      <w:tr w:rsidR="000538E8" w:rsidRPr="000538E8" w14:paraId="4C3EDBFF" w14:textId="77777777" w:rsidTr="009F5AA1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24466088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right w:val="single" w:sz="8" w:space="0" w:color="auto"/>
            </w:tcBorders>
          </w:tcPr>
          <w:p w14:paraId="3AF1FEB3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14:paraId="70C4E2D4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23629B" w:rsidRPr="000538E8" w14:paraId="5173E68D" w14:textId="77777777" w:rsidTr="009F5AA1"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  <w:noWrap/>
            <w:vAlign w:val="center"/>
          </w:tcPr>
          <w:p w14:paraId="228A9E94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624" w:type="dxa"/>
            <w:tcBorders>
              <w:top w:val="nil"/>
              <w:left w:val="single" w:sz="6" w:space="0" w:color="000000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14:paraId="3AF25E8B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Hospitality &amp; tourism - Housekeeping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14:paraId="7F21DEF9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31,953</w:t>
            </w:r>
          </w:p>
        </w:tc>
      </w:tr>
      <w:tr w:rsidR="0023629B" w:rsidRPr="000538E8" w14:paraId="38C9CD56" w14:textId="77777777" w:rsidTr="009F5AA1">
        <w:tc>
          <w:tcPr>
            <w:tcW w:w="360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6607EDF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F00E13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Hospitality &amp; tourism - Kitchen staff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58B94E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33,013</w:t>
            </w:r>
          </w:p>
        </w:tc>
      </w:tr>
      <w:tr w:rsidR="0023629B" w:rsidRPr="000538E8" w14:paraId="41D37E2D" w14:textId="77777777" w:rsidTr="009F5AA1">
        <w:tc>
          <w:tcPr>
            <w:tcW w:w="360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0D73A94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EF0D8A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Hospitality &amp; tourism - Reception &amp; front desk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E755CE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34,423</w:t>
            </w:r>
          </w:p>
        </w:tc>
      </w:tr>
      <w:tr w:rsidR="0023629B" w:rsidRPr="000538E8" w14:paraId="44749F84" w14:textId="77777777" w:rsidTr="009F5AA1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699C62FB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F8E20D5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Healthcare - Caregiving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A8E698F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35,021</w:t>
            </w:r>
          </w:p>
        </w:tc>
      </w:tr>
      <w:tr w:rsidR="0023629B" w:rsidRPr="000538E8" w14:paraId="50BFF26C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185B80" w14:textId="77777777" w:rsidR="0023629B" w:rsidRPr="000538E8" w:rsidRDefault="0023629B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7B2174" w14:textId="77777777" w:rsidR="0023629B" w:rsidRDefault="002362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Retail - Retail assistants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F44D1" w14:textId="77777777" w:rsidR="0023629B" w:rsidRDefault="0023629B" w:rsidP="002362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35,974</w:t>
            </w:r>
          </w:p>
        </w:tc>
      </w:tr>
    </w:tbl>
    <w:p w14:paraId="6EC3F3AC" w14:textId="77777777" w:rsidR="000538E8" w:rsidRPr="000538E8" w:rsidRDefault="000538E8" w:rsidP="000538E8">
      <w:pPr>
        <w:spacing w:after="200" w:line="276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6E67F089" w14:textId="77777777" w:rsidR="000538E8" w:rsidRPr="000538E8" w:rsidRDefault="000538E8" w:rsidP="000538E8">
      <w:pPr>
        <w:spacing w:after="200"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538E8"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2483BD12" w14:textId="77777777" w:rsidR="000538E8" w:rsidRPr="000538E8" w:rsidRDefault="000538E8" w:rsidP="000538E8">
      <w:pPr>
        <w:spacing w:after="200"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538E8">
        <w:rPr>
          <w:rFonts w:asciiTheme="minorHAnsi" w:hAnsiTheme="minorHAnsi" w:cstheme="minorHAnsi"/>
          <w:b/>
          <w:i/>
          <w:sz w:val="20"/>
          <w:szCs w:val="20"/>
        </w:rPr>
        <w:lastRenderedPageBreak/>
        <w:t>3. Listings growth by region</w:t>
      </w:r>
      <w:r w:rsidR="0023629B">
        <w:rPr>
          <w:rFonts w:asciiTheme="minorHAnsi" w:hAnsiTheme="minorHAnsi" w:cstheme="minorHAnsi"/>
          <w:b/>
          <w:i/>
          <w:sz w:val="20"/>
          <w:szCs w:val="20"/>
        </w:rPr>
        <w:t xml:space="preserve"> for Q4</w:t>
      </w:r>
      <w:r w:rsidRPr="000538E8">
        <w:rPr>
          <w:rFonts w:asciiTheme="minorHAnsi" w:hAnsiTheme="minorHAnsi" w:cstheme="minorHAnsi"/>
          <w:b/>
          <w:i/>
          <w:sz w:val="20"/>
          <w:szCs w:val="20"/>
        </w:rPr>
        <w:t>/2013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</w:tblGrid>
      <w:tr w:rsidR="00841D9E" w:rsidRPr="000538E8" w14:paraId="088DF506" w14:textId="77777777" w:rsidTr="00841D9E">
        <w:trPr>
          <w:trHeight w:val="525"/>
        </w:trPr>
        <w:tc>
          <w:tcPr>
            <w:tcW w:w="3240" w:type="dxa"/>
            <w:shd w:val="clear" w:color="auto" w:fill="3366FF"/>
            <w:vAlign w:val="center"/>
          </w:tcPr>
          <w:p w14:paraId="6CF91468" w14:textId="77777777" w:rsidR="00841D9E" w:rsidRPr="000538E8" w:rsidRDefault="00841D9E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Region </w:t>
            </w:r>
          </w:p>
        </w:tc>
        <w:tc>
          <w:tcPr>
            <w:tcW w:w="1980" w:type="dxa"/>
            <w:shd w:val="clear" w:color="auto" w:fill="3366FF"/>
            <w:vAlign w:val="center"/>
          </w:tcPr>
          <w:p w14:paraId="2A90D4D1" w14:textId="77777777" w:rsidR="00841D9E" w:rsidRPr="000538E8" w:rsidRDefault="00841D9E" w:rsidP="0023629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% change vs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Q4</w:t>
            </w: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/2012</w:t>
            </w:r>
          </w:p>
        </w:tc>
      </w:tr>
      <w:tr w:rsidR="00841D9E" w:rsidRPr="000538E8" w14:paraId="7935CD02" w14:textId="77777777" w:rsidTr="00841D9E">
        <w:tc>
          <w:tcPr>
            <w:tcW w:w="3240" w:type="dxa"/>
            <w:noWrap/>
          </w:tcPr>
          <w:p w14:paraId="48FD9350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Auckland </w:t>
            </w:r>
          </w:p>
        </w:tc>
        <w:tc>
          <w:tcPr>
            <w:tcW w:w="1980" w:type="dxa"/>
            <w:vAlign w:val="center"/>
          </w:tcPr>
          <w:p w14:paraId="43093D61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16.7 </w:t>
            </w:r>
          </w:p>
        </w:tc>
      </w:tr>
      <w:tr w:rsidR="00841D9E" w:rsidRPr="000538E8" w14:paraId="07BDEC9E" w14:textId="77777777" w:rsidTr="00841D9E">
        <w:tc>
          <w:tcPr>
            <w:tcW w:w="3240" w:type="dxa"/>
            <w:noWrap/>
          </w:tcPr>
          <w:p w14:paraId="2006B7B2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Bay of Plenty </w:t>
            </w:r>
          </w:p>
        </w:tc>
        <w:tc>
          <w:tcPr>
            <w:tcW w:w="1980" w:type="dxa"/>
            <w:vAlign w:val="center"/>
          </w:tcPr>
          <w:p w14:paraId="3CC1E5C8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24.8 </w:t>
            </w:r>
          </w:p>
        </w:tc>
      </w:tr>
      <w:tr w:rsidR="00841D9E" w:rsidRPr="000538E8" w14:paraId="6F5194E5" w14:textId="77777777" w:rsidTr="00841D9E">
        <w:tc>
          <w:tcPr>
            <w:tcW w:w="3240" w:type="dxa"/>
            <w:noWrap/>
          </w:tcPr>
          <w:p w14:paraId="1C2B202C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Canterbury </w:t>
            </w:r>
          </w:p>
        </w:tc>
        <w:tc>
          <w:tcPr>
            <w:tcW w:w="1980" w:type="dxa"/>
            <w:vAlign w:val="center"/>
          </w:tcPr>
          <w:p w14:paraId="3D7E095B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22.7 </w:t>
            </w:r>
          </w:p>
        </w:tc>
      </w:tr>
      <w:tr w:rsidR="00841D9E" w:rsidRPr="000538E8" w14:paraId="1C5ACE4A" w14:textId="77777777" w:rsidTr="00841D9E">
        <w:tc>
          <w:tcPr>
            <w:tcW w:w="3240" w:type="dxa"/>
            <w:noWrap/>
          </w:tcPr>
          <w:p w14:paraId="27CA05CF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Gisborne </w:t>
            </w:r>
          </w:p>
        </w:tc>
        <w:tc>
          <w:tcPr>
            <w:tcW w:w="1980" w:type="dxa"/>
            <w:vAlign w:val="center"/>
          </w:tcPr>
          <w:p w14:paraId="0C4DB057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>- 7.8</w:t>
            </w:r>
          </w:p>
        </w:tc>
      </w:tr>
      <w:tr w:rsidR="00841D9E" w:rsidRPr="000538E8" w14:paraId="57F659FD" w14:textId="77777777" w:rsidTr="00841D9E">
        <w:tc>
          <w:tcPr>
            <w:tcW w:w="3240" w:type="dxa"/>
            <w:noWrap/>
          </w:tcPr>
          <w:p w14:paraId="62A8BC9B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Hawke’s Bay </w:t>
            </w:r>
          </w:p>
        </w:tc>
        <w:tc>
          <w:tcPr>
            <w:tcW w:w="1980" w:type="dxa"/>
            <w:vAlign w:val="center"/>
          </w:tcPr>
          <w:p w14:paraId="7E586A56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10.3 </w:t>
            </w:r>
          </w:p>
        </w:tc>
      </w:tr>
      <w:tr w:rsidR="00841D9E" w:rsidRPr="000538E8" w14:paraId="7C990FB3" w14:textId="77777777" w:rsidTr="00841D9E">
        <w:tc>
          <w:tcPr>
            <w:tcW w:w="3240" w:type="dxa"/>
            <w:noWrap/>
          </w:tcPr>
          <w:p w14:paraId="20E727AA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Manawatu / Wanganui </w:t>
            </w:r>
          </w:p>
        </w:tc>
        <w:tc>
          <w:tcPr>
            <w:tcW w:w="1980" w:type="dxa"/>
            <w:vAlign w:val="center"/>
          </w:tcPr>
          <w:p w14:paraId="5EE955AF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7.3 </w:t>
            </w:r>
          </w:p>
        </w:tc>
      </w:tr>
      <w:tr w:rsidR="00841D9E" w:rsidRPr="000538E8" w14:paraId="3344B4A3" w14:textId="77777777" w:rsidTr="00841D9E">
        <w:tc>
          <w:tcPr>
            <w:tcW w:w="3240" w:type="dxa"/>
            <w:noWrap/>
          </w:tcPr>
          <w:p w14:paraId="16FC2DE1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Marlborough </w:t>
            </w:r>
          </w:p>
        </w:tc>
        <w:tc>
          <w:tcPr>
            <w:tcW w:w="1980" w:type="dxa"/>
            <w:vAlign w:val="center"/>
          </w:tcPr>
          <w:p w14:paraId="6378E149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12.0 </w:t>
            </w:r>
          </w:p>
        </w:tc>
      </w:tr>
      <w:tr w:rsidR="00841D9E" w:rsidRPr="000538E8" w14:paraId="5213FD6A" w14:textId="77777777" w:rsidTr="00841D9E">
        <w:tc>
          <w:tcPr>
            <w:tcW w:w="3240" w:type="dxa"/>
            <w:noWrap/>
          </w:tcPr>
          <w:p w14:paraId="6DD29758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Nelson / Tasman </w:t>
            </w:r>
          </w:p>
        </w:tc>
        <w:tc>
          <w:tcPr>
            <w:tcW w:w="1980" w:type="dxa"/>
            <w:vAlign w:val="center"/>
          </w:tcPr>
          <w:p w14:paraId="43050BC5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27.9 </w:t>
            </w:r>
          </w:p>
        </w:tc>
      </w:tr>
      <w:tr w:rsidR="00841D9E" w:rsidRPr="000538E8" w14:paraId="4F4D23AF" w14:textId="77777777" w:rsidTr="00841D9E">
        <w:tc>
          <w:tcPr>
            <w:tcW w:w="3240" w:type="dxa"/>
            <w:noWrap/>
          </w:tcPr>
          <w:p w14:paraId="63EDBEF8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Northland</w:t>
            </w:r>
          </w:p>
        </w:tc>
        <w:tc>
          <w:tcPr>
            <w:tcW w:w="1980" w:type="dxa"/>
            <w:vAlign w:val="center"/>
          </w:tcPr>
          <w:p w14:paraId="32C42CC7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7.3 </w:t>
            </w:r>
          </w:p>
        </w:tc>
      </w:tr>
      <w:tr w:rsidR="00841D9E" w:rsidRPr="000538E8" w14:paraId="16E63869" w14:textId="77777777" w:rsidTr="00841D9E">
        <w:tc>
          <w:tcPr>
            <w:tcW w:w="3240" w:type="dxa"/>
            <w:noWrap/>
          </w:tcPr>
          <w:p w14:paraId="5D5ED38E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Otago </w:t>
            </w:r>
          </w:p>
        </w:tc>
        <w:tc>
          <w:tcPr>
            <w:tcW w:w="1980" w:type="dxa"/>
            <w:vAlign w:val="center"/>
          </w:tcPr>
          <w:p w14:paraId="19E6C668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22.7 </w:t>
            </w:r>
          </w:p>
        </w:tc>
      </w:tr>
      <w:tr w:rsidR="00841D9E" w:rsidRPr="000538E8" w14:paraId="37A5E6B8" w14:textId="77777777" w:rsidTr="00841D9E">
        <w:tc>
          <w:tcPr>
            <w:tcW w:w="3240" w:type="dxa"/>
            <w:noWrap/>
          </w:tcPr>
          <w:p w14:paraId="190ED842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Southland </w:t>
            </w:r>
          </w:p>
        </w:tc>
        <w:tc>
          <w:tcPr>
            <w:tcW w:w="1980" w:type="dxa"/>
            <w:vAlign w:val="center"/>
          </w:tcPr>
          <w:p w14:paraId="698B13B9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20.5 </w:t>
            </w:r>
          </w:p>
        </w:tc>
      </w:tr>
      <w:tr w:rsidR="00841D9E" w:rsidRPr="000538E8" w14:paraId="55D89360" w14:textId="77777777" w:rsidTr="00841D9E">
        <w:tc>
          <w:tcPr>
            <w:tcW w:w="3240" w:type="dxa"/>
            <w:noWrap/>
          </w:tcPr>
          <w:p w14:paraId="7291046C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Taranaki </w:t>
            </w:r>
          </w:p>
        </w:tc>
        <w:tc>
          <w:tcPr>
            <w:tcW w:w="1980" w:type="dxa"/>
            <w:vAlign w:val="center"/>
          </w:tcPr>
          <w:p w14:paraId="40638C6F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26.3 </w:t>
            </w:r>
          </w:p>
        </w:tc>
      </w:tr>
      <w:tr w:rsidR="00841D9E" w:rsidRPr="000538E8" w14:paraId="79A68ED6" w14:textId="77777777" w:rsidTr="00841D9E">
        <w:tc>
          <w:tcPr>
            <w:tcW w:w="3240" w:type="dxa"/>
            <w:noWrap/>
          </w:tcPr>
          <w:p w14:paraId="709ABE89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Waikato </w:t>
            </w:r>
          </w:p>
        </w:tc>
        <w:tc>
          <w:tcPr>
            <w:tcW w:w="1980" w:type="dxa"/>
            <w:vAlign w:val="center"/>
          </w:tcPr>
          <w:p w14:paraId="7B8C86DA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24.4 </w:t>
            </w:r>
          </w:p>
        </w:tc>
      </w:tr>
      <w:tr w:rsidR="00841D9E" w:rsidRPr="000538E8" w14:paraId="54BE920A" w14:textId="77777777" w:rsidTr="00841D9E">
        <w:tc>
          <w:tcPr>
            <w:tcW w:w="3240" w:type="dxa"/>
            <w:noWrap/>
          </w:tcPr>
          <w:p w14:paraId="05C2A613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Wellington </w:t>
            </w:r>
          </w:p>
        </w:tc>
        <w:tc>
          <w:tcPr>
            <w:tcW w:w="1980" w:type="dxa"/>
            <w:vAlign w:val="center"/>
          </w:tcPr>
          <w:p w14:paraId="1769E3F9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7.4 </w:t>
            </w:r>
          </w:p>
        </w:tc>
      </w:tr>
      <w:tr w:rsidR="00841D9E" w:rsidRPr="000538E8" w14:paraId="415D3F7D" w14:textId="77777777" w:rsidTr="00841D9E">
        <w:tc>
          <w:tcPr>
            <w:tcW w:w="3240" w:type="dxa"/>
            <w:noWrap/>
          </w:tcPr>
          <w:p w14:paraId="2DF56173" w14:textId="77777777" w:rsidR="00841D9E" w:rsidRPr="000538E8" w:rsidRDefault="00841D9E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West Coast </w:t>
            </w:r>
          </w:p>
        </w:tc>
        <w:tc>
          <w:tcPr>
            <w:tcW w:w="1980" w:type="dxa"/>
            <w:vAlign w:val="center"/>
          </w:tcPr>
          <w:p w14:paraId="39A84E1F" w14:textId="77777777" w:rsidR="00841D9E" w:rsidRPr="00AB2196" w:rsidRDefault="00841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B2196">
              <w:rPr>
                <w:rFonts w:ascii="Calibri" w:hAnsi="Calibri"/>
                <w:sz w:val="18"/>
                <w:szCs w:val="18"/>
              </w:rPr>
              <w:t xml:space="preserve">44.3 </w:t>
            </w:r>
          </w:p>
        </w:tc>
      </w:tr>
      <w:tr w:rsidR="00841D9E" w:rsidRPr="00D575C8" w14:paraId="0B9C7069" w14:textId="77777777" w:rsidTr="00841D9E">
        <w:trPr>
          <w:trHeight w:val="65"/>
        </w:trPr>
        <w:tc>
          <w:tcPr>
            <w:tcW w:w="3240" w:type="dxa"/>
            <w:shd w:val="clear" w:color="auto" w:fill="D9D9D9"/>
            <w:noWrap/>
          </w:tcPr>
          <w:p w14:paraId="31597C85" w14:textId="77777777" w:rsidR="00841D9E" w:rsidRPr="000538E8" w:rsidRDefault="00841D9E" w:rsidP="000538E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  <w:t>National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10AD98D" w14:textId="77777777" w:rsidR="00841D9E" w:rsidRPr="000C2363" w:rsidRDefault="00841D9E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0C2363">
              <w:rPr>
                <w:rFonts w:ascii="Calibri" w:hAnsi="Calibri"/>
                <w:b/>
                <w:sz w:val="18"/>
                <w:szCs w:val="18"/>
              </w:rPr>
              <w:t xml:space="preserve">17.0 </w:t>
            </w:r>
          </w:p>
        </w:tc>
      </w:tr>
    </w:tbl>
    <w:p w14:paraId="0B912EFC" w14:textId="77777777" w:rsidR="000538E8" w:rsidRPr="000538E8" w:rsidRDefault="000538E8" w:rsidP="000538E8">
      <w:pPr>
        <w:ind w:left="-360"/>
        <w:rPr>
          <w:rFonts w:asciiTheme="minorHAnsi" w:hAnsiTheme="minorHAnsi" w:cstheme="minorHAnsi"/>
          <w:b/>
          <w:sz w:val="18"/>
          <w:szCs w:val="18"/>
        </w:rPr>
      </w:pPr>
    </w:p>
    <w:p w14:paraId="5BC42DEC" w14:textId="77777777" w:rsidR="000538E8" w:rsidRPr="000538E8" w:rsidRDefault="000538E8" w:rsidP="000538E8">
      <w:pPr>
        <w:ind w:left="-360" w:firstLine="360"/>
        <w:rPr>
          <w:rFonts w:asciiTheme="minorHAnsi" w:hAnsiTheme="minorHAnsi" w:cstheme="minorHAnsi"/>
          <w:b/>
          <w:i/>
          <w:sz w:val="20"/>
          <w:szCs w:val="20"/>
        </w:rPr>
      </w:pPr>
      <w:r w:rsidRPr="000538E8">
        <w:rPr>
          <w:rFonts w:asciiTheme="minorHAnsi" w:hAnsiTheme="minorHAnsi" w:cstheme="minorHAnsi"/>
          <w:b/>
          <w:i/>
          <w:sz w:val="18"/>
          <w:szCs w:val="18"/>
        </w:rPr>
        <w:t xml:space="preserve">4. </w:t>
      </w:r>
      <w:r w:rsidRPr="000538E8">
        <w:rPr>
          <w:rFonts w:asciiTheme="minorHAnsi" w:hAnsiTheme="minorHAnsi" w:cstheme="minorHAnsi"/>
          <w:b/>
          <w:i/>
          <w:sz w:val="20"/>
          <w:szCs w:val="20"/>
        </w:rPr>
        <w:t>Average rates of pay by region (full-time jobs only)</w:t>
      </w:r>
      <w:r w:rsidR="0023629B">
        <w:rPr>
          <w:rFonts w:asciiTheme="minorHAnsi" w:hAnsiTheme="minorHAnsi" w:cstheme="minorHAnsi"/>
          <w:b/>
          <w:i/>
          <w:sz w:val="20"/>
          <w:szCs w:val="20"/>
        </w:rPr>
        <w:t>: Q4</w:t>
      </w:r>
      <w:r w:rsidRPr="000538E8">
        <w:rPr>
          <w:rFonts w:asciiTheme="minorHAnsi" w:hAnsiTheme="minorHAnsi" w:cstheme="minorHAnsi"/>
          <w:b/>
          <w:i/>
          <w:sz w:val="20"/>
          <w:szCs w:val="20"/>
        </w:rPr>
        <w:t>/2013</w:t>
      </w:r>
    </w:p>
    <w:p w14:paraId="10228F4E" w14:textId="77777777" w:rsidR="000538E8" w:rsidRPr="000538E8" w:rsidRDefault="000538E8" w:rsidP="000538E8">
      <w:pPr>
        <w:ind w:left="-360" w:firstLine="36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235" w:type="dxa"/>
        <w:tblInd w:w="93" w:type="dxa"/>
        <w:tblLook w:val="0000" w:firstRow="0" w:lastRow="0" w:firstColumn="0" w:lastColumn="0" w:noHBand="0" w:noVBand="0"/>
      </w:tblPr>
      <w:tblGrid>
        <w:gridCol w:w="360"/>
        <w:gridCol w:w="3341"/>
        <w:gridCol w:w="1534"/>
      </w:tblGrid>
      <w:tr w:rsidR="000538E8" w:rsidRPr="000538E8" w14:paraId="67E92E82" w14:textId="77777777" w:rsidTr="009F5AA1">
        <w:trPr>
          <w:trHeight w:val="51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18E04B47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6FB48F26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Highest paid  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7CE49305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Pay rate ($)</w:t>
            </w:r>
          </w:p>
        </w:tc>
      </w:tr>
      <w:tr w:rsidR="000538E8" w:rsidRPr="000538E8" w14:paraId="39A65DA0" w14:textId="77777777" w:rsidTr="009F5AA1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7AA2FA1" w14:textId="77777777" w:rsidR="000538E8" w:rsidRPr="000538E8" w:rsidRDefault="000538E8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right w:val="single" w:sz="8" w:space="0" w:color="auto"/>
            </w:tcBorders>
          </w:tcPr>
          <w:p w14:paraId="56F21DBC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right w:val="single" w:sz="8" w:space="0" w:color="auto"/>
            </w:tcBorders>
          </w:tcPr>
          <w:p w14:paraId="216BA504" w14:textId="77777777" w:rsidR="000538E8" w:rsidRPr="000538E8" w:rsidRDefault="000538E8" w:rsidP="00F214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967F8F" w:rsidRPr="000538E8" w14:paraId="0C7B7D17" w14:textId="77777777" w:rsidTr="00D575C8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3E628E6E" w14:textId="77777777" w:rsidR="00967F8F" w:rsidRPr="000538E8" w:rsidRDefault="00967F8F" w:rsidP="00967F8F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</w:tcPr>
          <w:p w14:paraId="65FEDA7D" w14:textId="6CEECA9B" w:rsidR="00967F8F" w:rsidRPr="00967F8F" w:rsidRDefault="00967F8F">
            <w:pPr>
              <w:rPr>
                <w:rFonts w:asciiTheme="minorHAnsi" w:hAnsiTheme="minorHAnsi"/>
                <w:sz w:val="18"/>
                <w:szCs w:val="18"/>
              </w:rPr>
            </w:pPr>
            <w:r w:rsidRPr="00967F8F">
              <w:rPr>
                <w:rFonts w:asciiTheme="minorHAnsi" w:hAnsiTheme="minorHAnsi"/>
                <w:sz w:val="18"/>
                <w:szCs w:val="18"/>
              </w:rPr>
              <w:t>Wellington</w:t>
            </w:r>
            <w:r w:rsidR="000471FF">
              <w:rPr>
                <w:rFonts w:asciiTheme="minorHAnsi" w:hAnsiTheme="minorHAnsi"/>
                <w:sz w:val="18"/>
                <w:szCs w:val="18"/>
              </w:rPr>
              <w:t xml:space="preserve"> City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</w:tcPr>
          <w:p w14:paraId="7D10E704" w14:textId="77777777" w:rsidR="00967F8F" w:rsidRPr="00967F8F" w:rsidRDefault="00967F8F" w:rsidP="00967F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F8F">
              <w:rPr>
                <w:rFonts w:asciiTheme="minorHAnsi" w:hAnsiTheme="minorHAnsi"/>
                <w:sz w:val="18"/>
                <w:szCs w:val="18"/>
              </w:rPr>
              <w:t>75,753</w:t>
            </w:r>
          </w:p>
        </w:tc>
      </w:tr>
      <w:tr w:rsidR="00967F8F" w:rsidRPr="000538E8" w14:paraId="15B49BBC" w14:textId="77777777" w:rsidTr="00D575C8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87A9FE9" w14:textId="77777777" w:rsidR="00967F8F" w:rsidRPr="000538E8" w:rsidRDefault="00967F8F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55B591" w14:textId="1FDF95B2" w:rsidR="00967F8F" w:rsidRPr="00967F8F" w:rsidRDefault="00967F8F" w:rsidP="00D575C8">
            <w:pPr>
              <w:rPr>
                <w:rFonts w:asciiTheme="minorHAnsi" w:hAnsiTheme="minorHAnsi"/>
                <w:sz w:val="18"/>
                <w:szCs w:val="18"/>
              </w:rPr>
            </w:pPr>
            <w:r w:rsidRPr="00967F8F">
              <w:rPr>
                <w:rFonts w:asciiTheme="minorHAnsi" w:hAnsiTheme="minorHAnsi"/>
                <w:sz w:val="18"/>
                <w:szCs w:val="18"/>
              </w:rPr>
              <w:t xml:space="preserve">Auckland </w:t>
            </w:r>
            <w:r w:rsidR="000471FF">
              <w:rPr>
                <w:rFonts w:asciiTheme="minorHAnsi" w:hAnsiTheme="minorHAnsi"/>
                <w:sz w:val="18"/>
                <w:szCs w:val="18"/>
              </w:rPr>
              <w:t>City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234255" w14:textId="77777777" w:rsidR="00967F8F" w:rsidRPr="00967F8F" w:rsidRDefault="00967F8F" w:rsidP="00967F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F8F">
              <w:rPr>
                <w:rFonts w:asciiTheme="minorHAnsi" w:hAnsiTheme="minorHAnsi"/>
                <w:sz w:val="18"/>
                <w:szCs w:val="18"/>
              </w:rPr>
              <w:t>74,619</w:t>
            </w:r>
          </w:p>
        </w:tc>
      </w:tr>
      <w:tr w:rsidR="00967F8F" w:rsidRPr="000538E8" w14:paraId="0054282A" w14:textId="77777777" w:rsidTr="00D575C8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CC74181" w14:textId="77777777" w:rsidR="00967F8F" w:rsidRPr="000538E8" w:rsidRDefault="00967F8F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28D346" w14:textId="3ECADB2A" w:rsidR="00967F8F" w:rsidRPr="00967F8F" w:rsidRDefault="000B7C3D" w:rsidP="000B7C3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Whangarei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3DDD01" w14:textId="7E518EA1" w:rsidR="00967F8F" w:rsidRPr="00967F8F" w:rsidRDefault="00967F8F" w:rsidP="00967F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F8F">
              <w:rPr>
                <w:rFonts w:asciiTheme="minorHAnsi" w:hAnsiTheme="minorHAnsi"/>
                <w:sz w:val="18"/>
                <w:szCs w:val="18"/>
              </w:rPr>
              <w:t>6</w:t>
            </w:r>
            <w:r w:rsidR="000B7C3D">
              <w:rPr>
                <w:rFonts w:asciiTheme="minorHAnsi" w:hAnsiTheme="minorHAnsi"/>
                <w:sz w:val="18"/>
                <w:szCs w:val="18"/>
              </w:rPr>
              <w:t>1,828</w:t>
            </w:r>
          </w:p>
        </w:tc>
      </w:tr>
      <w:tr w:rsidR="000538E8" w:rsidRPr="000538E8" w14:paraId="7F5E2EA2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57A99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4</w:t>
            </w:r>
          </w:p>
          <w:p w14:paraId="7C8D00EB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92E95" w14:textId="3CDCE73F" w:rsidR="00967F8F" w:rsidRDefault="000B7C3D" w:rsidP="000538E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New Plymouth</w:t>
            </w:r>
          </w:p>
          <w:p w14:paraId="062CE3AC" w14:textId="2FF8045D" w:rsidR="000538E8" w:rsidRPr="000538E8" w:rsidRDefault="000B7C3D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Grey</w:t>
            </w:r>
            <w:r w:rsidR="000471FF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 District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6F349" w14:textId="48C451C0" w:rsidR="00967F8F" w:rsidRDefault="000B7C3D" w:rsidP="00F214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60,959</w:t>
            </w:r>
          </w:p>
          <w:p w14:paraId="084FFB09" w14:textId="6B446BCD" w:rsidR="000538E8" w:rsidRPr="000538E8" w:rsidRDefault="000B7C3D" w:rsidP="00F214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58,842</w:t>
            </w:r>
          </w:p>
        </w:tc>
      </w:tr>
      <w:tr w:rsidR="000538E8" w:rsidRPr="000538E8" w14:paraId="1506C55B" w14:textId="77777777" w:rsidTr="009F5AA1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2FEDAF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E3268" w14:textId="77777777" w:rsidR="000538E8" w:rsidRPr="000538E8" w:rsidRDefault="000538E8" w:rsidP="000538E8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A0A5D6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</w:p>
        </w:tc>
      </w:tr>
      <w:tr w:rsidR="000538E8" w:rsidRPr="000538E8" w14:paraId="5C098AF4" w14:textId="77777777" w:rsidTr="009F5AA1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3FCDF9E4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5BF884C1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 Lowest paid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66FF"/>
            <w:vAlign w:val="center"/>
          </w:tcPr>
          <w:p w14:paraId="6809D3A7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Pay rate ($)</w:t>
            </w:r>
          </w:p>
        </w:tc>
      </w:tr>
      <w:tr w:rsidR="000538E8" w:rsidRPr="000538E8" w14:paraId="2BCAD0AD" w14:textId="77777777" w:rsidTr="009F5AA1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52491F2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right w:val="single" w:sz="8" w:space="0" w:color="auto"/>
            </w:tcBorders>
          </w:tcPr>
          <w:p w14:paraId="16FFF2EB" w14:textId="77777777" w:rsidR="000538E8" w:rsidRPr="000538E8" w:rsidRDefault="000538E8" w:rsidP="000538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right w:val="single" w:sz="8" w:space="0" w:color="auto"/>
            </w:tcBorders>
          </w:tcPr>
          <w:p w14:paraId="7416DA8A" w14:textId="77777777" w:rsidR="000538E8" w:rsidRPr="000538E8" w:rsidRDefault="000538E8" w:rsidP="000538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AB2196" w:rsidRPr="000538E8" w14:paraId="6440DB31" w14:textId="77777777" w:rsidTr="000471FF"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1EB45018" w14:textId="77777777" w:rsidR="00AB2196" w:rsidRPr="000538E8" w:rsidRDefault="00AB2196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</w:tcPr>
          <w:p w14:paraId="06717AFE" w14:textId="6CCDE5C4" w:rsidR="00AB2196" w:rsidRPr="000B7C3D" w:rsidRDefault="00AB21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7C3D">
              <w:rPr>
                <w:rFonts w:asciiTheme="minorHAnsi" w:hAnsiTheme="minorHAnsi"/>
                <w:sz w:val="18"/>
                <w:szCs w:val="18"/>
              </w:rPr>
              <w:t>Waimakariri</w:t>
            </w:r>
          </w:p>
        </w:tc>
        <w:tc>
          <w:tcPr>
            <w:tcW w:w="1534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</w:tcPr>
          <w:p w14:paraId="4A8826AF" w14:textId="6D24905D" w:rsidR="00AB2196" w:rsidRPr="00AB2196" w:rsidRDefault="00AB2196" w:rsidP="00967F8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B2196">
              <w:rPr>
                <w:rFonts w:asciiTheme="minorHAnsi" w:hAnsiTheme="minorHAnsi"/>
                <w:sz w:val="18"/>
                <w:szCs w:val="18"/>
              </w:rPr>
              <w:t>45,208</w:t>
            </w:r>
          </w:p>
        </w:tc>
      </w:tr>
      <w:tr w:rsidR="00AB2196" w:rsidRPr="000538E8" w14:paraId="401828AF" w14:textId="77777777" w:rsidTr="000471FF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5DBEA" w14:textId="77777777" w:rsidR="00AB2196" w:rsidRPr="000538E8" w:rsidRDefault="00AB2196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72762C" w14:textId="5F2D6E56" w:rsidR="00AB2196" w:rsidRPr="000B7C3D" w:rsidRDefault="00AB21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7C3D">
              <w:rPr>
                <w:rFonts w:asciiTheme="minorHAnsi" w:hAnsiTheme="minorHAnsi"/>
                <w:sz w:val="18"/>
                <w:szCs w:val="18"/>
              </w:rPr>
              <w:t>Horowhenua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2C71D8" w14:textId="1086A099" w:rsidR="00AB2196" w:rsidRPr="00AB2196" w:rsidRDefault="00AB2196" w:rsidP="00967F8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B2196">
              <w:rPr>
                <w:rFonts w:asciiTheme="minorHAnsi" w:hAnsiTheme="minorHAnsi"/>
                <w:sz w:val="18"/>
                <w:szCs w:val="18"/>
              </w:rPr>
              <w:t>45,639</w:t>
            </w:r>
          </w:p>
        </w:tc>
      </w:tr>
      <w:tr w:rsidR="00AB2196" w:rsidRPr="000538E8" w14:paraId="0D692E1D" w14:textId="77777777" w:rsidTr="000471FF"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9DDAAC5" w14:textId="77777777" w:rsidR="00AB2196" w:rsidRPr="000538E8" w:rsidRDefault="00AB2196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ED48AB" w14:textId="14A882AF" w:rsidR="00AB2196" w:rsidRPr="000B7C3D" w:rsidRDefault="00AB21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7C3D">
              <w:rPr>
                <w:rFonts w:asciiTheme="minorHAnsi" w:hAnsiTheme="minorHAnsi"/>
                <w:sz w:val="18"/>
                <w:szCs w:val="18"/>
              </w:rPr>
              <w:t>Tasman</w:t>
            </w:r>
            <w:r w:rsidR="000471FF">
              <w:rPr>
                <w:rFonts w:asciiTheme="minorHAnsi" w:hAnsiTheme="minorHAnsi"/>
                <w:sz w:val="18"/>
                <w:szCs w:val="18"/>
              </w:rPr>
              <w:t xml:space="preserve"> (excluding Nelson)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09A0C2" w14:textId="001BBE38" w:rsidR="00AB2196" w:rsidRPr="00AB2196" w:rsidRDefault="00AB2196" w:rsidP="00967F8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B2196">
              <w:rPr>
                <w:rFonts w:asciiTheme="minorHAnsi" w:hAnsiTheme="minorHAnsi"/>
                <w:sz w:val="18"/>
                <w:szCs w:val="18"/>
              </w:rPr>
              <w:t>46,332</w:t>
            </w:r>
          </w:p>
        </w:tc>
      </w:tr>
      <w:tr w:rsidR="000B7C3D" w:rsidRPr="000538E8" w14:paraId="559FFFB9" w14:textId="77777777" w:rsidTr="000471FF">
        <w:trPr>
          <w:trHeight w:val="74"/>
        </w:trPr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171AB6ED" w14:textId="77777777" w:rsidR="000B7C3D" w:rsidRPr="000538E8" w:rsidRDefault="000B7C3D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right w:val="single" w:sz="8" w:space="0" w:color="auto"/>
            </w:tcBorders>
          </w:tcPr>
          <w:p w14:paraId="76E851E6" w14:textId="6A0E2A61" w:rsidR="000B7C3D" w:rsidRPr="000B7C3D" w:rsidRDefault="000B7C3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7C3D">
              <w:rPr>
                <w:rFonts w:asciiTheme="minorHAnsi" w:hAnsiTheme="minorHAnsi"/>
                <w:sz w:val="18"/>
                <w:szCs w:val="18"/>
              </w:rPr>
              <w:t>Kapiti Coast</w:t>
            </w:r>
          </w:p>
        </w:tc>
        <w:tc>
          <w:tcPr>
            <w:tcW w:w="153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99AE069" w14:textId="3C6EED83" w:rsidR="000B7C3D" w:rsidRDefault="000B7C3D" w:rsidP="00AB21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AB2196">
              <w:rPr>
                <w:rFonts w:ascii="Calibri" w:hAnsi="Calibri"/>
                <w:color w:val="000000"/>
                <w:sz w:val="18"/>
                <w:szCs w:val="18"/>
              </w:rPr>
              <w:t>7,097</w:t>
            </w:r>
          </w:p>
        </w:tc>
      </w:tr>
      <w:tr w:rsidR="00967F8F" w:rsidRPr="000538E8" w14:paraId="1F14C346" w14:textId="77777777" w:rsidTr="009F5AA1"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224567" w14:textId="77777777" w:rsidR="00967F8F" w:rsidRPr="000538E8" w:rsidRDefault="00967F8F" w:rsidP="000538E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0538E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D8186" w14:textId="50FF228A" w:rsidR="00967F8F" w:rsidRDefault="00AB21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Hurunui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EA3F5" w14:textId="73D84AA5" w:rsidR="00967F8F" w:rsidRDefault="00AB2196" w:rsidP="00F214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47,129</w:t>
            </w:r>
          </w:p>
        </w:tc>
      </w:tr>
    </w:tbl>
    <w:p w14:paraId="7A942307" w14:textId="77777777" w:rsidR="000538E8" w:rsidRPr="000538E8" w:rsidRDefault="000538E8" w:rsidP="000538E8">
      <w:pPr>
        <w:ind w:left="-357"/>
        <w:rPr>
          <w:rFonts w:asciiTheme="minorHAnsi" w:hAnsiTheme="minorHAnsi" w:cstheme="minorHAnsi"/>
          <w:i/>
          <w:sz w:val="18"/>
          <w:szCs w:val="18"/>
        </w:rPr>
      </w:pPr>
      <w:r w:rsidRPr="000538E8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010B224" w14:textId="77777777" w:rsidR="000538E8" w:rsidRPr="000538E8" w:rsidRDefault="000538E8" w:rsidP="000538E8">
      <w:pPr>
        <w:rPr>
          <w:rFonts w:asciiTheme="minorHAnsi" w:hAnsiTheme="minorHAnsi" w:cstheme="minorHAnsi"/>
        </w:rPr>
      </w:pPr>
      <w:r w:rsidRPr="000538E8">
        <w:rPr>
          <w:rFonts w:asciiTheme="minorHAnsi" w:hAnsiTheme="minorHAnsi" w:cstheme="minorHAnsi"/>
          <w:i/>
          <w:sz w:val="18"/>
          <w:szCs w:val="18"/>
        </w:rPr>
        <w:t>NB: Segments with less than 50 jobs excluded.</w:t>
      </w:r>
    </w:p>
    <w:p w14:paraId="3B8EC673" w14:textId="77777777" w:rsidR="000538E8" w:rsidRPr="000538E8" w:rsidRDefault="000538E8" w:rsidP="000538E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600C88" w14:textId="77777777" w:rsidR="000538E8" w:rsidRPr="000538E8" w:rsidRDefault="000538E8" w:rsidP="000538E8">
      <w:pPr>
        <w:shd w:val="clear" w:color="auto" w:fill="E0E0E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538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About Trade Me Jobs  </w:t>
      </w:r>
    </w:p>
    <w:p w14:paraId="38BF672E" w14:textId="744E9A08" w:rsidR="001E6AF3" w:rsidRDefault="001E6AF3" w:rsidP="001E6AF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E6AF3">
        <w:rPr>
          <w:rFonts w:asciiTheme="minorHAnsi" w:hAnsiTheme="minorHAnsi" w:cstheme="minorHAnsi"/>
          <w:color w:val="000000"/>
          <w:sz w:val="20"/>
          <w:szCs w:val="20"/>
        </w:rPr>
        <w:t>Since launching back in 2006, Trade Me Jobs has become a great success</w:t>
      </w:r>
      <w:r w:rsidR="00EB123B">
        <w:rPr>
          <w:rFonts w:asciiTheme="minorHAnsi" w:hAnsiTheme="minorHAnsi" w:cstheme="minorHAnsi"/>
          <w:color w:val="000000"/>
          <w:sz w:val="20"/>
          <w:szCs w:val="20"/>
        </w:rPr>
        <w:t xml:space="preserve"> averaging over 50,000 daily unique visitors*</w:t>
      </w:r>
      <w:r w:rsidRPr="001E6AF3">
        <w:rPr>
          <w:rFonts w:asciiTheme="minorHAnsi" w:hAnsiTheme="minorHAnsi" w:cstheme="minorHAnsi"/>
          <w:color w:val="000000"/>
          <w:sz w:val="20"/>
          <w:szCs w:val="20"/>
        </w:rPr>
        <w:t xml:space="preserve">. We’re proud to </w:t>
      </w:r>
      <w:r w:rsidR="00E96575">
        <w:rPr>
          <w:rFonts w:asciiTheme="minorHAnsi" w:hAnsiTheme="minorHAnsi" w:cstheme="minorHAnsi"/>
          <w:color w:val="000000"/>
          <w:sz w:val="20"/>
          <w:szCs w:val="20"/>
        </w:rPr>
        <w:t>provide opportunities galore for our 3 million plus members to find the job of their dreams.</w:t>
      </w:r>
    </w:p>
    <w:p w14:paraId="21E6250E" w14:textId="77777777" w:rsidR="001E6AF3" w:rsidRPr="001E6AF3" w:rsidRDefault="001E6AF3" w:rsidP="001E6AF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196E5AF" w14:textId="77777777" w:rsidR="000538E8" w:rsidRPr="000538E8" w:rsidRDefault="000538E8" w:rsidP="000538E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538E8">
        <w:rPr>
          <w:rFonts w:asciiTheme="minorHAnsi" w:hAnsiTheme="minorHAnsi" w:cstheme="minorHAnsi"/>
          <w:color w:val="000000"/>
          <w:sz w:val="20"/>
          <w:szCs w:val="20"/>
        </w:rPr>
        <w:t xml:space="preserve">Full details of pay by profession for full-time jobs listed between </w:t>
      </w:r>
      <w:r w:rsidR="00D575C8" w:rsidRPr="005D25E8">
        <w:rPr>
          <w:rFonts w:asciiTheme="minorHAnsi" w:hAnsiTheme="minorHAnsi" w:cstheme="minorHAnsi"/>
          <w:color w:val="000000"/>
          <w:sz w:val="20"/>
          <w:szCs w:val="20"/>
        </w:rPr>
        <w:t>July and December</w:t>
      </w:r>
      <w:r w:rsidRPr="000538E8">
        <w:rPr>
          <w:rFonts w:asciiTheme="minorHAnsi" w:hAnsiTheme="minorHAnsi" w:cstheme="minorHAnsi"/>
          <w:color w:val="000000"/>
          <w:sz w:val="20"/>
          <w:szCs w:val="20"/>
        </w:rPr>
        <w:t xml:space="preserve"> 2013 are in the </w:t>
      </w:r>
      <w:hyperlink r:id="rId9" w:history="1">
        <w:r w:rsidRPr="000538E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Trade Me Jobs Salary Guide</w:t>
        </w:r>
      </w:hyperlink>
      <w:r w:rsidRPr="000538E8">
        <w:rPr>
          <w:rFonts w:asciiTheme="minorHAnsi" w:hAnsiTheme="minorHAnsi" w:cstheme="minorHAnsi"/>
          <w:color w:val="000000"/>
          <w:sz w:val="20"/>
          <w:szCs w:val="20"/>
        </w:rPr>
        <w:t xml:space="preserve">.  </w:t>
      </w:r>
    </w:p>
    <w:p w14:paraId="44F65B7E" w14:textId="77777777" w:rsidR="000538E8" w:rsidRPr="000538E8" w:rsidRDefault="000538E8" w:rsidP="000538E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0732E89" w14:textId="7A658CFB" w:rsidR="006C193C" w:rsidRPr="006C193C" w:rsidRDefault="006C193C" w:rsidP="006C193C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6C193C">
        <w:rPr>
          <w:rFonts w:asciiTheme="minorHAnsi" w:hAnsiTheme="minorHAnsi" w:cstheme="minorHAnsi"/>
          <w:color w:val="000000"/>
          <w:sz w:val="18"/>
          <w:szCs w:val="18"/>
        </w:rPr>
        <w:t xml:space="preserve">*Source: Nielsen </w:t>
      </w:r>
      <w:r>
        <w:rPr>
          <w:rFonts w:asciiTheme="minorHAnsi" w:hAnsiTheme="minorHAnsi" w:cstheme="minorHAnsi"/>
          <w:color w:val="000000"/>
          <w:sz w:val="18"/>
          <w:szCs w:val="18"/>
        </w:rPr>
        <w:t>Market Intelligence, Avg. daily UB’s, Jan – Dec 2013.</w:t>
      </w:r>
    </w:p>
    <w:p w14:paraId="1582CC4C" w14:textId="77777777" w:rsidR="000538E8" w:rsidRPr="000538E8" w:rsidRDefault="000538E8" w:rsidP="000538E8">
      <w:pPr>
        <w:rPr>
          <w:rFonts w:asciiTheme="minorHAnsi" w:hAnsiTheme="minorHAnsi" w:cstheme="minorHAnsi"/>
          <w:b/>
          <w:sz w:val="22"/>
          <w:szCs w:val="22"/>
        </w:rPr>
      </w:pPr>
    </w:p>
    <w:p w14:paraId="55E44A03" w14:textId="77777777" w:rsidR="00C47688" w:rsidRPr="00762672" w:rsidRDefault="00C47688" w:rsidP="00762672">
      <w:pPr>
        <w:rPr>
          <w:rFonts w:asciiTheme="minorHAnsi" w:hAnsiTheme="minorHAnsi" w:cstheme="minorHAnsi"/>
          <w:sz w:val="22"/>
          <w:szCs w:val="22"/>
        </w:rPr>
      </w:pPr>
    </w:p>
    <w:sectPr w:rsidR="00C47688" w:rsidRPr="00762672" w:rsidSect="00713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6433" w14:textId="77777777" w:rsidR="0034267B" w:rsidRDefault="0034267B" w:rsidP="000C2363">
      <w:r>
        <w:separator/>
      </w:r>
    </w:p>
  </w:endnote>
  <w:endnote w:type="continuationSeparator" w:id="0">
    <w:p w14:paraId="3A22D9B6" w14:textId="77777777" w:rsidR="0034267B" w:rsidRDefault="0034267B" w:rsidP="000C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E223" w14:textId="77777777" w:rsidR="0061683A" w:rsidRDefault="00616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1091" w14:textId="77777777" w:rsidR="0061683A" w:rsidRDefault="00616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DCA" w14:textId="77777777" w:rsidR="0061683A" w:rsidRDefault="0061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72964" w14:textId="77777777" w:rsidR="0034267B" w:rsidRDefault="0034267B" w:rsidP="000C2363">
      <w:r>
        <w:separator/>
      </w:r>
    </w:p>
  </w:footnote>
  <w:footnote w:type="continuationSeparator" w:id="0">
    <w:p w14:paraId="772059C6" w14:textId="77777777" w:rsidR="0034267B" w:rsidRDefault="0034267B" w:rsidP="000C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E570" w14:textId="77777777" w:rsidR="0061683A" w:rsidRDefault="00616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544F" w14:textId="77777777" w:rsidR="0061683A" w:rsidRDefault="00616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F7DB" w14:textId="77777777" w:rsidR="0061683A" w:rsidRDefault="00616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C1E3A"/>
    <w:multiLevelType w:val="hybridMultilevel"/>
    <w:tmpl w:val="DBCA726A"/>
    <w:lvl w:ilvl="0" w:tplc="959043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196C"/>
    <w:multiLevelType w:val="hybridMultilevel"/>
    <w:tmpl w:val="EF7028B4"/>
    <w:lvl w:ilvl="0" w:tplc="2376B4C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F"/>
    <w:rsid w:val="0000171F"/>
    <w:rsid w:val="000055F6"/>
    <w:rsid w:val="00042CF4"/>
    <w:rsid w:val="00042E73"/>
    <w:rsid w:val="000471FF"/>
    <w:rsid w:val="00047519"/>
    <w:rsid w:val="000538E8"/>
    <w:rsid w:val="00067427"/>
    <w:rsid w:val="000A56F2"/>
    <w:rsid w:val="000B1528"/>
    <w:rsid w:val="000B7C3D"/>
    <w:rsid w:val="000C2363"/>
    <w:rsid w:val="000F3439"/>
    <w:rsid w:val="000F75C7"/>
    <w:rsid w:val="00104F7E"/>
    <w:rsid w:val="0013745E"/>
    <w:rsid w:val="001611CF"/>
    <w:rsid w:val="00170192"/>
    <w:rsid w:val="00173BBE"/>
    <w:rsid w:val="001A4B5E"/>
    <w:rsid w:val="001E6AF3"/>
    <w:rsid w:val="00203952"/>
    <w:rsid w:val="0023629B"/>
    <w:rsid w:val="002475F6"/>
    <w:rsid w:val="002620C0"/>
    <w:rsid w:val="00266388"/>
    <w:rsid w:val="00267A26"/>
    <w:rsid w:val="002956DF"/>
    <w:rsid w:val="002F535C"/>
    <w:rsid w:val="003209C8"/>
    <w:rsid w:val="00327B45"/>
    <w:rsid w:val="0034267B"/>
    <w:rsid w:val="00354CCD"/>
    <w:rsid w:val="00360690"/>
    <w:rsid w:val="003656DD"/>
    <w:rsid w:val="00365BA3"/>
    <w:rsid w:val="0039008A"/>
    <w:rsid w:val="00391E01"/>
    <w:rsid w:val="00394AEF"/>
    <w:rsid w:val="003B662F"/>
    <w:rsid w:val="003E6B75"/>
    <w:rsid w:val="003F282E"/>
    <w:rsid w:val="0040233D"/>
    <w:rsid w:val="0045015C"/>
    <w:rsid w:val="0049179D"/>
    <w:rsid w:val="004B356B"/>
    <w:rsid w:val="004B4F49"/>
    <w:rsid w:val="00501C6F"/>
    <w:rsid w:val="005A4200"/>
    <w:rsid w:val="005D25E8"/>
    <w:rsid w:val="005D6279"/>
    <w:rsid w:val="0061683A"/>
    <w:rsid w:val="00616FEE"/>
    <w:rsid w:val="00631767"/>
    <w:rsid w:val="006622E1"/>
    <w:rsid w:val="00662341"/>
    <w:rsid w:val="00673A78"/>
    <w:rsid w:val="006B2C38"/>
    <w:rsid w:val="006C193C"/>
    <w:rsid w:val="006C5255"/>
    <w:rsid w:val="006D0EE6"/>
    <w:rsid w:val="006F1B9C"/>
    <w:rsid w:val="0071360A"/>
    <w:rsid w:val="0074195C"/>
    <w:rsid w:val="00762672"/>
    <w:rsid w:val="00764E88"/>
    <w:rsid w:val="007705B3"/>
    <w:rsid w:val="00774541"/>
    <w:rsid w:val="007A1956"/>
    <w:rsid w:val="007A4688"/>
    <w:rsid w:val="008021E4"/>
    <w:rsid w:val="00802622"/>
    <w:rsid w:val="00823DA5"/>
    <w:rsid w:val="008316C5"/>
    <w:rsid w:val="00841D9E"/>
    <w:rsid w:val="008563D8"/>
    <w:rsid w:val="00876A03"/>
    <w:rsid w:val="008A1653"/>
    <w:rsid w:val="008A5938"/>
    <w:rsid w:val="008B1898"/>
    <w:rsid w:val="008C19DA"/>
    <w:rsid w:val="008C7E27"/>
    <w:rsid w:val="008D1015"/>
    <w:rsid w:val="008D34BD"/>
    <w:rsid w:val="008E7DFF"/>
    <w:rsid w:val="008F6D56"/>
    <w:rsid w:val="00902A7C"/>
    <w:rsid w:val="009401AA"/>
    <w:rsid w:val="00951199"/>
    <w:rsid w:val="00967F8F"/>
    <w:rsid w:val="00995965"/>
    <w:rsid w:val="009C318E"/>
    <w:rsid w:val="009E3008"/>
    <w:rsid w:val="009F5AA1"/>
    <w:rsid w:val="00A3213B"/>
    <w:rsid w:val="00A72C2E"/>
    <w:rsid w:val="00AA0840"/>
    <w:rsid w:val="00AB2196"/>
    <w:rsid w:val="00AD0BBB"/>
    <w:rsid w:val="00AD673D"/>
    <w:rsid w:val="00AF2262"/>
    <w:rsid w:val="00B1782A"/>
    <w:rsid w:val="00B417F8"/>
    <w:rsid w:val="00B43116"/>
    <w:rsid w:val="00B44BEC"/>
    <w:rsid w:val="00B65B64"/>
    <w:rsid w:val="00B7449A"/>
    <w:rsid w:val="00B91A61"/>
    <w:rsid w:val="00B96E63"/>
    <w:rsid w:val="00BA0B1C"/>
    <w:rsid w:val="00BA7C5B"/>
    <w:rsid w:val="00BE79E3"/>
    <w:rsid w:val="00BF02FC"/>
    <w:rsid w:val="00C47688"/>
    <w:rsid w:val="00C7543F"/>
    <w:rsid w:val="00CD5EB8"/>
    <w:rsid w:val="00D2205E"/>
    <w:rsid w:val="00D5068E"/>
    <w:rsid w:val="00D54E3A"/>
    <w:rsid w:val="00D575C8"/>
    <w:rsid w:val="00DA6706"/>
    <w:rsid w:val="00DB0F32"/>
    <w:rsid w:val="00DB5774"/>
    <w:rsid w:val="00E02955"/>
    <w:rsid w:val="00E0567C"/>
    <w:rsid w:val="00E333F7"/>
    <w:rsid w:val="00E52141"/>
    <w:rsid w:val="00E56959"/>
    <w:rsid w:val="00E66512"/>
    <w:rsid w:val="00E71455"/>
    <w:rsid w:val="00E96575"/>
    <w:rsid w:val="00EA7B06"/>
    <w:rsid w:val="00EB123B"/>
    <w:rsid w:val="00EB422E"/>
    <w:rsid w:val="00EB7860"/>
    <w:rsid w:val="00ED6B3A"/>
    <w:rsid w:val="00EF259E"/>
    <w:rsid w:val="00F05A74"/>
    <w:rsid w:val="00F13AE4"/>
    <w:rsid w:val="00F21470"/>
    <w:rsid w:val="00F51D6A"/>
    <w:rsid w:val="00F75211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06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CF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1CF"/>
    <w:pPr>
      <w:tabs>
        <w:tab w:val="center" w:pos="4153"/>
        <w:tab w:val="right" w:pos="8306"/>
      </w:tabs>
    </w:pPr>
    <w:rPr>
      <w:rFonts w:ascii="Tahoma" w:eastAsia="Times New Roman" w:hAnsi="Tahoma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11CF"/>
    <w:rPr>
      <w:rFonts w:ascii="Tahoma" w:hAnsi="Tahoma"/>
      <w:sz w:val="22"/>
      <w:szCs w:val="24"/>
      <w:lang w:eastAsia="en-US"/>
    </w:rPr>
  </w:style>
  <w:style w:type="character" w:styleId="Hyperlink">
    <w:name w:val="Hyperlink"/>
    <w:basedOn w:val="DefaultParagraphFont"/>
    <w:rsid w:val="00360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2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2363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0C2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2363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2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0C0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0C0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EB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trademe.co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deme.co.nz/Trade-me-jobs/Salary-guide/index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2014-01-07T03:09:00Z</dcterms:created>
  <dcterms:modified xsi:type="dcterms:W3CDTF">2014-01-08T01:08:00Z</dcterms:modified>
</cp:coreProperties>
</file>