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E5D" w:rsidRPr="0088688B" w:rsidRDefault="00B60E5D" w:rsidP="00C3622A">
      <w:pPr>
        <w:pStyle w:val="Heading3"/>
        <w:jc w:val="both"/>
        <w:rPr>
          <w:rFonts w:ascii="Calibri" w:hAnsi="Calibri"/>
          <w:szCs w:val="28"/>
        </w:rPr>
      </w:pPr>
      <w:r w:rsidRPr="0088688B">
        <w:rPr>
          <w:rFonts w:ascii="Calibri" w:hAnsi="Calibri"/>
          <w:szCs w:val="28"/>
        </w:rPr>
        <w:t>Media release</w:t>
      </w:r>
    </w:p>
    <w:p w:rsidR="00B60E5D" w:rsidRPr="0088688B" w:rsidRDefault="003132E2" w:rsidP="0088688B">
      <w:pPr>
        <w:jc w:val="both"/>
        <w:rPr>
          <w:sz w:val="28"/>
          <w:szCs w:val="28"/>
        </w:rPr>
      </w:pPr>
      <w:r>
        <w:rPr>
          <w:sz w:val="28"/>
          <w:szCs w:val="28"/>
        </w:rPr>
        <w:t>1</w:t>
      </w:r>
      <w:r w:rsidR="00BB21FD">
        <w:rPr>
          <w:sz w:val="28"/>
          <w:szCs w:val="28"/>
        </w:rPr>
        <w:t>4</w:t>
      </w:r>
      <w:r w:rsidR="00B60E5D" w:rsidRPr="0088688B">
        <w:rPr>
          <w:sz w:val="28"/>
          <w:szCs w:val="28"/>
          <w:vertAlign w:val="superscript"/>
        </w:rPr>
        <w:t>th</w:t>
      </w:r>
      <w:r w:rsidR="00B60E5D" w:rsidRPr="0088688B">
        <w:rPr>
          <w:sz w:val="28"/>
          <w:szCs w:val="28"/>
        </w:rPr>
        <w:t xml:space="preserve"> </w:t>
      </w:r>
      <w:r w:rsidR="00083345">
        <w:rPr>
          <w:sz w:val="28"/>
          <w:szCs w:val="28"/>
        </w:rPr>
        <w:t>January</w:t>
      </w:r>
    </w:p>
    <w:p w:rsidR="00B60E5D" w:rsidRDefault="004F4CED" w:rsidP="0088688B">
      <w:pPr>
        <w:jc w:val="both"/>
        <w:rPr>
          <w:b/>
          <w:sz w:val="32"/>
        </w:rPr>
      </w:pPr>
      <w:r>
        <w:rPr>
          <w:b/>
          <w:sz w:val="32"/>
        </w:rPr>
        <w:t>Value increases likely to slow in 2014</w:t>
      </w:r>
    </w:p>
    <w:p w:rsidR="008C0C0F" w:rsidRPr="000C4DDD" w:rsidRDefault="00774807" w:rsidP="008C0C0F">
      <w:pPr>
        <w:spacing w:after="0" w:line="240" w:lineRule="auto"/>
      </w:pPr>
      <w:r>
        <w:t xml:space="preserve">Nationwide residential property values increased further in December according to the latest </w:t>
      </w:r>
      <w:r w:rsidR="002111DB">
        <w:t>monthly property value index</w:t>
      </w:r>
      <w:r w:rsidR="001C3538">
        <w:t xml:space="preserve">. </w:t>
      </w:r>
      <w:r w:rsidR="00877CB9">
        <w:t xml:space="preserve">Values </w:t>
      </w:r>
      <w:r w:rsidR="001B6C3F">
        <w:t xml:space="preserve">are up </w:t>
      </w:r>
      <w:r w:rsidR="00BB21FD">
        <w:t>3.0</w:t>
      </w:r>
      <w:r w:rsidR="00784973">
        <w:t xml:space="preserve">% </w:t>
      </w:r>
      <w:r w:rsidR="001B6C3F">
        <w:t xml:space="preserve">over </w:t>
      </w:r>
      <w:r w:rsidR="00784973">
        <w:t>the past three months</w:t>
      </w:r>
      <w:r w:rsidR="001C3538">
        <w:t xml:space="preserve">, </w:t>
      </w:r>
      <w:r w:rsidR="00BB21FD">
        <w:t>10.0</w:t>
      </w:r>
      <w:r w:rsidR="00784973">
        <w:t xml:space="preserve">% </w:t>
      </w:r>
      <w:r w:rsidR="001C3538">
        <w:t xml:space="preserve">up </w:t>
      </w:r>
      <w:r w:rsidR="00784973">
        <w:t>over the past year</w:t>
      </w:r>
      <w:r w:rsidR="001C3538">
        <w:t xml:space="preserve">, and </w:t>
      </w:r>
      <w:r w:rsidR="00BB21FD">
        <w:t>12.5</w:t>
      </w:r>
      <w:r w:rsidR="00D11FC4">
        <w:t xml:space="preserve">% above the </w:t>
      </w:r>
      <w:r w:rsidR="00B9580C">
        <w:t>previous market peak of late 2007.</w:t>
      </w:r>
    </w:p>
    <w:p w:rsidR="00B60E5D" w:rsidRDefault="00D336CB" w:rsidP="007537D5">
      <w:pPr>
        <w:spacing w:after="0" w:line="240" w:lineRule="auto"/>
        <w:rPr>
          <w:noProof/>
          <w:lang w:eastAsia="en-NZ"/>
        </w:rPr>
      </w:pPr>
      <w:r w:rsidRPr="00D336CB">
        <w:rPr>
          <w:noProof/>
          <w:lang w:eastAsia="en-NZ"/>
        </w:rPr>
        <w:drawing>
          <wp:inline distT="0" distB="0" distL="0" distR="0">
            <wp:extent cx="5210175" cy="44577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210175" cy="4457700"/>
                    </a:xfrm>
                    <a:prstGeom prst="rect">
                      <a:avLst/>
                    </a:prstGeom>
                    <a:noFill/>
                    <a:ln w="9525">
                      <a:noFill/>
                      <a:miter lim="800000"/>
                      <a:headEnd/>
                      <a:tailEnd/>
                    </a:ln>
                  </pic:spPr>
                </pic:pic>
              </a:graphicData>
            </a:graphic>
          </wp:inline>
        </w:drawing>
      </w:r>
    </w:p>
    <w:p w:rsidR="00F51D7D" w:rsidRPr="000C4DDD" w:rsidRDefault="00F51D7D" w:rsidP="007537D5">
      <w:pPr>
        <w:spacing w:after="0" w:line="240" w:lineRule="auto"/>
      </w:pPr>
    </w:p>
    <w:p w:rsidR="00774807" w:rsidRDefault="00CD62BB" w:rsidP="003B26B2">
      <w:pPr>
        <w:pStyle w:val="NoSpacing"/>
      </w:pPr>
      <w:r w:rsidRPr="005541AA">
        <w:t>Jonno Ingerson, QV.co.nz Research Director said “</w:t>
      </w:r>
      <w:r w:rsidR="00AD4179">
        <w:t>nationwide values increased steadily throughout 2013</w:t>
      </w:r>
      <w:r w:rsidR="006B6328">
        <w:t xml:space="preserve">, with the </w:t>
      </w:r>
      <w:r w:rsidR="00AD4179">
        <w:t>year</w:t>
      </w:r>
      <w:r w:rsidR="006B6328">
        <w:t xml:space="preserve"> ending</w:t>
      </w:r>
      <w:r w:rsidR="00AD4179">
        <w:t xml:space="preserve"> 10.0% above the previous year. </w:t>
      </w:r>
      <w:r w:rsidR="008D7D32">
        <w:t>As was the case in 2012</w:t>
      </w:r>
      <w:r w:rsidR="006B6328">
        <w:t>,</w:t>
      </w:r>
      <w:r w:rsidR="008D7D32">
        <w:t xml:space="preserve"> most of the nationwide increase in values was driven by strong increases in Auckland, and to a lesser extent Christchurch.</w:t>
      </w:r>
      <w:r w:rsidR="00CA7AAB">
        <w:t>”</w:t>
      </w:r>
    </w:p>
    <w:p w:rsidR="00EF71B2" w:rsidRDefault="00EF71B2" w:rsidP="003B26B2">
      <w:pPr>
        <w:pStyle w:val="NoSpacing"/>
      </w:pPr>
    </w:p>
    <w:p w:rsidR="006024F1" w:rsidRDefault="006024F1" w:rsidP="003B26B2">
      <w:pPr>
        <w:pStyle w:val="NoSpacing"/>
      </w:pPr>
      <w:r>
        <w:t>“</w:t>
      </w:r>
      <w:r w:rsidR="008D7D32">
        <w:t>Sales volumes each month</w:t>
      </w:r>
      <w:r w:rsidR="00233F46">
        <w:t xml:space="preserve"> up until October</w:t>
      </w:r>
      <w:r w:rsidR="008D7D32">
        <w:t xml:space="preserve"> were also higher than the same month in 2012 by between 5% and 18%. </w:t>
      </w:r>
      <w:r w:rsidR="00D96C4A">
        <w:t xml:space="preserve">This represented an increase in activity but this was still well below the level of sales seen in 2003 to 2007, and is only just getting </w:t>
      </w:r>
      <w:r w:rsidR="00EC5E9D">
        <w:t xml:space="preserve">back to </w:t>
      </w:r>
      <w:r w:rsidR="00233F46">
        <w:t xml:space="preserve">a </w:t>
      </w:r>
      <w:r w:rsidR="00EC5E9D">
        <w:t>long term average level. Like property values, this sales turnover was also stronger in Auckland than the other main centres".</w:t>
      </w:r>
    </w:p>
    <w:p w:rsidR="006024F1" w:rsidRDefault="006024F1" w:rsidP="003B26B2">
      <w:pPr>
        <w:pStyle w:val="NoSpacing"/>
      </w:pPr>
    </w:p>
    <w:p w:rsidR="000D085F" w:rsidRDefault="006024F1" w:rsidP="003B26B2">
      <w:pPr>
        <w:pStyle w:val="NoSpacing"/>
      </w:pPr>
      <w:r>
        <w:t>“</w:t>
      </w:r>
      <w:r w:rsidR="0011207A">
        <w:t>As the year went on, there was more and</w:t>
      </w:r>
      <w:r w:rsidR="00233F46">
        <w:t xml:space="preserve"> more</w:t>
      </w:r>
      <w:r w:rsidR="0011207A">
        <w:t xml:space="preserve"> talk in the media about property values once again overheating and that the increases were another bubble. </w:t>
      </w:r>
      <w:r w:rsidR="0011207A" w:rsidRPr="000A74D9">
        <w:t xml:space="preserve">The Reserve Bank became </w:t>
      </w:r>
      <w:r w:rsidR="000A74D9" w:rsidRPr="000A74D9">
        <w:t xml:space="preserve">increasingly </w:t>
      </w:r>
      <w:r w:rsidR="0011207A" w:rsidRPr="000A74D9">
        <w:t>concerned about the increase in property values and</w:t>
      </w:r>
      <w:r w:rsidR="000A74D9" w:rsidRPr="000A74D9">
        <w:t xml:space="preserve"> more particularly</w:t>
      </w:r>
      <w:r w:rsidR="0011207A" w:rsidRPr="000A74D9">
        <w:t xml:space="preserve"> </w:t>
      </w:r>
      <w:r w:rsidR="000A74D9" w:rsidRPr="000A74D9">
        <w:t xml:space="preserve">what </w:t>
      </w:r>
      <w:r w:rsidR="0011207A" w:rsidRPr="000A74D9">
        <w:t xml:space="preserve">the subsequent impact on the economy </w:t>
      </w:r>
      <w:r w:rsidR="000A74D9" w:rsidRPr="000A74D9">
        <w:t xml:space="preserve">would be if property values declined significantly. As a result </w:t>
      </w:r>
      <w:r w:rsidR="0011207A" w:rsidRPr="000A74D9">
        <w:t>they implemented what became known as LVR speed limits</w:t>
      </w:r>
      <w:r w:rsidR="004F4CED" w:rsidRPr="000A74D9">
        <w:t xml:space="preserve"> on October 1st</w:t>
      </w:r>
      <w:r w:rsidR="0011207A" w:rsidRPr="000A74D9">
        <w:t xml:space="preserve">. </w:t>
      </w:r>
      <w:proofErr w:type="gramStart"/>
      <w:r w:rsidR="0011207A" w:rsidRPr="000A74D9">
        <w:t>These</w:t>
      </w:r>
      <w:r w:rsidR="0011207A">
        <w:t xml:space="preserve"> loan</w:t>
      </w:r>
      <w:proofErr w:type="gramEnd"/>
      <w:r w:rsidR="0011207A">
        <w:t xml:space="preserve"> to value ratio limits imposed on </w:t>
      </w:r>
      <w:r w:rsidR="0011207A">
        <w:lastRenderedPageBreak/>
        <w:t xml:space="preserve">the main banks meant that potential purchasers needed to have at least a 20% deposit. The Reserve Bank signalled </w:t>
      </w:r>
      <w:r w:rsidR="004F4CED">
        <w:t xml:space="preserve">well before </w:t>
      </w:r>
      <w:r w:rsidR="0011207A">
        <w:t xml:space="preserve">October that they were likely to put in place </w:t>
      </w:r>
      <w:r w:rsidR="006D71C3">
        <w:t>measure</w:t>
      </w:r>
      <w:r w:rsidR="0011207A">
        <w:t xml:space="preserve">s to cool the market, and these began to have an immediate impact, at least on activity. The number of sales slowed down and the number of new listings </w:t>
      </w:r>
      <w:r w:rsidR="00233F46">
        <w:t>followed suit</w:t>
      </w:r>
      <w:r w:rsidR="0011207A">
        <w:t>. As yet there appears to have been no impact on values, although it is really too early to expect dramatic change</w:t>
      </w:r>
      <w:r w:rsidR="00233F46">
        <w:t>,</w:t>
      </w:r>
      <w:r>
        <w:t xml:space="preserve">” </w:t>
      </w:r>
      <w:proofErr w:type="spellStart"/>
      <w:r>
        <w:t>Jonno</w:t>
      </w:r>
      <w:proofErr w:type="spellEnd"/>
      <w:r>
        <w:t xml:space="preserve"> </w:t>
      </w:r>
      <w:proofErr w:type="spellStart"/>
      <w:r>
        <w:t>Ingerson</w:t>
      </w:r>
      <w:proofErr w:type="spellEnd"/>
      <w:r>
        <w:t xml:space="preserve"> said.</w:t>
      </w:r>
    </w:p>
    <w:p w:rsidR="00385C3A" w:rsidRDefault="00385C3A" w:rsidP="003B26B2">
      <w:pPr>
        <w:pStyle w:val="NoSpacing"/>
      </w:pPr>
    </w:p>
    <w:p w:rsidR="00490CE8" w:rsidRPr="00385C3A" w:rsidRDefault="00385C3A" w:rsidP="003B26B2">
      <w:pPr>
        <w:pStyle w:val="NoSpacing"/>
        <w:rPr>
          <w:b/>
        </w:rPr>
      </w:pPr>
      <w:r w:rsidRPr="00385C3A">
        <w:rPr>
          <w:b/>
        </w:rPr>
        <w:t>Main centre comparison</w:t>
      </w:r>
    </w:p>
    <w:p w:rsidR="003B26B2" w:rsidRPr="005541AA" w:rsidRDefault="003B26B2" w:rsidP="003B26B2">
      <w:pPr>
        <w:pStyle w:val="NoSpacing"/>
      </w:pPr>
    </w:p>
    <w:p w:rsidR="006024F1" w:rsidRDefault="00EC1555" w:rsidP="003B26B2">
      <w:pPr>
        <w:pStyle w:val="NoSpacing"/>
      </w:pPr>
      <w:r>
        <w:t>“</w:t>
      </w:r>
      <w:r w:rsidR="006D71C3">
        <w:t xml:space="preserve">A comparison of the main centres shows how much the nationwide annual increase of 10% was pushed up by Auckland and Christchurch. From the North Shore to </w:t>
      </w:r>
      <w:proofErr w:type="spellStart"/>
      <w:r w:rsidR="006D71C3">
        <w:t>Manukau</w:t>
      </w:r>
      <w:proofErr w:type="spellEnd"/>
      <w:r w:rsidR="006D71C3">
        <w:t xml:space="preserve"> values increased between 15% and 18% annually, and values in Christchurch went up 12.7%</w:t>
      </w:r>
      <w:r w:rsidR="00385C3A">
        <w:t>.</w:t>
      </w:r>
      <w:r w:rsidR="006D71C3">
        <w:t xml:space="preserve"> In contrast</w:t>
      </w:r>
      <w:r w:rsidR="00233F46">
        <w:t>,</w:t>
      </w:r>
      <w:r w:rsidR="006D71C3">
        <w:t xml:space="preserve"> the rest of the main centres increased between 2.5% and 4.0% apart from Hamilton wh</w:t>
      </w:r>
      <w:r w:rsidR="006C23EF">
        <w:t xml:space="preserve">ich was slightly higher at 5.8%,” said </w:t>
      </w:r>
      <w:proofErr w:type="spellStart"/>
      <w:r w:rsidR="006C23EF">
        <w:t>Jonno</w:t>
      </w:r>
      <w:proofErr w:type="spellEnd"/>
      <w:r w:rsidR="006C23EF">
        <w:t xml:space="preserve"> Ingerson.</w:t>
      </w:r>
    </w:p>
    <w:p w:rsidR="00001D32" w:rsidRDefault="00001D32" w:rsidP="003B26B2">
      <w:pPr>
        <w:pStyle w:val="NoSpacing"/>
      </w:pPr>
    </w:p>
    <w:p w:rsidR="006024F1" w:rsidRDefault="004F4CED" w:rsidP="003B26B2">
      <w:pPr>
        <w:pStyle w:val="NoSpacing"/>
      </w:pPr>
      <w:r w:rsidRPr="00AD4179">
        <w:rPr>
          <w:noProof/>
          <w:lang w:eastAsia="en-NZ"/>
        </w:rPr>
        <w:drawing>
          <wp:inline distT="0" distB="0" distL="0" distR="0">
            <wp:extent cx="3228975" cy="4400550"/>
            <wp:effectExtent l="1905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3228975" cy="4400550"/>
                    </a:xfrm>
                    <a:prstGeom prst="rect">
                      <a:avLst/>
                    </a:prstGeom>
                    <a:noFill/>
                    <a:ln w="9525">
                      <a:noFill/>
                      <a:miter lim="800000"/>
                      <a:headEnd/>
                      <a:tailEnd/>
                    </a:ln>
                  </pic:spPr>
                </pic:pic>
              </a:graphicData>
            </a:graphic>
          </wp:inline>
        </w:drawing>
      </w:r>
    </w:p>
    <w:p w:rsidR="006024F1" w:rsidRDefault="00EC1555" w:rsidP="003B26B2">
      <w:pPr>
        <w:pStyle w:val="NoSpacing"/>
      </w:pPr>
      <w:r>
        <w:t>“</w:t>
      </w:r>
      <w:r w:rsidR="00232935">
        <w:t xml:space="preserve">Considering that values in Auckland have now been </w:t>
      </w:r>
      <w:r w:rsidR="00FC2CEE">
        <w:t>increasing</w:t>
      </w:r>
      <w:r w:rsidR="00232935">
        <w:t xml:space="preserve"> since earl</w:t>
      </w:r>
      <w:r w:rsidR="00001D32">
        <w:t xml:space="preserve">y 2011 it is not surprising that they </w:t>
      </w:r>
      <w:r w:rsidR="00232935">
        <w:t xml:space="preserve">are </w:t>
      </w:r>
      <w:r w:rsidR="00001D32">
        <w:t>now 27% above the previous 2007 market peak</w:t>
      </w:r>
      <w:r w:rsidR="00232935">
        <w:t>. Likewise values in Christchurch are 20</w:t>
      </w:r>
      <w:r w:rsidR="003F032C">
        <w:t>% above the previous peak. Tauranga remains 8.2% below peak, while the Wellington area, Hamilton and Dunedin are just above or below previous peak levels</w:t>
      </w:r>
      <w:r w:rsidR="009F0628">
        <w:t>.</w:t>
      </w:r>
      <w:r>
        <w:t>”</w:t>
      </w:r>
    </w:p>
    <w:p w:rsidR="00FE48B0" w:rsidRDefault="00FE48B0" w:rsidP="003B26B2">
      <w:pPr>
        <w:pStyle w:val="NoSpacing"/>
      </w:pPr>
    </w:p>
    <w:p w:rsidR="00566A54" w:rsidRPr="000C4DDD" w:rsidRDefault="00566A54" w:rsidP="007537D5">
      <w:pPr>
        <w:spacing w:after="0" w:line="240" w:lineRule="auto"/>
        <w:rPr>
          <w:b/>
        </w:rPr>
      </w:pPr>
      <w:r w:rsidRPr="000C4DDD">
        <w:rPr>
          <w:b/>
        </w:rPr>
        <w:t>Provincial centres</w:t>
      </w:r>
    </w:p>
    <w:p w:rsidR="006813DC" w:rsidRDefault="006C23EF" w:rsidP="007537D5">
      <w:pPr>
        <w:spacing w:after="0" w:line="240" w:lineRule="auto"/>
      </w:pPr>
      <w:proofErr w:type="spellStart"/>
      <w:r>
        <w:t>Jonno</w:t>
      </w:r>
      <w:proofErr w:type="spellEnd"/>
      <w:r>
        <w:t xml:space="preserve"> </w:t>
      </w:r>
      <w:proofErr w:type="spellStart"/>
      <w:r>
        <w:t>Ingerson</w:t>
      </w:r>
      <w:proofErr w:type="spellEnd"/>
      <w:r>
        <w:t xml:space="preserve"> said, </w:t>
      </w:r>
      <w:r w:rsidR="00EC1555">
        <w:t>“</w:t>
      </w:r>
      <w:r w:rsidR="00FC2CEE">
        <w:t xml:space="preserve">The provincial centres showed less of a clear trend over 2013 than the main centres. </w:t>
      </w:r>
      <w:r w:rsidR="006813DC">
        <w:t>A</w:t>
      </w:r>
      <w:r w:rsidR="00FC2CEE">
        <w:t xml:space="preserve">part from Wanganui and Queenstown </w:t>
      </w:r>
      <w:r w:rsidR="006813DC">
        <w:t xml:space="preserve">all the provincial centres </w:t>
      </w:r>
      <w:r w:rsidR="00FC2CEE">
        <w:t xml:space="preserve">increased </w:t>
      </w:r>
      <w:r w:rsidR="00DB1DE6">
        <w:t>during 2013</w:t>
      </w:r>
      <w:r w:rsidR="006813DC">
        <w:t>, but the increase</w:t>
      </w:r>
      <w:r w:rsidR="00DB1DE6">
        <w:t>s were</w:t>
      </w:r>
      <w:r w:rsidR="006813DC">
        <w:t xml:space="preserve"> </w:t>
      </w:r>
      <w:r w:rsidR="00FC2CEE">
        <w:t>less than 5%</w:t>
      </w:r>
      <w:r w:rsidR="006813DC">
        <w:t xml:space="preserve">. The exceptions were </w:t>
      </w:r>
      <w:proofErr w:type="spellStart"/>
      <w:r w:rsidR="006813DC">
        <w:t>Gisborne</w:t>
      </w:r>
      <w:proofErr w:type="spellEnd"/>
      <w:r w:rsidR="006813DC">
        <w:t xml:space="preserve"> which increased by </w:t>
      </w:r>
      <w:proofErr w:type="gramStart"/>
      <w:r w:rsidR="006813DC">
        <w:t>5.5%,</w:t>
      </w:r>
      <w:proofErr w:type="gramEnd"/>
      <w:r w:rsidR="006813DC">
        <w:t xml:space="preserve"> and New Plymouth 7.3%.</w:t>
      </w:r>
      <w:r w:rsidR="00EC1555">
        <w:t>”</w:t>
      </w:r>
    </w:p>
    <w:p w:rsidR="006813DC" w:rsidRDefault="006813DC" w:rsidP="007537D5">
      <w:pPr>
        <w:spacing w:after="0" w:line="240" w:lineRule="auto"/>
      </w:pPr>
    </w:p>
    <w:p w:rsidR="009002DB" w:rsidRDefault="009002DB" w:rsidP="007537D5">
      <w:pPr>
        <w:spacing w:after="0" w:line="240" w:lineRule="auto"/>
      </w:pPr>
    </w:p>
    <w:p w:rsidR="00117912" w:rsidRDefault="00EC1555" w:rsidP="007537D5">
      <w:pPr>
        <w:spacing w:after="0" w:line="240" w:lineRule="auto"/>
      </w:pPr>
      <w:r>
        <w:lastRenderedPageBreak/>
        <w:t>“</w:t>
      </w:r>
      <w:r w:rsidR="00117912">
        <w:t xml:space="preserve">Relative to the previous market peak, only New Plymouth and Nelson are beyond that level by 4.5% and 5.1% respectively. Most of the other centres remain a few percent below peak, while </w:t>
      </w:r>
      <w:proofErr w:type="spellStart"/>
      <w:r w:rsidR="00117912">
        <w:t>Whangarei</w:t>
      </w:r>
      <w:proofErr w:type="spellEnd"/>
      <w:r w:rsidR="00117912">
        <w:t xml:space="preserve">, </w:t>
      </w:r>
      <w:proofErr w:type="spellStart"/>
      <w:r w:rsidR="00117912">
        <w:t>Gisborne</w:t>
      </w:r>
      <w:proofErr w:type="spellEnd"/>
      <w:r w:rsidR="00117912">
        <w:t xml:space="preserve"> and Wanganui are over 15% below</w:t>
      </w:r>
      <w:r w:rsidR="003E77A5">
        <w:t xml:space="preserve"> as all three of those areas did not show the same recovery in the market in 2009 </w:t>
      </w:r>
      <w:r w:rsidR="00DB1DE6">
        <w:t>a</w:t>
      </w:r>
      <w:r w:rsidR="003E77A5">
        <w:t>nd 2010 that most of the rest of the main centres did</w:t>
      </w:r>
      <w:r w:rsidR="004D325A">
        <w:t>.</w:t>
      </w:r>
      <w:r>
        <w:t>”</w:t>
      </w:r>
    </w:p>
    <w:p w:rsidR="00117912" w:rsidRDefault="00117912" w:rsidP="007537D5">
      <w:pPr>
        <w:spacing w:after="0" w:line="240" w:lineRule="auto"/>
      </w:pPr>
    </w:p>
    <w:p w:rsidR="00744E12" w:rsidRDefault="00EC1555" w:rsidP="007537D5">
      <w:pPr>
        <w:spacing w:after="0" w:line="240" w:lineRule="auto"/>
      </w:pPr>
      <w:r>
        <w:t>“</w:t>
      </w:r>
      <w:r w:rsidR="003E77A5" w:rsidRPr="006E2D33">
        <w:t>Compared to 2012</w:t>
      </w:r>
      <w:r w:rsidR="00FE235F">
        <w:t>,</w:t>
      </w:r>
      <w:r w:rsidR="003E77A5" w:rsidRPr="006E2D33">
        <w:t xml:space="preserve"> sales volumes </w:t>
      </w:r>
      <w:r w:rsidR="006E2D33" w:rsidRPr="006E2D33">
        <w:t xml:space="preserve">dropped in many of the provincial centres by a few percent. The notable exceptions were </w:t>
      </w:r>
      <w:proofErr w:type="spellStart"/>
      <w:r w:rsidR="006E2D33" w:rsidRPr="006E2D33">
        <w:t>Whangarei</w:t>
      </w:r>
      <w:proofErr w:type="spellEnd"/>
      <w:r w:rsidR="006E2D33" w:rsidRPr="006E2D33">
        <w:t xml:space="preserve">, New Plymouth and Nelson </w:t>
      </w:r>
      <w:r w:rsidR="006E2D33" w:rsidRPr="006E2D33">
        <w:tab/>
        <w:t>where sales were well above the year before.</w:t>
      </w:r>
      <w:r>
        <w:t>”</w:t>
      </w:r>
      <w:r w:rsidR="006E2D33" w:rsidRPr="006E2D33">
        <w:t xml:space="preserve"> </w:t>
      </w:r>
    </w:p>
    <w:p w:rsidR="001B7F73" w:rsidRDefault="00AD4179" w:rsidP="007537D5">
      <w:pPr>
        <w:spacing w:after="0" w:line="240" w:lineRule="auto"/>
      </w:pPr>
      <w:r w:rsidRPr="00AD4179">
        <w:rPr>
          <w:noProof/>
          <w:lang w:eastAsia="en-NZ"/>
        </w:rPr>
        <w:drawing>
          <wp:inline distT="0" distB="0" distL="0" distR="0">
            <wp:extent cx="3219450" cy="44005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3219450" cy="4400550"/>
                    </a:xfrm>
                    <a:prstGeom prst="rect">
                      <a:avLst/>
                    </a:prstGeom>
                    <a:noFill/>
                    <a:ln w="9525">
                      <a:noFill/>
                      <a:miter lim="800000"/>
                      <a:headEnd/>
                      <a:tailEnd/>
                    </a:ln>
                  </pic:spPr>
                </pic:pic>
              </a:graphicData>
            </a:graphic>
          </wp:inline>
        </w:drawing>
      </w:r>
      <w:r w:rsidR="00A951FC">
        <w:t xml:space="preserve"> </w:t>
      </w:r>
    </w:p>
    <w:p w:rsidR="009002DB" w:rsidRDefault="009002DB" w:rsidP="007537D5">
      <w:pPr>
        <w:spacing w:after="0" w:line="240" w:lineRule="auto"/>
      </w:pPr>
    </w:p>
    <w:p w:rsidR="009002DB" w:rsidRPr="009002DB" w:rsidRDefault="009002DB" w:rsidP="007537D5">
      <w:pPr>
        <w:spacing w:after="0" w:line="240" w:lineRule="auto"/>
        <w:rPr>
          <w:b/>
        </w:rPr>
      </w:pPr>
      <w:r w:rsidRPr="009002DB">
        <w:rPr>
          <w:b/>
        </w:rPr>
        <w:t>The outlook for 201</w:t>
      </w:r>
      <w:r w:rsidR="00233F46">
        <w:rPr>
          <w:b/>
        </w:rPr>
        <w:t>4</w:t>
      </w:r>
    </w:p>
    <w:p w:rsidR="009002DB" w:rsidRDefault="009002DB" w:rsidP="007537D5">
      <w:pPr>
        <w:spacing w:after="0" w:line="240" w:lineRule="auto"/>
      </w:pPr>
    </w:p>
    <w:p w:rsidR="002C5B6A" w:rsidRDefault="00EC1555" w:rsidP="007537D5">
      <w:pPr>
        <w:spacing w:after="0" w:line="240" w:lineRule="auto"/>
      </w:pPr>
      <w:r>
        <w:t>“</w:t>
      </w:r>
      <w:r w:rsidR="002C5B6A">
        <w:t xml:space="preserve">The LVR speed limits are likely to have an impact on the market for </w:t>
      </w:r>
      <w:r w:rsidR="00DB1DE6">
        <w:t xml:space="preserve">at least </w:t>
      </w:r>
      <w:r w:rsidR="002C5B6A">
        <w:t xml:space="preserve">the first </w:t>
      </w:r>
      <w:r w:rsidR="00DB1DE6">
        <w:t>half</w:t>
      </w:r>
      <w:r w:rsidR="002C5B6A">
        <w:t xml:space="preserve"> of 2014. The first sign so far of their impact is a declin</w:t>
      </w:r>
      <w:r>
        <w:t xml:space="preserve">e in the number of new listings,” said </w:t>
      </w:r>
      <w:proofErr w:type="spellStart"/>
      <w:r>
        <w:t>Jonno</w:t>
      </w:r>
      <w:proofErr w:type="spellEnd"/>
      <w:r>
        <w:t xml:space="preserve"> </w:t>
      </w:r>
      <w:proofErr w:type="spellStart"/>
      <w:r>
        <w:t>Ingerson</w:t>
      </w:r>
      <w:proofErr w:type="spellEnd"/>
      <w:r>
        <w:t>.</w:t>
      </w:r>
    </w:p>
    <w:p w:rsidR="002C5B6A" w:rsidRDefault="002C5B6A" w:rsidP="007537D5">
      <w:pPr>
        <w:spacing w:after="0" w:line="240" w:lineRule="auto"/>
      </w:pPr>
    </w:p>
    <w:p w:rsidR="002C5B6A" w:rsidRDefault="00EC1555" w:rsidP="007537D5">
      <w:pPr>
        <w:spacing w:after="0" w:line="240" w:lineRule="auto"/>
      </w:pPr>
      <w:r>
        <w:t>“</w:t>
      </w:r>
      <w:r w:rsidR="006E2D33">
        <w:t xml:space="preserve">The impact of the speed limits is likely to differ across the country. </w:t>
      </w:r>
      <w:r w:rsidR="002C5B6A">
        <w:t xml:space="preserve">Auckland values are </w:t>
      </w:r>
      <w:r w:rsidR="006E2D33">
        <w:t xml:space="preserve">expected </w:t>
      </w:r>
      <w:r w:rsidR="00FE235F">
        <w:t xml:space="preserve">to </w:t>
      </w:r>
      <w:r w:rsidR="002C5B6A">
        <w:t>keep increasing throughout the year as both internal and external migration boost</w:t>
      </w:r>
      <w:r w:rsidR="00FE235F">
        <w:t>s</w:t>
      </w:r>
      <w:r w:rsidR="002C5B6A">
        <w:t xml:space="preserve"> the population while the supp</w:t>
      </w:r>
      <w:r w:rsidR="00237901">
        <w:t>ly of housing remains tight. This strong demand and low supply is likely</w:t>
      </w:r>
      <w:r w:rsidR="006E2D33">
        <w:t xml:space="preserve"> to keep pushing values up, although the rate of increase will probably be less than the previous year.</w:t>
      </w:r>
      <w:r>
        <w:t>”</w:t>
      </w:r>
    </w:p>
    <w:p w:rsidR="00237901" w:rsidRDefault="00237901" w:rsidP="007537D5">
      <w:pPr>
        <w:spacing w:after="0" w:line="240" w:lineRule="auto"/>
      </w:pPr>
    </w:p>
    <w:p w:rsidR="006E2D33" w:rsidRDefault="00EC1555" w:rsidP="007537D5">
      <w:pPr>
        <w:spacing w:after="0" w:line="240" w:lineRule="auto"/>
      </w:pPr>
      <w:r>
        <w:t>“</w:t>
      </w:r>
      <w:r w:rsidR="00237901">
        <w:t xml:space="preserve">In the last month or two of 2013 there were early signs that values in Christchurch and the surrounding areas may be faltering. </w:t>
      </w:r>
      <w:r w:rsidR="006E2D33">
        <w:t xml:space="preserve">In a few months </w:t>
      </w:r>
      <w:r w:rsidR="00DB1DE6">
        <w:t xml:space="preserve">from now </w:t>
      </w:r>
      <w:r w:rsidR="006E2D33">
        <w:t>we should be able to tell whether this was due to the LVR speed limits having a temporary influence, or</w:t>
      </w:r>
      <w:r w:rsidR="00FE235F">
        <w:t xml:space="preserve"> </w:t>
      </w:r>
      <w:r w:rsidR="00DB1DE6">
        <w:t>whether</w:t>
      </w:r>
      <w:r w:rsidR="006E2D33">
        <w:t xml:space="preserve"> values in Canterbury have reached their ceiling.</w:t>
      </w:r>
      <w:r>
        <w:t>”</w:t>
      </w:r>
    </w:p>
    <w:p w:rsidR="00237901" w:rsidRDefault="006E2D33" w:rsidP="007537D5">
      <w:pPr>
        <w:spacing w:after="0" w:line="240" w:lineRule="auto"/>
      </w:pPr>
      <w:r>
        <w:t xml:space="preserve"> </w:t>
      </w:r>
    </w:p>
    <w:p w:rsidR="00E7020E" w:rsidRDefault="00EC1555" w:rsidP="007537D5">
      <w:pPr>
        <w:spacing w:after="0" w:line="240" w:lineRule="auto"/>
      </w:pPr>
      <w:r>
        <w:t>“</w:t>
      </w:r>
      <w:r w:rsidR="00237901">
        <w:t xml:space="preserve">Across the rest of the country it is likely that the LVR caps </w:t>
      </w:r>
      <w:r w:rsidR="00153A90">
        <w:t>will have a downward impact on property turnover and values.</w:t>
      </w:r>
      <w:r w:rsidR="00E7020E">
        <w:t xml:space="preserve"> Outside of Auckland and Canterbury there isn't the same imbalance between </w:t>
      </w:r>
      <w:r w:rsidR="00E7020E">
        <w:lastRenderedPageBreak/>
        <w:t>supply and demand. There generally aren't multiple purchasers vying for the same property, so the LVR speed limits are likely to significantly decrease demand and therefore prices.</w:t>
      </w:r>
      <w:r>
        <w:t>”</w:t>
      </w:r>
    </w:p>
    <w:p w:rsidR="00237901" w:rsidRDefault="00237901" w:rsidP="007537D5">
      <w:pPr>
        <w:spacing w:after="0" w:line="240" w:lineRule="auto"/>
      </w:pPr>
    </w:p>
    <w:p w:rsidR="00CC0324" w:rsidRDefault="00EC1555" w:rsidP="007537D5">
      <w:pPr>
        <w:spacing w:after="0" w:line="240" w:lineRule="auto"/>
      </w:pPr>
      <w:r>
        <w:t>“</w:t>
      </w:r>
      <w:r w:rsidR="00153A90">
        <w:t xml:space="preserve">The other big influence on the property market this year is going to be the upcoming increase in mortgage interest rates. The last two </w:t>
      </w:r>
      <w:r w:rsidR="00E33356">
        <w:t xml:space="preserve">or three </w:t>
      </w:r>
      <w:r w:rsidR="00153A90">
        <w:t>years have been characterised by historically low interest rates which have encouraged people into the market. As rates rise</w:t>
      </w:r>
      <w:r w:rsidR="00E33356">
        <w:t xml:space="preserve"> later this year as they are expected to</w:t>
      </w:r>
      <w:r w:rsidR="00FE235F">
        <w:t>,</w:t>
      </w:r>
      <w:r w:rsidR="00153A90">
        <w:t xml:space="preserve"> this will increase the cost of servicing mortgages which in turn will lead to people borrowing less and therefore offering less for properties.</w:t>
      </w:r>
      <w:r>
        <w:t>”</w:t>
      </w:r>
    </w:p>
    <w:p w:rsidR="00153A90" w:rsidRDefault="00153A90" w:rsidP="007537D5">
      <w:pPr>
        <w:spacing w:after="0" w:line="240" w:lineRule="auto"/>
      </w:pPr>
    </w:p>
    <w:p w:rsidR="00DB1DE6" w:rsidRDefault="00EC1555" w:rsidP="007537D5">
      <w:pPr>
        <w:spacing w:after="0" w:line="240" w:lineRule="auto"/>
      </w:pPr>
      <w:r>
        <w:t>“</w:t>
      </w:r>
      <w:r w:rsidR="00153A90">
        <w:t xml:space="preserve">Counter to these potential downward forces </w:t>
      </w:r>
      <w:proofErr w:type="gramStart"/>
      <w:r w:rsidR="00153A90">
        <w:t>are</w:t>
      </w:r>
      <w:proofErr w:type="gramEnd"/>
      <w:r w:rsidR="00153A90">
        <w:t xml:space="preserve"> increasing levels of business and consumer confidence, particularly in the big cities.</w:t>
      </w:r>
      <w:r w:rsidR="00E33356">
        <w:t xml:space="preserve"> Consumer confidence in particular is a strong</w:t>
      </w:r>
      <w:r w:rsidR="00DB1DE6">
        <w:t xml:space="preserve"> driver of the property market.</w:t>
      </w:r>
      <w:r>
        <w:t>”</w:t>
      </w:r>
    </w:p>
    <w:p w:rsidR="00DB1DE6" w:rsidRDefault="00DB1DE6" w:rsidP="007537D5">
      <w:pPr>
        <w:spacing w:after="0" w:line="240" w:lineRule="auto"/>
      </w:pPr>
    </w:p>
    <w:p w:rsidR="00153A90" w:rsidRDefault="00EC1555" w:rsidP="007537D5">
      <w:pPr>
        <w:spacing w:after="0" w:line="240" w:lineRule="auto"/>
      </w:pPr>
      <w:r>
        <w:t>“</w:t>
      </w:r>
      <w:r w:rsidR="00E33356">
        <w:t>As is usually the case over the Christmas break, people tend to rethink their options. This may be particularly the case this year with the introduction of the LVR speed limits. Buyers will be considering whether to stay out of the market and save more of a deposit, to find alternative sources of funds to boost their existing deposit (for example borrowing from family), or whether to downgrade their expectations to a lower value property.</w:t>
      </w:r>
      <w:r>
        <w:t>”</w:t>
      </w:r>
    </w:p>
    <w:p w:rsidR="004F4CED" w:rsidRDefault="004F4CED" w:rsidP="007537D5">
      <w:pPr>
        <w:spacing w:after="0" w:line="240" w:lineRule="auto"/>
      </w:pPr>
    </w:p>
    <w:p w:rsidR="004F4CED" w:rsidRDefault="00EC1555" w:rsidP="007537D5">
      <w:pPr>
        <w:spacing w:after="0" w:line="240" w:lineRule="auto"/>
      </w:pPr>
      <w:r>
        <w:t>“</w:t>
      </w:r>
      <w:r w:rsidR="004F4CED">
        <w:t>Nationwide values are likely to increase only modestly this year, but that will probably be as a result of everywhere outside of Auckland slowing while the Auckland market itself will continue to increase.</w:t>
      </w:r>
      <w:r>
        <w:t>”</w:t>
      </w:r>
    </w:p>
    <w:p w:rsidR="004F4CED" w:rsidRDefault="004F4CED" w:rsidP="007537D5">
      <w:pPr>
        <w:spacing w:after="0" w:line="240" w:lineRule="auto"/>
      </w:pPr>
    </w:p>
    <w:p w:rsidR="001B2F68" w:rsidRDefault="001B2F68" w:rsidP="007537D5">
      <w:pPr>
        <w:spacing w:after="0" w:line="240" w:lineRule="auto"/>
      </w:pPr>
    </w:p>
    <w:p w:rsidR="00442230" w:rsidRDefault="00442230" w:rsidP="00C82F35">
      <w:pPr>
        <w:spacing w:after="0" w:line="240" w:lineRule="auto"/>
        <w:jc w:val="both"/>
        <w:rPr>
          <w:b/>
          <w:bCs/>
          <w:lang w:val="en-GB"/>
        </w:rPr>
      </w:pPr>
      <w:r w:rsidRPr="00F53C93">
        <w:rPr>
          <w:b/>
          <w:bCs/>
          <w:lang w:val="en-GB"/>
        </w:rPr>
        <w:t xml:space="preserve">For </w:t>
      </w:r>
      <w:r w:rsidR="0056099F">
        <w:rPr>
          <w:b/>
          <w:bCs/>
          <w:lang w:val="en-GB"/>
        </w:rPr>
        <w:t>media enquiries and interview</w:t>
      </w:r>
      <w:r w:rsidR="00F57C27">
        <w:rPr>
          <w:b/>
          <w:bCs/>
          <w:lang w:val="en-GB"/>
        </w:rPr>
        <w:t>s</w:t>
      </w:r>
      <w:r w:rsidR="0056099F">
        <w:rPr>
          <w:b/>
          <w:bCs/>
          <w:lang w:val="en-GB"/>
        </w:rPr>
        <w:t xml:space="preserve">, and for </w:t>
      </w:r>
      <w:r w:rsidRPr="00F53C93">
        <w:rPr>
          <w:b/>
          <w:bCs/>
          <w:lang w:val="en-GB"/>
        </w:rPr>
        <w:t>further information contact:</w:t>
      </w:r>
    </w:p>
    <w:p w:rsidR="00426631" w:rsidRDefault="00331715" w:rsidP="00C82F35">
      <w:pPr>
        <w:spacing w:after="0" w:line="240" w:lineRule="auto"/>
        <w:jc w:val="both"/>
        <w:rPr>
          <w:lang w:val="en-GB"/>
        </w:rPr>
      </w:pPr>
      <w:proofErr w:type="spellStart"/>
      <w:r>
        <w:rPr>
          <w:lang w:val="en-GB"/>
        </w:rPr>
        <w:t>Jonno</w:t>
      </w:r>
      <w:proofErr w:type="spellEnd"/>
      <w:r>
        <w:rPr>
          <w:lang w:val="en-GB"/>
        </w:rPr>
        <w:t xml:space="preserve"> </w:t>
      </w:r>
      <w:proofErr w:type="spellStart"/>
      <w:r>
        <w:rPr>
          <w:lang w:val="en-GB"/>
        </w:rPr>
        <w:t>Ingerson</w:t>
      </w:r>
      <w:proofErr w:type="spellEnd"/>
    </w:p>
    <w:p w:rsidR="007537D5" w:rsidRPr="00F53C93" w:rsidRDefault="004D57C7" w:rsidP="00C82F35">
      <w:pPr>
        <w:spacing w:after="0" w:line="240" w:lineRule="auto"/>
        <w:jc w:val="both"/>
        <w:rPr>
          <w:b/>
          <w:bCs/>
          <w:lang w:val="en-GB"/>
        </w:rPr>
      </w:pPr>
      <w:r>
        <w:rPr>
          <w:lang w:val="en-GB"/>
        </w:rPr>
        <w:t>Research Director QV.co.nz</w:t>
      </w:r>
    </w:p>
    <w:p w:rsidR="007537D5" w:rsidRPr="004D57C7" w:rsidRDefault="004D57C7" w:rsidP="007537D5">
      <w:pPr>
        <w:tabs>
          <w:tab w:val="left" w:pos="4820"/>
        </w:tabs>
        <w:spacing w:after="0" w:line="240" w:lineRule="auto"/>
        <w:rPr>
          <w:b/>
        </w:rPr>
      </w:pPr>
      <w:r>
        <w:rPr>
          <w:lang w:val="en-GB"/>
        </w:rPr>
        <w:t>Tel: 04 802 1239</w:t>
      </w:r>
      <w:r w:rsidR="007537D5">
        <w:tab/>
      </w:r>
    </w:p>
    <w:p w:rsidR="007537D5" w:rsidRDefault="004D57C7" w:rsidP="007537D5">
      <w:pPr>
        <w:tabs>
          <w:tab w:val="left" w:pos="4962"/>
        </w:tabs>
        <w:spacing w:after="0" w:line="240" w:lineRule="auto"/>
      </w:pPr>
      <w:r>
        <w:rPr>
          <w:lang w:val="en-GB"/>
        </w:rPr>
        <w:t>Mobile: 027 454 6642</w:t>
      </w:r>
      <w:r w:rsidR="007537D5">
        <w:tab/>
      </w:r>
    </w:p>
    <w:p w:rsidR="007537D5" w:rsidRDefault="004D57C7" w:rsidP="007537D5">
      <w:pPr>
        <w:tabs>
          <w:tab w:val="left" w:pos="4962"/>
        </w:tabs>
        <w:spacing w:after="0" w:line="240" w:lineRule="auto"/>
      </w:pPr>
      <w:r>
        <w:rPr>
          <w:lang w:val="en-GB"/>
        </w:rPr>
        <w:t xml:space="preserve">Email: </w:t>
      </w:r>
      <w:hyperlink r:id="rId8" w:history="1">
        <w:r w:rsidRPr="00C53BBF">
          <w:rPr>
            <w:rStyle w:val="Hyperlink"/>
            <w:lang w:val="en-GB"/>
          </w:rPr>
          <w:t>jonno.ingerson@propertyiq.co.nz</w:t>
        </w:r>
      </w:hyperlink>
      <w:r w:rsidR="007537D5">
        <w:rPr>
          <w:lang w:val="en-GB"/>
        </w:rPr>
        <w:tab/>
      </w:r>
    </w:p>
    <w:p w:rsidR="001760EB" w:rsidRDefault="001760EB">
      <w:pPr>
        <w:spacing w:after="0" w:line="240" w:lineRule="auto"/>
      </w:pPr>
      <w:r>
        <w:br w:type="page"/>
      </w:r>
    </w:p>
    <w:p w:rsidR="00264FBE" w:rsidRDefault="00264FBE">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3975"/>
        <w:gridCol w:w="1639"/>
        <w:gridCol w:w="1030"/>
        <w:gridCol w:w="869"/>
        <w:gridCol w:w="1207"/>
      </w:tblGrid>
      <w:tr w:rsidR="001760EB" w:rsidRPr="001760EB" w:rsidTr="001760EB">
        <w:trPr>
          <w:trHeight w:val="375"/>
        </w:trPr>
        <w:tc>
          <w:tcPr>
            <w:tcW w:w="5000" w:type="pct"/>
            <w:gridSpan w:val="6"/>
            <w:shd w:val="clear" w:color="auto" w:fill="auto"/>
            <w:noWrap/>
            <w:vAlign w:val="bottom"/>
            <w:hideMark/>
          </w:tcPr>
          <w:p w:rsidR="001760EB" w:rsidRPr="001760EB" w:rsidRDefault="001760EB" w:rsidP="001760EB">
            <w:pPr>
              <w:spacing w:after="0" w:line="240" w:lineRule="auto"/>
              <w:rPr>
                <w:rFonts w:ascii="Arial" w:eastAsia="Times New Roman" w:hAnsi="Arial" w:cs="Arial"/>
                <w:b/>
                <w:bCs/>
                <w:color w:val="FF0000"/>
                <w:sz w:val="20"/>
                <w:szCs w:val="20"/>
                <w:lang w:eastAsia="en-NZ"/>
              </w:rPr>
            </w:pPr>
            <w:r w:rsidRPr="001760EB">
              <w:rPr>
                <w:rFonts w:eastAsia="Times New Roman" w:cs="Calibri"/>
                <w:b/>
                <w:bCs/>
                <w:color w:val="000000"/>
                <w:sz w:val="28"/>
                <w:szCs w:val="28"/>
                <w:lang w:eastAsia="en-NZ"/>
              </w:rPr>
              <w:t xml:space="preserve">PropertyIQ Value Index - Residential Property </w:t>
            </w:r>
          </w:p>
        </w:tc>
      </w:tr>
      <w:tr w:rsidR="001760EB" w:rsidRPr="001760EB" w:rsidTr="001760EB">
        <w:trPr>
          <w:trHeight w:val="375"/>
        </w:trPr>
        <w:tc>
          <w:tcPr>
            <w:tcW w:w="282" w:type="pct"/>
            <w:shd w:val="clear" w:color="auto" w:fill="auto"/>
            <w:noWrap/>
            <w:vAlign w:val="bottom"/>
            <w:hideMark/>
          </w:tcPr>
          <w:p w:rsidR="001760EB" w:rsidRPr="001760EB" w:rsidRDefault="001760EB" w:rsidP="001760EB">
            <w:pPr>
              <w:spacing w:after="0" w:line="240" w:lineRule="auto"/>
              <w:rPr>
                <w:rFonts w:eastAsia="Times New Roman" w:cs="Calibri"/>
                <w:b/>
                <w:bCs/>
                <w:color w:val="000000"/>
                <w:sz w:val="28"/>
                <w:szCs w:val="28"/>
                <w:lang w:eastAsia="en-NZ"/>
              </w:rPr>
            </w:pPr>
          </w:p>
        </w:tc>
        <w:tc>
          <w:tcPr>
            <w:tcW w:w="2151" w:type="pct"/>
            <w:shd w:val="clear" w:color="auto" w:fill="auto"/>
            <w:noWrap/>
            <w:vAlign w:val="bottom"/>
            <w:hideMark/>
          </w:tcPr>
          <w:p w:rsidR="001760EB" w:rsidRPr="001760EB" w:rsidRDefault="001760EB" w:rsidP="001760EB">
            <w:pPr>
              <w:spacing w:after="0" w:line="240" w:lineRule="auto"/>
              <w:rPr>
                <w:rFonts w:eastAsia="Times New Roman" w:cs="Calibri"/>
                <w:b/>
                <w:bCs/>
                <w:color w:val="000000"/>
                <w:sz w:val="28"/>
                <w:szCs w:val="28"/>
                <w:lang w:eastAsia="en-NZ"/>
              </w:rPr>
            </w:pPr>
          </w:p>
        </w:tc>
        <w:tc>
          <w:tcPr>
            <w:tcW w:w="887" w:type="pct"/>
            <w:shd w:val="clear" w:color="auto" w:fill="auto"/>
            <w:noWrap/>
            <w:vAlign w:val="bottom"/>
            <w:hideMark/>
          </w:tcPr>
          <w:p w:rsidR="001760EB" w:rsidRPr="001760EB" w:rsidRDefault="001760EB" w:rsidP="001760EB">
            <w:pPr>
              <w:spacing w:after="0" w:line="240" w:lineRule="auto"/>
              <w:rPr>
                <w:rFonts w:eastAsia="Times New Roman" w:cs="Calibri"/>
                <w:b/>
                <w:bCs/>
                <w:color w:val="000000"/>
                <w:sz w:val="28"/>
                <w:szCs w:val="28"/>
                <w:lang w:eastAsia="en-NZ"/>
              </w:rPr>
            </w:pPr>
          </w:p>
        </w:tc>
        <w:tc>
          <w:tcPr>
            <w:tcW w:w="557" w:type="pct"/>
            <w:shd w:val="clear" w:color="auto" w:fill="auto"/>
            <w:noWrap/>
            <w:vAlign w:val="bottom"/>
            <w:hideMark/>
          </w:tcPr>
          <w:p w:rsidR="001760EB" w:rsidRPr="001760EB" w:rsidRDefault="001760EB" w:rsidP="001760EB">
            <w:pPr>
              <w:spacing w:after="0" w:line="240" w:lineRule="auto"/>
              <w:rPr>
                <w:rFonts w:eastAsia="Times New Roman" w:cs="Calibri"/>
                <w:b/>
                <w:bCs/>
                <w:color w:val="000000"/>
                <w:sz w:val="28"/>
                <w:szCs w:val="28"/>
                <w:lang w:eastAsia="en-NZ"/>
              </w:rPr>
            </w:pPr>
          </w:p>
        </w:tc>
        <w:tc>
          <w:tcPr>
            <w:tcW w:w="470" w:type="pct"/>
            <w:shd w:val="clear" w:color="auto" w:fill="auto"/>
            <w:noWrap/>
            <w:vAlign w:val="bottom"/>
            <w:hideMark/>
          </w:tcPr>
          <w:p w:rsidR="001760EB" w:rsidRPr="001760EB" w:rsidRDefault="001760EB" w:rsidP="001760EB">
            <w:pPr>
              <w:spacing w:after="0" w:line="240" w:lineRule="auto"/>
              <w:rPr>
                <w:rFonts w:ascii="Arial" w:eastAsia="Times New Roman" w:hAnsi="Arial" w:cs="Arial"/>
                <w:color w:val="000000"/>
                <w:sz w:val="20"/>
                <w:szCs w:val="20"/>
                <w:lang w:eastAsia="en-NZ"/>
              </w:rPr>
            </w:pPr>
          </w:p>
        </w:tc>
        <w:tc>
          <w:tcPr>
            <w:tcW w:w="653" w:type="pct"/>
            <w:shd w:val="clear" w:color="auto" w:fill="auto"/>
            <w:noWrap/>
            <w:vAlign w:val="bottom"/>
            <w:hideMark/>
          </w:tcPr>
          <w:p w:rsidR="001760EB" w:rsidRPr="001760EB" w:rsidRDefault="001760EB" w:rsidP="001760EB">
            <w:pPr>
              <w:spacing w:after="0" w:line="240" w:lineRule="auto"/>
              <w:jc w:val="center"/>
              <w:rPr>
                <w:rFonts w:ascii="Arial" w:eastAsia="Times New Roman" w:hAnsi="Arial" w:cs="Arial"/>
                <w:b/>
                <w:bCs/>
                <w:color w:val="FF0000"/>
                <w:sz w:val="20"/>
                <w:szCs w:val="20"/>
                <w:lang w:eastAsia="en-NZ"/>
              </w:rPr>
            </w:pPr>
          </w:p>
        </w:tc>
      </w:tr>
      <w:tr w:rsidR="001760EB" w:rsidRPr="001760EB" w:rsidTr="001760EB">
        <w:trPr>
          <w:trHeight w:val="315"/>
        </w:trPr>
        <w:tc>
          <w:tcPr>
            <w:tcW w:w="2433" w:type="pct"/>
            <w:gridSpan w:val="2"/>
            <w:shd w:val="clear" w:color="auto" w:fill="auto"/>
            <w:noWrap/>
            <w:vAlign w:val="bottom"/>
            <w:hideMark/>
          </w:tcPr>
          <w:p w:rsidR="001760EB" w:rsidRPr="001760EB" w:rsidRDefault="001760EB" w:rsidP="001760EB">
            <w:pPr>
              <w:spacing w:after="0" w:line="240" w:lineRule="auto"/>
              <w:rPr>
                <w:rFonts w:eastAsia="Times New Roman" w:cs="Calibri"/>
                <w:color w:val="000000"/>
                <w:sz w:val="24"/>
                <w:szCs w:val="24"/>
                <w:lang w:eastAsia="en-NZ"/>
              </w:rPr>
            </w:pPr>
            <w:r w:rsidRPr="001760EB">
              <w:rPr>
                <w:rFonts w:eastAsia="Times New Roman" w:cs="Calibri"/>
                <w:color w:val="000000"/>
                <w:sz w:val="24"/>
                <w:szCs w:val="24"/>
                <w:lang w:eastAsia="en-NZ"/>
              </w:rPr>
              <w:t>Time period: as at December 2013</w:t>
            </w:r>
          </w:p>
        </w:tc>
        <w:tc>
          <w:tcPr>
            <w:tcW w:w="887" w:type="pct"/>
            <w:shd w:val="clear" w:color="auto" w:fill="auto"/>
            <w:noWrap/>
            <w:vAlign w:val="bottom"/>
            <w:hideMark/>
          </w:tcPr>
          <w:p w:rsidR="001760EB" w:rsidRPr="001760EB" w:rsidRDefault="001760EB" w:rsidP="001760EB">
            <w:pPr>
              <w:spacing w:after="0" w:line="240" w:lineRule="auto"/>
              <w:rPr>
                <w:rFonts w:eastAsia="Times New Roman" w:cs="Calibri"/>
                <w:color w:val="000000"/>
                <w:sz w:val="24"/>
                <w:szCs w:val="24"/>
                <w:lang w:eastAsia="en-NZ"/>
              </w:rPr>
            </w:pPr>
          </w:p>
        </w:tc>
        <w:tc>
          <w:tcPr>
            <w:tcW w:w="557" w:type="pct"/>
            <w:shd w:val="clear" w:color="auto" w:fill="auto"/>
            <w:noWrap/>
            <w:vAlign w:val="bottom"/>
            <w:hideMark/>
          </w:tcPr>
          <w:p w:rsidR="001760EB" w:rsidRPr="001760EB" w:rsidRDefault="001760EB" w:rsidP="001760EB">
            <w:pPr>
              <w:spacing w:after="0" w:line="240" w:lineRule="auto"/>
              <w:rPr>
                <w:rFonts w:eastAsia="Times New Roman" w:cs="Calibri"/>
                <w:color w:val="000000"/>
                <w:sz w:val="24"/>
                <w:szCs w:val="24"/>
                <w:lang w:eastAsia="en-NZ"/>
              </w:rPr>
            </w:pPr>
          </w:p>
        </w:tc>
        <w:tc>
          <w:tcPr>
            <w:tcW w:w="470" w:type="pct"/>
            <w:shd w:val="clear" w:color="auto" w:fill="auto"/>
            <w:noWrap/>
            <w:vAlign w:val="bottom"/>
            <w:hideMark/>
          </w:tcPr>
          <w:p w:rsidR="001760EB" w:rsidRPr="001760EB" w:rsidRDefault="001760EB" w:rsidP="001760EB">
            <w:pPr>
              <w:spacing w:after="0" w:line="240" w:lineRule="auto"/>
              <w:rPr>
                <w:rFonts w:ascii="Arial" w:eastAsia="Times New Roman" w:hAnsi="Arial" w:cs="Arial"/>
                <w:color w:val="000000"/>
                <w:sz w:val="20"/>
                <w:szCs w:val="20"/>
                <w:lang w:eastAsia="en-NZ"/>
              </w:rPr>
            </w:pPr>
          </w:p>
        </w:tc>
        <w:tc>
          <w:tcPr>
            <w:tcW w:w="653" w:type="pct"/>
            <w:shd w:val="clear" w:color="auto" w:fill="auto"/>
            <w:noWrap/>
            <w:vAlign w:val="bottom"/>
            <w:hideMark/>
          </w:tcPr>
          <w:p w:rsidR="001760EB" w:rsidRPr="001760EB" w:rsidRDefault="001760EB" w:rsidP="001760EB">
            <w:pPr>
              <w:spacing w:after="0" w:line="240" w:lineRule="auto"/>
              <w:rPr>
                <w:rFonts w:ascii="Arial" w:eastAsia="Times New Roman" w:hAnsi="Arial" w:cs="Arial"/>
                <w:color w:val="000000"/>
                <w:sz w:val="20"/>
                <w:szCs w:val="20"/>
                <w:lang w:eastAsia="en-NZ"/>
              </w:rPr>
            </w:pPr>
          </w:p>
        </w:tc>
      </w:tr>
      <w:tr w:rsidR="001760EB" w:rsidRPr="001760EB" w:rsidTr="001760EB">
        <w:trPr>
          <w:trHeight w:val="255"/>
        </w:trPr>
        <w:tc>
          <w:tcPr>
            <w:tcW w:w="282" w:type="pct"/>
            <w:shd w:val="clear" w:color="auto" w:fill="auto"/>
            <w:vAlign w:val="bottom"/>
            <w:hideMark/>
          </w:tcPr>
          <w:p w:rsidR="001760EB" w:rsidRPr="001760EB" w:rsidRDefault="001760EB" w:rsidP="001760EB">
            <w:pPr>
              <w:spacing w:after="0" w:line="240" w:lineRule="auto"/>
              <w:jc w:val="center"/>
              <w:rPr>
                <w:rFonts w:ascii="Arial" w:eastAsia="Times New Roman" w:hAnsi="Arial" w:cs="Arial"/>
                <w:color w:val="000000"/>
                <w:sz w:val="20"/>
                <w:szCs w:val="20"/>
                <w:lang w:eastAsia="en-NZ"/>
              </w:rPr>
            </w:pPr>
          </w:p>
        </w:tc>
        <w:tc>
          <w:tcPr>
            <w:tcW w:w="2151" w:type="pct"/>
            <w:shd w:val="clear" w:color="auto" w:fill="auto"/>
            <w:vAlign w:val="bottom"/>
            <w:hideMark/>
          </w:tcPr>
          <w:p w:rsidR="001760EB" w:rsidRPr="001760EB" w:rsidRDefault="001760EB" w:rsidP="001760EB">
            <w:pPr>
              <w:spacing w:after="0" w:line="240" w:lineRule="auto"/>
              <w:jc w:val="center"/>
              <w:rPr>
                <w:rFonts w:ascii="Arial" w:eastAsia="Times New Roman" w:hAnsi="Arial" w:cs="Arial"/>
                <w:color w:val="000000"/>
                <w:sz w:val="20"/>
                <w:szCs w:val="20"/>
                <w:lang w:eastAsia="en-NZ"/>
              </w:rPr>
            </w:pPr>
          </w:p>
        </w:tc>
        <w:tc>
          <w:tcPr>
            <w:tcW w:w="887" w:type="pct"/>
            <w:shd w:val="clear" w:color="auto" w:fill="auto"/>
            <w:vAlign w:val="bottom"/>
            <w:hideMark/>
          </w:tcPr>
          <w:p w:rsidR="001760EB" w:rsidRPr="001760EB" w:rsidRDefault="001760EB" w:rsidP="001760EB">
            <w:pPr>
              <w:spacing w:after="0" w:line="240" w:lineRule="auto"/>
              <w:jc w:val="center"/>
              <w:rPr>
                <w:rFonts w:ascii="Arial" w:eastAsia="Times New Roman" w:hAnsi="Arial" w:cs="Arial"/>
                <w:color w:val="000000"/>
                <w:sz w:val="20"/>
                <w:szCs w:val="20"/>
                <w:lang w:eastAsia="en-NZ"/>
              </w:rPr>
            </w:pPr>
          </w:p>
        </w:tc>
        <w:tc>
          <w:tcPr>
            <w:tcW w:w="557" w:type="pct"/>
            <w:shd w:val="clear" w:color="auto" w:fill="auto"/>
            <w:vAlign w:val="bottom"/>
            <w:hideMark/>
          </w:tcPr>
          <w:p w:rsidR="001760EB" w:rsidRPr="001760EB" w:rsidRDefault="001760EB" w:rsidP="001760EB">
            <w:pPr>
              <w:spacing w:after="0" w:line="240" w:lineRule="auto"/>
              <w:jc w:val="center"/>
              <w:rPr>
                <w:rFonts w:ascii="Arial" w:eastAsia="Times New Roman" w:hAnsi="Arial" w:cs="Arial"/>
                <w:color w:val="000000"/>
                <w:sz w:val="20"/>
                <w:szCs w:val="20"/>
                <w:lang w:eastAsia="en-NZ"/>
              </w:rPr>
            </w:pPr>
          </w:p>
        </w:tc>
        <w:tc>
          <w:tcPr>
            <w:tcW w:w="470" w:type="pct"/>
            <w:shd w:val="clear" w:color="auto" w:fill="auto"/>
            <w:noWrap/>
            <w:vAlign w:val="bottom"/>
            <w:hideMark/>
          </w:tcPr>
          <w:p w:rsidR="001760EB" w:rsidRPr="001760EB" w:rsidRDefault="001760EB" w:rsidP="001760EB">
            <w:pPr>
              <w:spacing w:after="0" w:line="240" w:lineRule="auto"/>
              <w:rPr>
                <w:rFonts w:ascii="Arial" w:eastAsia="Times New Roman" w:hAnsi="Arial" w:cs="Arial"/>
                <w:color w:val="000000"/>
                <w:sz w:val="20"/>
                <w:szCs w:val="20"/>
                <w:lang w:eastAsia="en-NZ"/>
              </w:rPr>
            </w:pPr>
          </w:p>
        </w:tc>
        <w:tc>
          <w:tcPr>
            <w:tcW w:w="653" w:type="pct"/>
            <w:shd w:val="clear" w:color="auto" w:fill="auto"/>
            <w:noWrap/>
            <w:vAlign w:val="bottom"/>
            <w:hideMark/>
          </w:tcPr>
          <w:p w:rsidR="001760EB" w:rsidRPr="001760EB" w:rsidRDefault="001760EB" w:rsidP="001760EB">
            <w:pPr>
              <w:spacing w:after="0" w:line="240" w:lineRule="auto"/>
              <w:rPr>
                <w:rFonts w:ascii="Arial" w:eastAsia="Times New Roman" w:hAnsi="Arial" w:cs="Arial"/>
                <w:color w:val="000000"/>
                <w:sz w:val="20"/>
                <w:szCs w:val="20"/>
                <w:lang w:eastAsia="en-NZ"/>
              </w:rPr>
            </w:pPr>
          </w:p>
        </w:tc>
      </w:tr>
      <w:tr w:rsidR="001760EB" w:rsidRPr="001760EB" w:rsidTr="001760EB">
        <w:trPr>
          <w:trHeight w:val="600"/>
        </w:trPr>
        <w:tc>
          <w:tcPr>
            <w:tcW w:w="282" w:type="pct"/>
            <w:shd w:val="clear" w:color="auto" w:fill="auto"/>
            <w:hideMark/>
          </w:tcPr>
          <w:p w:rsidR="001760EB" w:rsidRPr="001760EB" w:rsidRDefault="001760EB" w:rsidP="001760EB">
            <w:pPr>
              <w:spacing w:after="0" w:line="240" w:lineRule="auto"/>
              <w:jc w:val="center"/>
              <w:rPr>
                <w:rFonts w:eastAsia="Times New Roman" w:cs="Calibri"/>
                <w:b/>
                <w:bCs/>
                <w:color w:val="000000"/>
                <w:lang w:eastAsia="en-NZ"/>
              </w:rPr>
            </w:pPr>
          </w:p>
        </w:tc>
        <w:tc>
          <w:tcPr>
            <w:tcW w:w="2151" w:type="pct"/>
            <w:shd w:val="clear" w:color="auto" w:fill="auto"/>
            <w:hideMark/>
          </w:tcPr>
          <w:p w:rsidR="001760EB" w:rsidRPr="001760EB" w:rsidRDefault="001760EB" w:rsidP="001760EB">
            <w:pPr>
              <w:spacing w:after="0" w:line="240" w:lineRule="auto"/>
              <w:rPr>
                <w:rFonts w:eastAsia="Times New Roman" w:cs="Calibri"/>
                <w:b/>
                <w:bCs/>
                <w:color w:val="000000"/>
                <w:lang w:eastAsia="en-NZ"/>
              </w:rPr>
            </w:pPr>
            <w:r w:rsidRPr="001760EB">
              <w:rPr>
                <w:rFonts w:eastAsia="Times New Roman" w:cs="Calibri"/>
                <w:b/>
                <w:bCs/>
                <w:color w:val="000000"/>
                <w:lang w:eastAsia="en-NZ"/>
              </w:rPr>
              <w:t>Territorial authority</w:t>
            </w:r>
          </w:p>
        </w:tc>
        <w:tc>
          <w:tcPr>
            <w:tcW w:w="887" w:type="pct"/>
            <w:shd w:val="clear" w:color="auto" w:fill="auto"/>
            <w:hideMark/>
          </w:tcPr>
          <w:p w:rsidR="001760EB" w:rsidRPr="001760EB" w:rsidRDefault="001760EB" w:rsidP="001760EB">
            <w:pPr>
              <w:spacing w:after="0" w:line="240" w:lineRule="auto"/>
              <w:jc w:val="center"/>
              <w:rPr>
                <w:rFonts w:eastAsia="Times New Roman" w:cs="Calibri"/>
                <w:b/>
                <w:bCs/>
                <w:color w:val="000000"/>
                <w:lang w:eastAsia="en-NZ"/>
              </w:rPr>
            </w:pPr>
            <w:r w:rsidRPr="001760EB">
              <w:rPr>
                <w:rFonts w:eastAsia="Times New Roman" w:cs="Calibri"/>
                <w:b/>
                <w:bCs/>
                <w:color w:val="000000"/>
                <w:lang w:eastAsia="en-NZ"/>
              </w:rPr>
              <w:t>Average current value</w:t>
            </w:r>
          </w:p>
        </w:tc>
        <w:tc>
          <w:tcPr>
            <w:tcW w:w="557" w:type="pct"/>
            <w:shd w:val="clear" w:color="auto" w:fill="auto"/>
            <w:hideMark/>
          </w:tcPr>
          <w:p w:rsidR="001760EB" w:rsidRPr="001760EB" w:rsidRDefault="001760EB" w:rsidP="001760EB">
            <w:pPr>
              <w:spacing w:after="0" w:line="240" w:lineRule="auto"/>
              <w:jc w:val="center"/>
              <w:rPr>
                <w:rFonts w:eastAsia="Times New Roman" w:cs="Calibri"/>
                <w:b/>
                <w:bCs/>
                <w:color w:val="000000"/>
                <w:lang w:eastAsia="en-NZ"/>
              </w:rPr>
            </w:pPr>
            <w:r w:rsidRPr="001760EB">
              <w:rPr>
                <w:rFonts w:eastAsia="Times New Roman" w:cs="Calibri"/>
                <w:b/>
                <w:bCs/>
                <w:color w:val="000000"/>
                <w:lang w:eastAsia="en-NZ"/>
              </w:rPr>
              <w:t>12 month change%</w:t>
            </w:r>
          </w:p>
        </w:tc>
        <w:tc>
          <w:tcPr>
            <w:tcW w:w="470" w:type="pct"/>
            <w:shd w:val="clear" w:color="auto" w:fill="auto"/>
            <w:hideMark/>
          </w:tcPr>
          <w:p w:rsidR="001760EB" w:rsidRPr="001760EB" w:rsidRDefault="001760EB" w:rsidP="001760EB">
            <w:pPr>
              <w:spacing w:after="0" w:line="240" w:lineRule="auto"/>
              <w:jc w:val="center"/>
              <w:rPr>
                <w:rFonts w:eastAsia="Times New Roman" w:cs="Calibri"/>
                <w:b/>
                <w:bCs/>
                <w:color w:val="000000"/>
                <w:lang w:eastAsia="en-NZ"/>
              </w:rPr>
            </w:pPr>
            <w:r w:rsidRPr="001760EB">
              <w:rPr>
                <w:rFonts w:eastAsia="Times New Roman" w:cs="Calibri"/>
                <w:b/>
                <w:bCs/>
                <w:color w:val="000000"/>
                <w:lang w:eastAsia="en-NZ"/>
              </w:rPr>
              <w:t>3 month change %</w:t>
            </w:r>
          </w:p>
        </w:tc>
        <w:tc>
          <w:tcPr>
            <w:tcW w:w="653" w:type="pct"/>
            <w:shd w:val="clear" w:color="auto" w:fill="auto"/>
            <w:hideMark/>
          </w:tcPr>
          <w:p w:rsidR="001760EB" w:rsidRPr="001760EB" w:rsidRDefault="001760EB" w:rsidP="001760EB">
            <w:pPr>
              <w:spacing w:after="0" w:line="240" w:lineRule="auto"/>
              <w:jc w:val="center"/>
              <w:rPr>
                <w:rFonts w:eastAsia="Times New Roman" w:cs="Calibri"/>
                <w:b/>
                <w:bCs/>
                <w:color w:val="000000"/>
                <w:lang w:eastAsia="en-NZ"/>
              </w:rPr>
            </w:pPr>
            <w:r w:rsidRPr="001760EB">
              <w:rPr>
                <w:rFonts w:eastAsia="Times New Roman" w:cs="Calibri"/>
                <w:b/>
                <w:bCs/>
                <w:color w:val="000000"/>
                <w:lang w:eastAsia="en-NZ"/>
              </w:rPr>
              <w:t>Since 2007 market peak change %</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r w:rsidRPr="001760EB">
              <w:rPr>
                <w:rFonts w:eastAsia="Times New Roman" w:cs="Calibri"/>
                <w:color w:val="000000"/>
                <w:lang w:eastAsia="en-NZ"/>
              </w:rPr>
              <w:t>Far North</w:t>
            </w:r>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300,874</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-5.4%</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1.5%</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-24.4%</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roofErr w:type="spellStart"/>
            <w:r w:rsidRPr="001760EB">
              <w:rPr>
                <w:rFonts w:eastAsia="Times New Roman" w:cs="Calibri"/>
                <w:color w:val="000000"/>
                <w:lang w:eastAsia="en-NZ"/>
              </w:rPr>
              <w:t>Whangarei</w:t>
            </w:r>
            <w:proofErr w:type="spellEnd"/>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334,757</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2.7%</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2.0%</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-15.5%</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roofErr w:type="spellStart"/>
            <w:r w:rsidRPr="001760EB">
              <w:rPr>
                <w:rFonts w:eastAsia="Times New Roman" w:cs="Calibri"/>
                <w:color w:val="000000"/>
                <w:lang w:eastAsia="en-NZ"/>
              </w:rPr>
              <w:t>Kaipara</w:t>
            </w:r>
            <w:proofErr w:type="spellEnd"/>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326,429</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6.2%</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2.9%</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-17.7%</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r w:rsidRPr="001760EB">
              <w:rPr>
                <w:rFonts w:eastAsia="Times New Roman" w:cs="Calibri"/>
                <w:color w:val="000000"/>
                <w:lang w:eastAsia="en-NZ"/>
              </w:rPr>
              <w:t>Auckland - Rodney</w:t>
            </w:r>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641,375</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10.5%</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4.2%</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9.3%</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noWrap/>
            <w:vAlign w:val="bottom"/>
            <w:hideMark/>
          </w:tcPr>
          <w:p w:rsidR="001760EB" w:rsidRPr="001760EB" w:rsidRDefault="001760EB" w:rsidP="001760EB">
            <w:pPr>
              <w:spacing w:after="0" w:line="240" w:lineRule="auto"/>
              <w:ind w:firstLineChars="200" w:firstLine="440"/>
              <w:rPr>
                <w:rFonts w:eastAsia="Times New Roman" w:cs="Calibri"/>
                <w:color w:val="000000"/>
                <w:lang w:eastAsia="en-NZ"/>
              </w:rPr>
            </w:pPr>
            <w:r w:rsidRPr="001760EB">
              <w:rPr>
                <w:rFonts w:eastAsia="Times New Roman" w:cs="Calibri"/>
                <w:color w:val="000000"/>
                <w:lang w:eastAsia="en-NZ"/>
              </w:rPr>
              <w:t>Rodney - Hibiscus Coast</w:t>
            </w:r>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636,905</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9.9%</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4.3%</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8.4%</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noWrap/>
            <w:vAlign w:val="bottom"/>
            <w:hideMark/>
          </w:tcPr>
          <w:p w:rsidR="001760EB" w:rsidRPr="001760EB" w:rsidRDefault="001760EB" w:rsidP="001760EB">
            <w:pPr>
              <w:spacing w:after="0" w:line="240" w:lineRule="auto"/>
              <w:ind w:firstLineChars="200" w:firstLine="440"/>
              <w:rPr>
                <w:rFonts w:eastAsia="Times New Roman" w:cs="Calibri"/>
                <w:color w:val="000000"/>
                <w:lang w:eastAsia="en-NZ"/>
              </w:rPr>
            </w:pPr>
            <w:r w:rsidRPr="001760EB">
              <w:rPr>
                <w:rFonts w:eastAsia="Times New Roman" w:cs="Calibri"/>
                <w:color w:val="000000"/>
                <w:lang w:eastAsia="en-NZ"/>
              </w:rPr>
              <w:t>Rodney - North</w:t>
            </w:r>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646,636</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11.3%</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4.2%</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7.7%</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r w:rsidRPr="001760EB">
              <w:rPr>
                <w:rFonts w:eastAsia="Times New Roman" w:cs="Calibri"/>
                <w:color w:val="000000"/>
                <w:lang w:eastAsia="en-NZ"/>
              </w:rPr>
              <w:t>#A</w:t>
            </w:r>
          </w:p>
        </w:tc>
        <w:tc>
          <w:tcPr>
            <w:tcW w:w="2151"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r w:rsidRPr="001760EB">
              <w:rPr>
                <w:rFonts w:eastAsia="Times New Roman" w:cs="Calibri"/>
                <w:color w:val="000000"/>
                <w:lang w:eastAsia="en-NZ"/>
              </w:rPr>
              <w:t>Auckland - North Shore</w:t>
            </w:r>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820,459</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16.6%</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4.9%</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27.1%</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noWrap/>
            <w:vAlign w:val="bottom"/>
            <w:hideMark/>
          </w:tcPr>
          <w:p w:rsidR="001760EB" w:rsidRPr="001760EB" w:rsidRDefault="001760EB" w:rsidP="001760EB">
            <w:pPr>
              <w:spacing w:after="0" w:line="240" w:lineRule="auto"/>
              <w:ind w:firstLineChars="200" w:firstLine="440"/>
              <w:rPr>
                <w:rFonts w:eastAsia="Times New Roman" w:cs="Calibri"/>
                <w:color w:val="000000"/>
                <w:lang w:eastAsia="en-NZ"/>
              </w:rPr>
            </w:pPr>
            <w:r w:rsidRPr="001760EB">
              <w:rPr>
                <w:rFonts w:eastAsia="Times New Roman" w:cs="Calibri"/>
                <w:color w:val="000000"/>
                <w:lang w:eastAsia="en-NZ"/>
              </w:rPr>
              <w:t>North Shore - Coastal</w:t>
            </w:r>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943,449</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16.8%</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5.3%</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25.2%</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noWrap/>
            <w:vAlign w:val="bottom"/>
            <w:hideMark/>
          </w:tcPr>
          <w:p w:rsidR="001760EB" w:rsidRPr="001760EB" w:rsidRDefault="001760EB" w:rsidP="001760EB">
            <w:pPr>
              <w:spacing w:after="0" w:line="240" w:lineRule="auto"/>
              <w:ind w:firstLineChars="200" w:firstLine="440"/>
              <w:rPr>
                <w:rFonts w:eastAsia="Times New Roman" w:cs="Calibri"/>
                <w:color w:val="000000"/>
                <w:lang w:eastAsia="en-NZ"/>
              </w:rPr>
            </w:pPr>
            <w:r w:rsidRPr="001760EB">
              <w:rPr>
                <w:rFonts w:eastAsia="Times New Roman" w:cs="Calibri"/>
                <w:color w:val="000000"/>
                <w:lang w:eastAsia="en-NZ"/>
              </w:rPr>
              <w:t xml:space="preserve">North Shore - </w:t>
            </w:r>
            <w:proofErr w:type="spellStart"/>
            <w:r w:rsidRPr="001760EB">
              <w:rPr>
                <w:rFonts w:eastAsia="Times New Roman" w:cs="Calibri"/>
                <w:color w:val="000000"/>
                <w:lang w:eastAsia="en-NZ"/>
              </w:rPr>
              <w:t>Onewa</w:t>
            </w:r>
            <w:proofErr w:type="spellEnd"/>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658,718</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17.2%</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5.1%</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32.8%</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noWrap/>
            <w:vAlign w:val="bottom"/>
            <w:hideMark/>
          </w:tcPr>
          <w:p w:rsidR="001760EB" w:rsidRPr="001760EB" w:rsidRDefault="001760EB" w:rsidP="001760EB">
            <w:pPr>
              <w:spacing w:after="0" w:line="240" w:lineRule="auto"/>
              <w:ind w:firstLineChars="200" w:firstLine="440"/>
              <w:rPr>
                <w:rFonts w:eastAsia="Times New Roman" w:cs="Calibri"/>
                <w:color w:val="000000"/>
                <w:lang w:eastAsia="en-NZ"/>
              </w:rPr>
            </w:pPr>
            <w:r w:rsidRPr="001760EB">
              <w:rPr>
                <w:rFonts w:eastAsia="Times New Roman" w:cs="Calibri"/>
                <w:color w:val="000000"/>
                <w:lang w:eastAsia="en-NZ"/>
              </w:rPr>
              <w:t>North Shore - North Harbour</w:t>
            </w:r>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785,252</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16.0%</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4.1%</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29.2%</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r w:rsidRPr="001760EB">
              <w:rPr>
                <w:rFonts w:eastAsia="Times New Roman" w:cs="Calibri"/>
                <w:color w:val="000000"/>
                <w:lang w:eastAsia="en-NZ"/>
              </w:rPr>
              <w:t>#A</w:t>
            </w:r>
          </w:p>
        </w:tc>
        <w:tc>
          <w:tcPr>
            <w:tcW w:w="2151"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r w:rsidRPr="001760EB">
              <w:rPr>
                <w:rFonts w:eastAsia="Times New Roman" w:cs="Calibri"/>
                <w:color w:val="000000"/>
                <w:lang w:eastAsia="en-NZ"/>
              </w:rPr>
              <w:t xml:space="preserve">Auckland - </w:t>
            </w:r>
            <w:proofErr w:type="spellStart"/>
            <w:r w:rsidRPr="001760EB">
              <w:rPr>
                <w:rFonts w:eastAsia="Times New Roman" w:cs="Calibri"/>
                <w:color w:val="000000"/>
                <w:lang w:eastAsia="en-NZ"/>
              </w:rPr>
              <w:t>Waitakere</w:t>
            </w:r>
            <w:proofErr w:type="spellEnd"/>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538,095</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18.6%</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4.7%</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26.9%</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r w:rsidRPr="001760EB">
              <w:rPr>
                <w:rFonts w:eastAsia="Times New Roman" w:cs="Calibri"/>
                <w:color w:val="000000"/>
                <w:lang w:eastAsia="en-NZ"/>
              </w:rPr>
              <w:t>#A</w:t>
            </w:r>
          </w:p>
        </w:tc>
        <w:tc>
          <w:tcPr>
            <w:tcW w:w="2151"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r w:rsidRPr="001760EB">
              <w:rPr>
                <w:rFonts w:eastAsia="Times New Roman" w:cs="Calibri"/>
                <w:color w:val="000000"/>
                <w:lang w:eastAsia="en-NZ"/>
              </w:rPr>
              <w:t>Auckland - City</w:t>
            </w:r>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822,536</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15.0%</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3.6%</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32.1%</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noWrap/>
            <w:vAlign w:val="bottom"/>
            <w:hideMark/>
          </w:tcPr>
          <w:p w:rsidR="001760EB" w:rsidRPr="001760EB" w:rsidRDefault="001760EB" w:rsidP="001760EB">
            <w:pPr>
              <w:spacing w:after="0" w:line="240" w:lineRule="auto"/>
              <w:ind w:firstLineChars="200" w:firstLine="440"/>
              <w:rPr>
                <w:rFonts w:eastAsia="Times New Roman" w:cs="Calibri"/>
                <w:color w:val="000000"/>
                <w:lang w:eastAsia="en-NZ"/>
              </w:rPr>
            </w:pPr>
            <w:r w:rsidRPr="001760EB">
              <w:rPr>
                <w:rFonts w:eastAsia="Times New Roman" w:cs="Calibri"/>
                <w:color w:val="000000"/>
                <w:lang w:eastAsia="en-NZ"/>
              </w:rPr>
              <w:t>Auckland City - Central</w:t>
            </w:r>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724,911</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12.0%</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3.0%</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27.3%</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noWrap/>
            <w:vAlign w:val="bottom"/>
            <w:hideMark/>
          </w:tcPr>
          <w:p w:rsidR="001760EB" w:rsidRPr="001760EB" w:rsidRDefault="001760EB" w:rsidP="001760EB">
            <w:pPr>
              <w:spacing w:after="0" w:line="240" w:lineRule="auto"/>
              <w:ind w:firstLineChars="200" w:firstLine="440"/>
              <w:rPr>
                <w:rFonts w:eastAsia="Times New Roman" w:cs="Calibri"/>
                <w:color w:val="000000"/>
                <w:lang w:eastAsia="en-NZ"/>
              </w:rPr>
            </w:pPr>
            <w:proofErr w:type="spellStart"/>
            <w:r w:rsidRPr="001760EB">
              <w:rPr>
                <w:rFonts w:eastAsia="Times New Roman" w:cs="Calibri"/>
                <w:color w:val="000000"/>
                <w:lang w:eastAsia="en-NZ"/>
              </w:rPr>
              <w:t>Auckland_City</w:t>
            </w:r>
            <w:proofErr w:type="spellEnd"/>
            <w:r w:rsidRPr="001760EB">
              <w:rPr>
                <w:rFonts w:eastAsia="Times New Roman" w:cs="Calibri"/>
                <w:color w:val="000000"/>
                <w:lang w:eastAsia="en-NZ"/>
              </w:rPr>
              <w:t xml:space="preserve"> - East</w:t>
            </w:r>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1,024,999</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15.7%</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3.5%</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28.6%</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noWrap/>
            <w:vAlign w:val="bottom"/>
            <w:hideMark/>
          </w:tcPr>
          <w:p w:rsidR="001760EB" w:rsidRPr="001760EB" w:rsidRDefault="001760EB" w:rsidP="001760EB">
            <w:pPr>
              <w:spacing w:after="0" w:line="240" w:lineRule="auto"/>
              <w:ind w:firstLineChars="200" w:firstLine="440"/>
              <w:rPr>
                <w:rFonts w:eastAsia="Times New Roman" w:cs="Calibri"/>
                <w:color w:val="000000"/>
                <w:lang w:eastAsia="en-NZ"/>
              </w:rPr>
            </w:pPr>
            <w:r w:rsidRPr="001760EB">
              <w:rPr>
                <w:rFonts w:eastAsia="Times New Roman" w:cs="Calibri"/>
                <w:color w:val="000000"/>
                <w:lang w:eastAsia="en-NZ"/>
              </w:rPr>
              <w:t>Auckland City - South</w:t>
            </w:r>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736,052</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16.2%</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4.0%</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36.7%</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noWrap/>
            <w:vAlign w:val="bottom"/>
            <w:hideMark/>
          </w:tcPr>
          <w:p w:rsidR="001760EB" w:rsidRPr="001760EB" w:rsidRDefault="001760EB" w:rsidP="001760EB">
            <w:pPr>
              <w:spacing w:after="0" w:line="240" w:lineRule="auto"/>
              <w:ind w:firstLineChars="200" w:firstLine="440"/>
              <w:rPr>
                <w:rFonts w:eastAsia="Times New Roman" w:cs="Calibri"/>
                <w:color w:val="000000"/>
                <w:lang w:eastAsia="en-NZ"/>
              </w:rPr>
            </w:pPr>
            <w:r w:rsidRPr="001760EB">
              <w:rPr>
                <w:rFonts w:eastAsia="Times New Roman" w:cs="Calibri"/>
                <w:color w:val="000000"/>
                <w:lang w:eastAsia="en-NZ"/>
              </w:rPr>
              <w:t>Auckland City - Islands</w:t>
            </w:r>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739,365</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13.1%</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4.7%</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15.7%</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r w:rsidRPr="001760EB">
              <w:rPr>
                <w:rFonts w:eastAsia="Times New Roman" w:cs="Calibri"/>
                <w:color w:val="000000"/>
                <w:lang w:eastAsia="en-NZ"/>
              </w:rPr>
              <w:t>#A</w:t>
            </w:r>
          </w:p>
        </w:tc>
        <w:tc>
          <w:tcPr>
            <w:tcW w:w="2151"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r w:rsidRPr="001760EB">
              <w:rPr>
                <w:rFonts w:eastAsia="Times New Roman" w:cs="Calibri"/>
                <w:color w:val="000000"/>
                <w:lang w:eastAsia="en-NZ"/>
              </w:rPr>
              <w:t xml:space="preserve">Auckland - </w:t>
            </w:r>
            <w:proofErr w:type="spellStart"/>
            <w:r w:rsidRPr="001760EB">
              <w:rPr>
                <w:rFonts w:eastAsia="Times New Roman" w:cs="Calibri"/>
                <w:color w:val="000000"/>
                <w:lang w:eastAsia="en-NZ"/>
              </w:rPr>
              <w:t>Manukau</w:t>
            </w:r>
            <w:proofErr w:type="spellEnd"/>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575,638</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16.4%</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5.9%</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25.8%</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noWrap/>
            <w:vAlign w:val="bottom"/>
            <w:hideMark/>
          </w:tcPr>
          <w:p w:rsidR="001760EB" w:rsidRPr="001760EB" w:rsidRDefault="001760EB" w:rsidP="001760EB">
            <w:pPr>
              <w:spacing w:after="0" w:line="240" w:lineRule="auto"/>
              <w:ind w:firstLineChars="200" w:firstLine="440"/>
              <w:rPr>
                <w:rFonts w:eastAsia="Times New Roman" w:cs="Calibri"/>
                <w:color w:val="000000"/>
                <w:lang w:eastAsia="en-NZ"/>
              </w:rPr>
            </w:pPr>
            <w:proofErr w:type="spellStart"/>
            <w:r w:rsidRPr="001760EB">
              <w:rPr>
                <w:rFonts w:eastAsia="Times New Roman" w:cs="Calibri"/>
                <w:color w:val="000000"/>
                <w:lang w:eastAsia="en-NZ"/>
              </w:rPr>
              <w:t>Manukau</w:t>
            </w:r>
            <w:proofErr w:type="spellEnd"/>
            <w:r w:rsidRPr="001760EB">
              <w:rPr>
                <w:rFonts w:eastAsia="Times New Roman" w:cs="Calibri"/>
                <w:color w:val="000000"/>
                <w:lang w:eastAsia="en-NZ"/>
              </w:rPr>
              <w:t xml:space="preserve"> - East</w:t>
            </w:r>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771,376</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16.0%</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5.5%</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29.4%</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noWrap/>
            <w:vAlign w:val="bottom"/>
            <w:hideMark/>
          </w:tcPr>
          <w:p w:rsidR="001760EB" w:rsidRPr="001760EB" w:rsidRDefault="001760EB" w:rsidP="001760EB">
            <w:pPr>
              <w:spacing w:after="0" w:line="240" w:lineRule="auto"/>
              <w:ind w:firstLineChars="200" w:firstLine="440"/>
              <w:rPr>
                <w:rFonts w:eastAsia="Times New Roman" w:cs="Calibri"/>
                <w:color w:val="000000"/>
                <w:lang w:eastAsia="en-NZ"/>
              </w:rPr>
            </w:pPr>
            <w:proofErr w:type="spellStart"/>
            <w:r w:rsidRPr="001760EB">
              <w:rPr>
                <w:rFonts w:eastAsia="Times New Roman" w:cs="Calibri"/>
                <w:color w:val="000000"/>
                <w:lang w:eastAsia="en-NZ"/>
              </w:rPr>
              <w:t>Manukau</w:t>
            </w:r>
            <w:proofErr w:type="spellEnd"/>
            <w:r w:rsidRPr="001760EB">
              <w:rPr>
                <w:rFonts w:eastAsia="Times New Roman" w:cs="Calibri"/>
                <w:color w:val="000000"/>
                <w:lang w:eastAsia="en-NZ"/>
              </w:rPr>
              <w:t xml:space="preserve"> - Central</w:t>
            </w:r>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436,319</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16.3%</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5.1%</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16.1%</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noWrap/>
            <w:vAlign w:val="bottom"/>
            <w:hideMark/>
          </w:tcPr>
          <w:p w:rsidR="001760EB" w:rsidRPr="001760EB" w:rsidRDefault="001760EB" w:rsidP="001760EB">
            <w:pPr>
              <w:spacing w:after="0" w:line="240" w:lineRule="auto"/>
              <w:ind w:firstLineChars="200" w:firstLine="440"/>
              <w:rPr>
                <w:rFonts w:eastAsia="Times New Roman" w:cs="Calibri"/>
                <w:color w:val="000000"/>
                <w:lang w:eastAsia="en-NZ"/>
              </w:rPr>
            </w:pPr>
            <w:proofErr w:type="spellStart"/>
            <w:r w:rsidRPr="001760EB">
              <w:rPr>
                <w:rFonts w:eastAsia="Times New Roman" w:cs="Calibri"/>
                <w:color w:val="000000"/>
                <w:lang w:eastAsia="en-NZ"/>
              </w:rPr>
              <w:t>Manukau</w:t>
            </w:r>
            <w:proofErr w:type="spellEnd"/>
            <w:r w:rsidRPr="001760EB">
              <w:rPr>
                <w:rFonts w:eastAsia="Times New Roman" w:cs="Calibri"/>
                <w:color w:val="000000"/>
                <w:lang w:eastAsia="en-NZ"/>
              </w:rPr>
              <w:t xml:space="preserve"> - North West</w:t>
            </w:r>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469,935</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17.3%</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6.7%</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27.2%</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r w:rsidRPr="001760EB">
              <w:rPr>
                <w:rFonts w:eastAsia="Times New Roman" w:cs="Calibri"/>
                <w:color w:val="000000"/>
                <w:lang w:eastAsia="en-NZ"/>
              </w:rPr>
              <w:t>#A</w:t>
            </w:r>
          </w:p>
        </w:tc>
        <w:tc>
          <w:tcPr>
            <w:tcW w:w="2151"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r w:rsidRPr="001760EB">
              <w:rPr>
                <w:rFonts w:eastAsia="Times New Roman" w:cs="Calibri"/>
                <w:color w:val="000000"/>
                <w:lang w:eastAsia="en-NZ"/>
              </w:rPr>
              <w:t xml:space="preserve">Auckland - </w:t>
            </w:r>
            <w:proofErr w:type="spellStart"/>
            <w:r w:rsidRPr="001760EB">
              <w:rPr>
                <w:rFonts w:eastAsia="Times New Roman" w:cs="Calibri"/>
                <w:color w:val="000000"/>
                <w:lang w:eastAsia="en-NZ"/>
              </w:rPr>
              <w:t>Papakura</w:t>
            </w:r>
            <w:proofErr w:type="spellEnd"/>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418,825</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16.2%</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6.8%</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16.4%</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r w:rsidRPr="001760EB">
              <w:rPr>
                <w:rFonts w:eastAsia="Times New Roman" w:cs="Calibri"/>
                <w:color w:val="000000"/>
                <w:lang w:eastAsia="en-NZ"/>
              </w:rPr>
              <w:t>Auckland - Franklin</w:t>
            </w:r>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445,635</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10.9%</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5.2%</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12.7%</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r w:rsidRPr="001760EB">
              <w:rPr>
                <w:rFonts w:eastAsia="Times New Roman" w:cs="Calibri"/>
                <w:color w:val="000000"/>
                <w:lang w:eastAsia="en-NZ"/>
              </w:rPr>
              <w:t>Thames Coromandel</w:t>
            </w:r>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501,205</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0.7%</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2.4%</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-13.8%</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r w:rsidRPr="001760EB">
              <w:rPr>
                <w:rFonts w:eastAsia="Times New Roman" w:cs="Calibri"/>
                <w:color w:val="000000"/>
                <w:lang w:eastAsia="en-NZ"/>
              </w:rPr>
              <w:t>Hauraki</w:t>
            </w:r>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i/>
                <w:iCs/>
                <w:lang w:eastAsia="en-NZ"/>
              </w:rPr>
            </w:pPr>
            <w:r w:rsidRPr="001760EB">
              <w:rPr>
                <w:rFonts w:eastAsia="Times New Roman" w:cs="Calibri"/>
                <w:i/>
                <w:iCs/>
                <w:lang w:eastAsia="en-NZ"/>
              </w:rPr>
              <w:t>248,672</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i/>
                <w:iCs/>
                <w:lang w:eastAsia="en-NZ"/>
              </w:rPr>
            </w:pPr>
            <w:r w:rsidRPr="001760EB">
              <w:rPr>
                <w:rFonts w:eastAsia="Times New Roman" w:cs="Calibri"/>
                <w:i/>
                <w:iCs/>
                <w:lang w:eastAsia="en-NZ"/>
              </w:rPr>
              <w:t>3.9%</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i/>
                <w:iCs/>
                <w:color w:val="000000"/>
                <w:lang w:eastAsia="en-NZ"/>
              </w:rPr>
            </w:pPr>
            <w:r w:rsidRPr="001760EB">
              <w:rPr>
                <w:rFonts w:eastAsia="Times New Roman" w:cs="Calibri"/>
                <w:i/>
                <w:iCs/>
                <w:color w:val="000000"/>
                <w:lang w:eastAsia="en-NZ"/>
              </w:rPr>
              <w:t>2.7%</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i/>
                <w:iCs/>
                <w:color w:val="000000"/>
                <w:lang w:eastAsia="en-NZ"/>
              </w:rPr>
            </w:pPr>
            <w:r w:rsidRPr="001760EB">
              <w:rPr>
                <w:rFonts w:eastAsia="Times New Roman" w:cs="Calibri"/>
                <w:i/>
                <w:iCs/>
                <w:color w:val="000000"/>
                <w:lang w:eastAsia="en-NZ"/>
              </w:rPr>
              <w:t>-10.9%</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r w:rsidRPr="001760EB">
              <w:rPr>
                <w:rFonts w:eastAsia="Times New Roman" w:cs="Calibri"/>
                <w:color w:val="000000"/>
                <w:lang w:eastAsia="en-NZ"/>
              </w:rPr>
              <w:t>Waikato</w:t>
            </w:r>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286,779</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8.4%</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6.2%</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-5.3%</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roofErr w:type="spellStart"/>
            <w:r w:rsidRPr="001760EB">
              <w:rPr>
                <w:rFonts w:eastAsia="Times New Roman" w:cs="Calibri"/>
                <w:color w:val="000000"/>
                <w:lang w:eastAsia="en-NZ"/>
              </w:rPr>
              <w:t>Matamata</w:t>
            </w:r>
            <w:proofErr w:type="spellEnd"/>
            <w:r w:rsidRPr="001760EB">
              <w:rPr>
                <w:rFonts w:eastAsia="Times New Roman" w:cs="Calibri"/>
                <w:color w:val="000000"/>
                <w:lang w:eastAsia="en-NZ"/>
              </w:rPr>
              <w:t xml:space="preserve"> </w:t>
            </w:r>
            <w:proofErr w:type="spellStart"/>
            <w:r w:rsidRPr="001760EB">
              <w:rPr>
                <w:rFonts w:eastAsia="Times New Roman" w:cs="Calibri"/>
                <w:color w:val="000000"/>
                <w:lang w:eastAsia="en-NZ"/>
              </w:rPr>
              <w:t>Piako</w:t>
            </w:r>
            <w:proofErr w:type="spellEnd"/>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263,926</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0.2%</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-0.5%</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-9.5%</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r w:rsidRPr="001760EB">
              <w:rPr>
                <w:rFonts w:eastAsia="Times New Roman" w:cs="Calibri"/>
                <w:color w:val="000000"/>
                <w:lang w:eastAsia="en-NZ"/>
              </w:rPr>
              <w:t>#</w:t>
            </w:r>
          </w:p>
        </w:tc>
        <w:tc>
          <w:tcPr>
            <w:tcW w:w="2151"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r w:rsidRPr="001760EB">
              <w:rPr>
                <w:rFonts w:eastAsia="Times New Roman" w:cs="Calibri"/>
                <w:color w:val="000000"/>
                <w:lang w:eastAsia="en-NZ"/>
              </w:rPr>
              <w:t>Hamilton</w:t>
            </w:r>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360,178</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5.8%</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2.1%</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-0.4%</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noWrap/>
            <w:vAlign w:val="bottom"/>
            <w:hideMark/>
          </w:tcPr>
          <w:p w:rsidR="001760EB" w:rsidRPr="001760EB" w:rsidRDefault="001760EB" w:rsidP="001760EB">
            <w:pPr>
              <w:spacing w:after="0" w:line="240" w:lineRule="auto"/>
              <w:ind w:firstLineChars="200" w:firstLine="440"/>
              <w:rPr>
                <w:rFonts w:eastAsia="Times New Roman" w:cs="Calibri"/>
                <w:color w:val="000000"/>
                <w:lang w:eastAsia="en-NZ"/>
              </w:rPr>
            </w:pPr>
            <w:r w:rsidRPr="001760EB">
              <w:rPr>
                <w:rFonts w:eastAsia="Times New Roman" w:cs="Calibri"/>
                <w:color w:val="000000"/>
                <w:lang w:eastAsia="en-NZ"/>
              </w:rPr>
              <w:t>Hamilton - North East</w:t>
            </w:r>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452,912</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7.4%</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2.0%</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0.7%</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noWrap/>
            <w:vAlign w:val="bottom"/>
            <w:hideMark/>
          </w:tcPr>
          <w:p w:rsidR="001760EB" w:rsidRPr="001760EB" w:rsidRDefault="001760EB" w:rsidP="001760EB">
            <w:pPr>
              <w:spacing w:after="0" w:line="240" w:lineRule="auto"/>
              <w:ind w:firstLineChars="200" w:firstLine="440"/>
              <w:rPr>
                <w:rFonts w:eastAsia="Times New Roman" w:cs="Calibri"/>
                <w:color w:val="000000"/>
                <w:lang w:eastAsia="en-NZ"/>
              </w:rPr>
            </w:pPr>
            <w:r w:rsidRPr="001760EB">
              <w:rPr>
                <w:rFonts w:eastAsia="Times New Roman" w:cs="Calibri"/>
                <w:color w:val="000000"/>
                <w:lang w:eastAsia="en-NZ"/>
              </w:rPr>
              <w:t>Hamilton - Central &amp; North West</w:t>
            </w:r>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337,936</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5.5%</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2.2%</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-5.6%</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noWrap/>
            <w:vAlign w:val="bottom"/>
            <w:hideMark/>
          </w:tcPr>
          <w:p w:rsidR="001760EB" w:rsidRPr="001760EB" w:rsidRDefault="001760EB" w:rsidP="001760EB">
            <w:pPr>
              <w:spacing w:after="0" w:line="240" w:lineRule="auto"/>
              <w:ind w:firstLineChars="200" w:firstLine="440"/>
              <w:rPr>
                <w:rFonts w:eastAsia="Times New Roman" w:cs="Calibri"/>
                <w:color w:val="000000"/>
                <w:lang w:eastAsia="en-NZ"/>
              </w:rPr>
            </w:pPr>
            <w:r w:rsidRPr="001760EB">
              <w:rPr>
                <w:rFonts w:eastAsia="Times New Roman" w:cs="Calibri"/>
                <w:color w:val="000000"/>
                <w:lang w:eastAsia="en-NZ"/>
              </w:rPr>
              <w:t>Hamilton - South East</w:t>
            </w:r>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331,505</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4.8%</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2.2%</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-5.2%</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noWrap/>
            <w:vAlign w:val="bottom"/>
            <w:hideMark/>
          </w:tcPr>
          <w:p w:rsidR="001760EB" w:rsidRPr="001760EB" w:rsidRDefault="001760EB" w:rsidP="001760EB">
            <w:pPr>
              <w:spacing w:after="0" w:line="240" w:lineRule="auto"/>
              <w:ind w:firstLineChars="200" w:firstLine="440"/>
              <w:rPr>
                <w:rFonts w:eastAsia="Times New Roman" w:cs="Calibri"/>
                <w:color w:val="000000"/>
                <w:lang w:eastAsia="en-NZ"/>
              </w:rPr>
            </w:pPr>
            <w:r w:rsidRPr="001760EB">
              <w:rPr>
                <w:rFonts w:eastAsia="Times New Roman" w:cs="Calibri"/>
                <w:color w:val="000000"/>
                <w:lang w:eastAsia="en-NZ"/>
              </w:rPr>
              <w:t>Hamilton - South West</w:t>
            </w:r>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318,298</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3.9%</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2.3%</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-7.0%</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roofErr w:type="spellStart"/>
            <w:r w:rsidRPr="001760EB">
              <w:rPr>
                <w:rFonts w:eastAsia="Times New Roman" w:cs="Calibri"/>
                <w:color w:val="000000"/>
                <w:lang w:eastAsia="en-NZ"/>
              </w:rPr>
              <w:t>Waipa</w:t>
            </w:r>
            <w:proofErr w:type="spellEnd"/>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330,556</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4.1%</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0.3%</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0.4%</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roofErr w:type="spellStart"/>
            <w:r w:rsidRPr="001760EB">
              <w:rPr>
                <w:rFonts w:eastAsia="Times New Roman" w:cs="Calibri"/>
                <w:color w:val="000000"/>
                <w:lang w:eastAsia="en-NZ"/>
              </w:rPr>
              <w:t>Otorohanga</w:t>
            </w:r>
            <w:proofErr w:type="spellEnd"/>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NA</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NA</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NA</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NA</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r w:rsidRPr="001760EB">
              <w:rPr>
                <w:rFonts w:eastAsia="Times New Roman" w:cs="Calibri"/>
                <w:color w:val="000000"/>
                <w:lang w:eastAsia="en-NZ"/>
              </w:rPr>
              <w:t>South Waikato</w:t>
            </w:r>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i/>
                <w:iCs/>
                <w:lang w:eastAsia="en-NZ"/>
              </w:rPr>
            </w:pPr>
            <w:r w:rsidRPr="001760EB">
              <w:rPr>
                <w:rFonts w:eastAsia="Times New Roman" w:cs="Calibri"/>
                <w:i/>
                <w:iCs/>
                <w:lang w:eastAsia="en-NZ"/>
              </w:rPr>
              <w:t>132,571</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i/>
                <w:iCs/>
                <w:lang w:eastAsia="en-NZ"/>
              </w:rPr>
            </w:pPr>
            <w:r w:rsidRPr="001760EB">
              <w:rPr>
                <w:rFonts w:eastAsia="Times New Roman" w:cs="Calibri"/>
                <w:i/>
                <w:iCs/>
                <w:lang w:eastAsia="en-NZ"/>
              </w:rPr>
              <w:t>-2.3%</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i/>
                <w:iCs/>
                <w:lang w:eastAsia="en-NZ"/>
              </w:rPr>
            </w:pPr>
            <w:r w:rsidRPr="001760EB">
              <w:rPr>
                <w:rFonts w:eastAsia="Times New Roman" w:cs="Calibri"/>
                <w:i/>
                <w:iCs/>
                <w:lang w:eastAsia="en-NZ"/>
              </w:rPr>
              <w:t>1.9%</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i/>
                <w:iCs/>
                <w:lang w:eastAsia="en-NZ"/>
              </w:rPr>
            </w:pPr>
            <w:r w:rsidRPr="001760EB">
              <w:rPr>
                <w:rFonts w:eastAsia="Times New Roman" w:cs="Calibri"/>
                <w:i/>
                <w:iCs/>
                <w:lang w:eastAsia="en-NZ"/>
              </w:rPr>
              <w:t>-18.7%</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roofErr w:type="spellStart"/>
            <w:r w:rsidRPr="001760EB">
              <w:rPr>
                <w:rFonts w:eastAsia="Times New Roman" w:cs="Calibri"/>
                <w:color w:val="000000"/>
                <w:lang w:eastAsia="en-NZ"/>
              </w:rPr>
              <w:t>Waitomo</w:t>
            </w:r>
            <w:proofErr w:type="spellEnd"/>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NA</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NA</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NA</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NA</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roofErr w:type="spellStart"/>
            <w:r w:rsidRPr="001760EB">
              <w:rPr>
                <w:rFonts w:eastAsia="Times New Roman" w:cs="Calibri"/>
                <w:color w:val="000000"/>
                <w:lang w:eastAsia="en-NZ"/>
              </w:rPr>
              <w:t>Taupo</w:t>
            </w:r>
            <w:proofErr w:type="spellEnd"/>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350,802</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-0.4%</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0.3%</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-12.4%</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r w:rsidRPr="001760EB">
              <w:rPr>
                <w:rFonts w:eastAsia="Times New Roman" w:cs="Calibri"/>
                <w:color w:val="000000"/>
                <w:lang w:eastAsia="en-NZ"/>
              </w:rPr>
              <w:t>Western BOP</w:t>
            </w:r>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393,152</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-1.6%</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-3.9%</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-12.7%</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r w:rsidRPr="001760EB">
              <w:rPr>
                <w:rFonts w:eastAsia="Times New Roman" w:cs="Calibri"/>
                <w:color w:val="000000"/>
                <w:lang w:eastAsia="en-NZ"/>
              </w:rPr>
              <w:t>#</w:t>
            </w:r>
          </w:p>
        </w:tc>
        <w:tc>
          <w:tcPr>
            <w:tcW w:w="2151"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r w:rsidRPr="001760EB">
              <w:rPr>
                <w:rFonts w:eastAsia="Times New Roman" w:cs="Calibri"/>
                <w:color w:val="000000"/>
                <w:lang w:eastAsia="en-NZ"/>
              </w:rPr>
              <w:t>Tauranga</w:t>
            </w:r>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442,061</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4.0%</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2.2%</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-8.2%</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roofErr w:type="spellStart"/>
            <w:r w:rsidRPr="001760EB">
              <w:rPr>
                <w:rFonts w:eastAsia="Times New Roman" w:cs="Calibri"/>
                <w:color w:val="000000"/>
                <w:lang w:eastAsia="en-NZ"/>
              </w:rPr>
              <w:t>Rotorua</w:t>
            </w:r>
            <w:proofErr w:type="spellEnd"/>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274,812</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2.0%</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-0.2%</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-6.4%</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roofErr w:type="spellStart"/>
            <w:r w:rsidRPr="001760EB">
              <w:rPr>
                <w:rFonts w:eastAsia="Times New Roman" w:cs="Calibri"/>
                <w:color w:val="000000"/>
                <w:lang w:eastAsia="en-NZ"/>
              </w:rPr>
              <w:t>Whakatane</w:t>
            </w:r>
            <w:proofErr w:type="spellEnd"/>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293,541</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-0.8%</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-1.2%</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-15.6%</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roofErr w:type="spellStart"/>
            <w:r w:rsidRPr="001760EB">
              <w:rPr>
                <w:rFonts w:eastAsia="Times New Roman" w:cs="Calibri"/>
                <w:color w:val="000000"/>
                <w:lang w:eastAsia="en-NZ"/>
              </w:rPr>
              <w:t>Kawerau</w:t>
            </w:r>
            <w:proofErr w:type="spellEnd"/>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NA</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NA</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NA</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NA</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roofErr w:type="spellStart"/>
            <w:r w:rsidRPr="001760EB">
              <w:rPr>
                <w:rFonts w:eastAsia="Times New Roman" w:cs="Calibri"/>
                <w:color w:val="000000"/>
                <w:lang w:eastAsia="en-NZ"/>
              </w:rPr>
              <w:t>Opotiki</w:t>
            </w:r>
            <w:proofErr w:type="spellEnd"/>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i/>
                <w:iCs/>
                <w:lang w:eastAsia="en-NZ"/>
              </w:rPr>
            </w:pPr>
            <w:r w:rsidRPr="001760EB">
              <w:rPr>
                <w:rFonts w:eastAsia="Times New Roman" w:cs="Calibri"/>
                <w:i/>
                <w:iCs/>
                <w:lang w:eastAsia="en-NZ"/>
              </w:rPr>
              <w:t>203,186</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i/>
                <w:iCs/>
                <w:lang w:eastAsia="en-NZ"/>
              </w:rPr>
            </w:pPr>
            <w:r w:rsidRPr="001760EB">
              <w:rPr>
                <w:rFonts w:eastAsia="Times New Roman" w:cs="Calibri"/>
                <w:i/>
                <w:iCs/>
                <w:lang w:eastAsia="en-NZ"/>
              </w:rPr>
              <w:t>-2.4%</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i/>
                <w:iCs/>
                <w:lang w:eastAsia="en-NZ"/>
              </w:rPr>
            </w:pPr>
            <w:r w:rsidRPr="001760EB">
              <w:rPr>
                <w:rFonts w:eastAsia="Times New Roman" w:cs="Calibri"/>
                <w:i/>
                <w:iCs/>
                <w:lang w:eastAsia="en-NZ"/>
              </w:rPr>
              <w:t>-2.9%</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i/>
                <w:iCs/>
                <w:lang w:eastAsia="en-NZ"/>
              </w:rPr>
            </w:pPr>
            <w:r w:rsidRPr="001760EB">
              <w:rPr>
                <w:rFonts w:eastAsia="Times New Roman" w:cs="Calibri"/>
                <w:i/>
                <w:iCs/>
                <w:lang w:eastAsia="en-NZ"/>
              </w:rPr>
              <w:t>-28.5%</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roofErr w:type="spellStart"/>
            <w:r w:rsidRPr="001760EB">
              <w:rPr>
                <w:rFonts w:eastAsia="Times New Roman" w:cs="Calibri"/>
                <w:color w:val="000000"/>
                <w:lang w:eastAsia="en-NZ"/>
              </w:rPr>
              <w:t>Gisborne</w:t>
            </w:r>
            <w:proofErr w:type="spellEnd"/>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234,493</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5.5%</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1.0%</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-21.1%</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roofErr w:type="spellStart"/>
            <w:r w:rsidRPr="001760EB">
              <w:rPr>
                <w:rFonts w:eastAsia="Times New Roman" w:cs="Calibri"/>
                <w:color w:val="000000"/>
                <w:lang w:eastAsia="en-NZ"/>
              </w:rPr>
              <w:t>Wairoa</w:t>
            </w:r>
            <w:proofErr w:type="spellEnd"/>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NA</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NA</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NA</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NA</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r w:rsidRPr="001760EB">
              <w:rPr>
                <w:rFonts w:eastAsia="Times New Roman" w:cs="Calibri"/>
                <w:color w:val="000000"/>
                <w:lang w:eastAsia="en-NZ"/>
              </w:rPr>
              <w:t>Hastings</w:t>
            </w:r>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301,975</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3.3%</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-0.8%</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-3.1%</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r w:rsidRPr="001760EB">
              <w:rPr>
                <w:rFonts w:eastAsia="Times New Roman" w:cs="Calibri"/>
                <w:color w:val="000000"/>
                <w:lang w:eastAsia="en-NZ"/>
              </w:rPr>
              <w:t>#</w:t>
            </w:r>
          </w:p>
        </w:tc>
        <w:tc>
          <w:tcPr>
            <w:tcW w:w="2151"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r w:rsidRPr="001760EB">
              <w:rPr>
                <w:rFonts w:eastAsia="Times New Roman" w:cs="Calibri"/>
                <w:color w:val="000000"/>
                <w:lang w:eastAsia="en-NZ"/>
              </w:rPr>
              <w:t>Napier</w:t>
            </w:r>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323,102</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2.0%</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-0.5%</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-5.0%</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r w:rsidRPr="001760EB">
              <w:rPr>
                <w:rFonts w:eastAsia="Times New Roman" w:cs="Calibri"/>
                <w:color w:val="000000"/>
                <w:lang w:eastAsia="en-NZ"/>
              </w:rPr>
              <w:t xml:space="preserve">Central </w:t>
            </w:r>
            <w:proofErr w:type="spellStart"/>
            <w:r w:rsidRPr="001760EB">
              <w:rPr>
                <w:rFonts w:eastAsia="Times New Roman" w:cs="Calibri"/>
                <w:color w:val="000000"/>
                <w:lang w:eastAsia="en-NZ"/>
              </w:rPr>
              <w:t>Hawkes</w:t>
            </w:r>
            <w:proofErr w:type="spellEnd"/>
            <w:r w:rsidRPr="001760EB">
              <w:rPr>
                <w:rFonts w:eastAsia="Times New Roman" w:cs="Calibri"/>
                <w:color w:val="000000"/>
                <w:lang w:eastAsia="en-NZ"/>
              </w:rPr>
              <w:t xml:space="preserve"> Bay</w:t>
            </w:r>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i/>
                <w:iCs/>
                <w:lang w:eastAsia="en-NZ"/>
              </w:rPr>
            </w:pPr>
            <w:r w:rsidRPr="001760EB">
              <w:rPr>
                <w:rFonts w:eastAsia="Times New Roman" w:cs="Calibri"/>
                <w:i/>
                <w:iCs/>
                <w:lang w:eastAsia="en-NZ"/>
              </w:rPr>
              <w:t>196,024</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i/>
                <w:iCs/>
                <w:lang w:eastAsia="en-NZ"/>
              </w:rPr>
            </w:pPr>
            <w:r w:rsidRPr="001760EB">
              <w:rPr>
                <w:rFonts w:eastAsia="Times New Roman" w:cs="Calibri"/>
                <w:i/>
                <w:iCs/>
                <w:lang w:eastAsia="en-NZ"/>
              </w:rPr>
              <w:t>-6.5%</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i/>
                <w:iCs/>
                <w:lang w:eastAsia="en-NZ"/>
              </w:rPr>
            </w:pPr>
            <w:r w:rsidRPr="001760EB">
              <w:rPr>
                <w:rFonts w:eastAsia="Times New Roman" w:cs="Calibri"/>
                <w:i/>
                <w:iCs/>
                <w:lang w:eastAsia="en-NZ"/>
              </w:rPr>
              <w:t>-3.5%</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i/>
                <w:iCs/>
                <w:lang w:eastAsia="en-NZ"/>
              </w:rPr>
            </w:pPr>
            <w:r w:rsidRPr="001760EB">
              <w:rPr>
                <w:rFonts w:eastAsia="Times New Roman" w:cs="Calibri"/>
                <w:i/>
                <w:iCs/>
                <w:lang w:eastAsia="en-NZ"/>
              </w:rPr>
              <w:t>-26.0%</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r w:rsidRPr="001760EB">
              <w:rPr>
                <w:rFonts w:eastAsia="Times New Roman" w:cs="Calibri"/>
                <w:color w:val="000000"/>
                <w:lang w:eastAsia="en-NZ"/>
              </w:rPr>
              <w:t>New Plymouth</w:t>
            </w:r>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345,571</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7.3%</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2.2%</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4.5%</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r w:rsidRPr="001760EB">
              <w:rPr>
                <w:rFonts w:eastAsia="Times New Roman" w:cs="Calibri"/>
                <w:color w:val="000000"/>
                <w:lang w:eastAsia="en-NZ"/>
              </w:rPr>
              <w:t>Stratford</w:t>
            </w:r>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i/>
                <w:iCs/>
                <w:lang w:eastAsia="en-NZ"/>
              </w:rPr>
            </w:pPr>
            <w:r w:rsidRPr="001760EB">
              <w:rPr>
                <w:rFonts w:eastAsia="Times New Roman" w:cs="Calibri"/>
                <w:i/>
                <w:iCs/>
                <w:lang w:eastAsia="en-NZ"/>
              </w:rPr>
              <w:t>202,442</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i/>
                <w:iCs/>
                <w:lang w:eastAsia="en-NZ"/>
              </w:rPr>
            </w:pPr>
            <w:r w:rsidRPr="001760EB">
              <w:rPr>
                <w:rFonts w:eastAsia="Times New Roman" w:cs="Calibri"/>
                <w:i/>
                <w:iCs/>
                <w:lang w:eastAsia="en-NZ"/>
              </w:rPr>
              <w:t>5.2%</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i/>
                <w:iCs/>
                <w:lang w:eastAsia="en-NZ"/>
              </w:rPr>
            </w:pPr>
            <w:r w:rsidRPr="001760EB">
              <w:rPr>
                <w:rFonts w:eastAsia="Times New Roman" w:cs="Calibri"/>
                <w:i/>
                <w:iCs/>
                <w:lang w:eastAsia="en-NZ"/>
              </w:rPr>
              <w:t>4.0%</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i/>
                <w:iCs/>
                <w:lang w:eastAsia="en-NZ"/>
              </w:rPr>
            </w:pPr>
            <w:r w:rsidRPr="001760EB">
              <w:rPr>
                <w:rFonts w:eastAsia="Times New Roman" w:cs="Calibri"/>
                <w:i/>
                <w:iCs/>
                <w:lang w:eastAsia="en-NZ"/>
              </w:rPr>
              <w:t>-7.4%</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r w:rsidRPr="001760EB">
              <w:rPr>
                <w:rFonts w:eastAsia="Times New Roman" w:cs="Calibri"/>
                <w:color w:val="000000"/>
                <w:lang w:eastAsia="en-NZ"/>
              </w:rPr>
              <w:t xml:space="preserve">South </w:t>
            </w:r>
            <w:proofErr w:type="spellStart"/>
            <w:r w:rsidRPr="001760EB">
              <w:rPr>
                <w:rFonts w:eastAsia="Times New Roman" w:cs="Calibri"/>
                <w:color w:val="000000"/>
                <w:lang w:eastAsia="en-NZ"/>
              </w:rPr>
              <w:t>Taranaki</w:t>
            </w:r>
            <w:proofErr w:type="spellEnd"/>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185,109</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0.3%</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1.9%</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-6.4%</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roofErr w:type="spellStart"/>
            <w:r w:rsidRPr="001760EB">
              <w:rPr>
                <w:rFonts w:eastAsia="Times New Roman" w:cs="Calibri"/>
                <w:color w:val="000000"/>
                <w:lang w:eastAsia="en-NZ"/>
              </w:rPr>
              <w:t>Ruapehu</w:t>
            </w:r>
            <w:proofErr w:type="spellEnd"/>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i/>
                <w:iCs/>
                <w:lang w:eastAsia="en-NZ"/>
              </w:rPr>
            </w:pPr>
            <w:r w:rsidRPr="001760EB">
              <w:rPr>
                <w:rFonts w:eastAsia="Times New Roman" w:cs="Calibri"/>
                <w:i/>
                <w:iCs/>
                <w:lang w:eastAsia="en-NZ"/>
              </w:rPr>
              <w:t>140,601</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i/>
                <w:iCs/>
                <w:lang w:eastAsia="en-NZ"/>
              </w:rPr>
            </w:pPr>
            <w:r w:rsidRPr="001760EB">
              <w:rPr>
                <w:rFonts w:eastAsia="Times New Roman" w:cs="Calibri"/>
                <w:i/>
                <w:iCs/>
                <w:lang w:eastAsia="en-NZ"/>
              </w:rPr>
              <w:t>-1.8%</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i/>
                <w:iCs/>
                <w:lang w:eastAsia="en-NZ"/>
              </w:rPr>
            </w:pPr>
            <w:r w:rsidRPr="001760EB">
              <w:rPr>
                <w:rFonts w:eastAsia="Times New Roman" w:cs="Calibri"/>
                <w:i/>
                <w:iCs/>
                <w:lang w:eastAsia="en-NZ"/>
              </w:rPr>
              <w:t>-0.5%</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i/>
                <w:iCs/>
                <w:lang w:eastAsia="en-NZ"/>
              </w:rPr>
            </w:pPr>
            <w:r w:rsidRPr="001760EB">
              <w:rPr>
                <w:rFonts w:eastAsia="Times New Roman" w:cs="Calibri"/>
                <w:i/>
                <w:iCs/>
                <w:lang w:eastAsia="en-NZ"/>
              </w:rPr>
              <w:t>-22.0%</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r w:rsidRPr="001760EB">
              <w:rPr>
                <w:rFonts w:eastAsia="Times New Roman" w:cs="Calibri"/>
                <w:color w:val="000000"/>
                <w:lang w:eastAsia="en-NZ"/>
              </w:rPr>
              <w:t>Wanganui</w:t>
            </w:r>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187,363</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-2.1%</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-1.9%</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-16.4%</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r w:rsidRPr="001760EB">
              <w:rPr>
                <w:rFonts w:eastAsia="Times New Roman" w:cs="Calibri"/>
                <w:color w:val="000000"/>
                <w:lang w:eastAsia="en-NZ"/>
              </w:rPr>
              <w:t>Rangitikei</w:t>
            </w:r>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i/>
                <w:iCs/>
                <w:lang w:eastAsia="en-NZ"/>
              </w:rPr>
            </w:pPr>
            <w:r w:rsidRPr="001760EB">
              <w:rPr>
                <w:rFonts w:eastAsia="Times New Roman" w:cs="Calibri"/>
                <w:i/>
                <w:iCs/>
                <w:lang w:eastAsia="en-NZ"/>
              </w:rPr>
              <w:t>148,338</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i/>
                <w:iCs/>
                <w:lang w:eastAsia="en-NZ"/>
              </w:rPr>
            </w:pPr>
            <w:r w:rsidRPr="001760EB">
              <w:rPr>
                <w:rFonts w:eastAsia="Times New Roman" w:cs="Calibri"/>
                <w:i/>
                <w:iCs/>
                <w:lang w:eastAsia="en-NZ"/>
              </w:rPr>
              <w:t>-0.5%</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i/>
                <w:iCs/>
                <w:lang w:eastAsia="en-NZ"/>
              </w:rPr>
            </w:pPr>
            <w:r w:rsidRPr="001760EB">
              <w:rPr>
                <w:rFonts w:eastAsia="Times New Roman" w:cs="Calibri"/>
                <w:i/>
                <w:iCs/>
                <w:lang w:eastAsia="en-NZ"/>
              </w:rPr>
              <w:t>3.1%</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i/>
                <w:iCs/>
                <w:lang w:eastAsia="en-NZ"/>
              </w:rPr>
            </w:pPr>
            <w:r w:rsidRPr="001760EB">
              <w:rPr>
                <w:rFonts w:eastAsia="Times New Roman" w:cs="Calibri"/>
                <w:i/>
                <w:iCs/>
                <w:lang w:eastAsia="en-NZ"/>
              </w:rPr>
              <w:t>-18.0%</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roofErr w:type="spellStart"/>
            <w:r w:rsidRPr="001760EB">
              <w:rPr>
                <w:rFonts w:eastAsia="Times New Roman" w:cs="Calibri"/>
                <w:color w:val="000000"/>
                <w:lang w:eastAsia="en-NZ"/>
              </w:rPr>
              <w:t>Manawatu</w:t>
            </w:r>
            <w:proofErr w:type="spellEnd"/>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240,071</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3.9%</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0.8%</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-5.6%</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r w:rsidRPr="001760EB">
              <w:rPr>
                <w:rFonts w:eastAsia="Times New Roman" w:cs="Calibri"/>
                <w:color w:val="000000"/>
                <w:lang w:eastAsia="en-NZ"/>
              </w:rPr>
              <w:t>#</w:t>
            </w:r>
          </w:p>
        </w:tc>
        <w:tc>
          <w:tcPr>
            <w:tcW w:w="2151"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roofErr w:type="spellStart"/>
            <w:r w:rsidRPr="001760EB">
              <w:rPr>
                <w:rFonts w:eastAsia="Times New Roman" w:cs="Calibri"/>
                <w:color w:val="000000"/>
                <w:lang w:eastAsia="en-NZ"/>
              </w:rPr>
              <w:t>Palmerston</w:t>
            </w:r>
            <w:proofErr w:type="spellEnd"/>
            <w:r w:rsidRPr="001760EB">
              <w:rPr>
                <w:rFonts w:eastAsia="Times New Roman" w:cs="Calibri"/>
                <w:color w:val="000000"/>
                <w:lang w:eastAsia="en-NZ"/>
              </w:rPr>
              <w:t xml:space="preserve"> North</w:t>
            </w:r>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287,913</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1.6%</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0.6%</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-3.5%</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roofErr w:type="spellStart"/>
            <w:r w:rsidRPr="001760EB">
              <w:rPr>
                <w:rFonts w:eastAsia="Times New Roman" w:cs="Calibri"/>
                <w:color w:val="000000"/>
                <w:lang w:eastAsia="en-NZ"/>
              </w:rPr>
              <w:t>Tararua</w:t>
            </w:r>
            <w:proofErr w:type="spellEnd"/>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i/>
                <w:iCs/>
                <w:lang w:eastAsia="en-NZ"/>
              </w:rPr>
            </w:pPr>
            <w:r w:rsidRPr="001760EB">
              <w:rPr>
                <w:rFonts w:eastAsia="Times New Roman" w:cs="Calibri"/>
                <w:i/>
                <w:iCs/>
                <w:lang w:eastAsia="en-NZ"/>
              </w:rPr>
              <w:t>155,473</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i/>
                <w:iCs/>
                <w:lang w:eastAsia="en-NZ"/>
              </w:rPr>
            </w:pPr>
            <w:r w:rsidRPr="001760EB">
              <w:rPr>
                <w:rFonts w:eastAsia="Times New Roman" w:cs="Calibri"/>
                <w:i/>
                <w:iCs/>
                <w:lang w:eastAsia="en-NZ"/>
              </w:rPr>
              <w:t>4.1%</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i/>
                <w:iCs/>
                <w:lang w:eastAsia="en-NZ"/>
              </w:rPr>
            </w:pPr>
            <w:r w:rsidRPr="001760EB">
              <w:rPr>
                <w:rFonts w:eastAsia="Times New Roman" w:cs="Calibri"/>
                <w:i/>
                <w:iCs/>
                <w:lang w:eastAsia="en-NZ"/>
              </w:rPr>
              <w:t>2.6%</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i/>
                <w:iCs/>
                <w:lang w:eastAsia="en-NZ"/>
              </w:rPr>
            </w:pPr>
            <w:r w:rsidRPr="001760EB">
              <w:rPr>
                <w:rFonts w:eastAsia="Times New Roman" w:cs="Calibri"/>
                <w:i/>
                <w:iCs/>
                <w:lang w:eastAsia="en-NZ"/>
              </w:rPr>
              <w:t>-11.8%</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roofErr w:type="spellStart"/>
            <w:r w:rsidRPr="001760EB">
              <w:rPr>
                <w:rFonts w:eastAsia="Times New Roman" w:cs="Calibri"/>
                <w:color w:val="000000"/>
                <w:lang w:eastAsia="en-NZ"/>
              </w:rPr>
              <w:t>Horowhenua</w:t>
            </w:r>
            <w:proofErr w:type="spellEnd"/>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200,792</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1.8%</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0.1%</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-15.6%</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roofErr w:type="spellStart"/>
            <w:r w:rsidRPr="001760EB">
              <w:rPr>
                <w:rFonts w:eastAsia="Times New Roman" w:cs="Calibri"/>
                <w:color w:val="000000"/>
                <w:lang w:eastAsia="en-NZ"/>
              </w:rPr>
              <w:t>Kapiti</w:t>
            </w:r>
            <w:proofErr w:type="spellEnd"/>
            <w:r w:rsidRPr="001760EB">
              <w:rPr>
                <w:rFonts w:eastAsia="Times New Roman" w:cs="Calibri"/>
                <w:color w:val="000000"/>
                <w:lang w:eastAsia="en-NZ"/>
              </w:rPr>
              <w:t xml:space="preserve"> Coast</w:t>
            </w:r>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368,265</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2.3%</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0.8%</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-3.9%</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r w:rsidRPr="001760EB">
              <w:rPr>
                <w:rFonts w:eastAsia="Times New Roman" w:cs="Calibri"/>
                <w:color w:val="000000"/>
                <w:lang w:eastAsia="en-NZ"/>
              </w:rPr>
              <w:t>#W</w:t>
            </w:r>
          </w:p>
        </w:tc>
        <w:tc>
          <w:tcPr>
            <w:tcW w:w="2151"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roofErr w:type="spellStart"/>
            <w:r w:rsidRPr="001760EB">
              <w:rPr>
                <w:rFonts w:eastAsia="Times New Roman" w:cs="Calibri"/>
                <w:color w:val="000000"/>
                <w:lang w:eastAsia="en-NZ"/>
              </w:rPr>
              <w:t>Porirua</w:t>
            </w:r>
            <w:proofErr w:type="spellEnd"/>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378,373</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2.4%</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0.5%</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-0.9%</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r w:rsidRPr="001760EB">
              <w:rPr>
                <w:rFonts w:eastAsia="Times New Roman" w:cs="Calibri"/>
                <w:color w:val="000000"/>
                <w:lang w:eastAsia="en-NZ"/>
              </w:rPr>
              <w:t>#W</w:t>
            </w:r>
          </w:p>
        </w:tc>
        <w:tc>
          <w:tcPr>
            <w:tcW w:w="2151"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r w:rsidRPr="001760EB">
              <w:rPr>
                <w:rFonts w:eastAsia="Times New Roman" w:cs="Calibri"/>
                <w:color w:val="000000"/>
                <w:lang w:eastAsia="en-NZ"/>
              </w:rPr>
              <w:t>Upper Hutt</w:t>
            </w:r>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337,022</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3.7%</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0.5%</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-4.1%</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r w:rsidRPr="001760EB">
              <w:rPr>
                <w:rFonts w:eastAsia="Times New Roman" w:cs="Calibri"/>
                <w:color w:val="000000"/>
                <w:lang w:eastAsia="en-NZ"/>
              </w:rPr>
              <w:t>#W</w:t>
            </w:r>
          </w:p>
        </w:tc>
        <w:tc>
          <w:tcPr>
            <w:tcW w:w="2151"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r w:rsidRPr="001760EB">
              <w:rPr>
                <w:rFonts w:eastAsia="Times New Roman" w:cs="Calibri"/>
                <w:color w:val="000000"/>
                <w:lang w:eastAsia="en-NZ"/>
              </w:rPr>
              <w:t>Hutt</w:t>
            </w:r>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372,123</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2.3%</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-1.0%</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-5.2%</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r w:rsidRPr="001760EB">
              <w:rPr>
                <w:rFonts w:eastAsia="Times New Roman" w:cs="Calibri"/>
                <w:color w:val="000000"/>
                <w:lang w:eastAsia="en-NZ"/>
              </w:rPr>
              <w:t>#W</w:t>
            </w:r>
          </w:p>
        </w:tc>
        <w:tc>
          <w:tcPr>
            <w:tcW w:w="2151"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r w:rsidRPr="001760EB">
              <w:rPr>
                <w:rFonts w:eastAsia="Times New Roman" w:cs="Calibri"/>
                <w:color w:val="000000"/>
                <w:lang w:eastAsia="en-NZ"/>
              </w:rPr>
              <w:t>Wellington</w:t>
            </w:r>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533,651</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3.3%</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1.4%</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0.2%</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noWrap/>
            <w:vAlign w:val="bottom"/>
            <w:hideMark/>
          </w:tcPr>
          <w:p w:rsidR="001760EB" w:rsidRPr="001760EB" w:rsidRDefault="001760EB" w:rsidP="001760EB">
            <w:pPr>
              <w:spacing w:after="0" w:line="240" w:lineRule="auto"/>
              <w:ind w:firstLineChars="200" w:firstLine="440"/>
              <w:rPr>
                <w:rFonts w:eastAsia="Times New Roman" w:cs="Calibri"/>
                <w:color w:val="000000"/>
                <w:lang w:eastAsia="en-NZ"/>
              </w:rPr>
            </w:pPr>
            <w:r w:rsidRPr="001760EB">
              <w:rPr>
                <w:rFonts w:eastAsia="Times New Roman" w:cs="Calibri"/>
                <w:color w:val="000000"/>
                <w:lang w:eastAsia="en-NZ"/>
              </w:rPr>
              <w:t>Wellington - Central &amp; South</w:t>
            </w:r>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543,035</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3.9%</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1.8%</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-3.1%</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noWrap/>
            <w:vAlign w:val="bottom"/>
            <w:hideMark/>
          </w:tcPr>
          <w:p w:rsidR="001760EB" w:rsidRPr="001760EB" w:rsidRDefault="001760EB" w:rsidP="001760EB">
            <w:pPr>
              <w:spacing w:after="0" w:line="240" w:lineRule="auto"/>
              <w:ind w:firstLineChars="200" w:firstLine="440"/>
              <w:rPr>
                <w:rFonts w:eastAsia="Times New Roman" w:cs="Calibri"/>
                <w:color w:val="000000"/>
                <w:lang w:eastAsia="en-NZ"/>
              </w:rPr>
            </w:pPr>
            <w:r w:rsidRPr="001760EB">
              <w:rPr>
                <w:rFonts w:eastAsia="Times New Roman" w:cs="Calibri"/>
                <w:color w:val="000000"/>
                <w:lang w:eastAsia="en-NZ"/>
              </w:rPr>
              <w:t>Wellington - East</w:t>
            </w:r>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573,453</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2.7%</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1.0%</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-0.5%</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noWrap/>
            <w:vAlign w:val="bottom"/>
            <w:hideMark/>
          </w:tcPr>
          <w:p w:rsidR="001760EB" w:rsidRPr="001760EB" w:rsidRDefault="001760EB" w:rsidP="001760EB">
            <w:pPr>
              <w:spacing w:after="0" w:line="240" w:lineRule="auto"/>
              <w:ind w:firstLineChars="200" w:firstLine="440"/>
              <w:rPr>
                <w:rFonts w:eastAsia="Times New Roman" w:cs="Calibri"/>
                <w:color w:val="000000"/>
                <w:lang w:eastAsia="en-NZ"/>
              </w:rPr>
            </w:pPr>
            <w:r w:rsidRPr="001760EB">
              <w:rPr>
                <w:rFonts w:eastAsia="Times New Roman" w:cs="Calibri"/>
                <w:color w:val="000000"/>
                <w:lang w:eastAsia="en-NZ"/>
              </w:rPr>
              <w:t>Wellington - North</w:t>
            </w:r>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469,831</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3.2%</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2.0%</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0.8%</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noWrap/>
            <w:vAlign w:val="bottom"/>
            <w:hideMark/>
          </w:tcPr>
          <w:p w:rsidR="001760EB" w:rsidRPr="001760EB" w:rsidRDefault="001760EB" w:rsidP="001760EB">
            <w:pPr>
              <w:spacing w:after="0" w:line="240" w:lineRule="auto"/>
              <w:ind w:firstLineChars="200" w:firstLine="440"/>
              <w:rPr>
                <w:rFonts w:eastAsia="Times New Roman" w:cs="Calibri"/>
                <w:color w:val="000000"/>
                <w:lang w:eastAsia="en-NZ"/>
              </w:rPr>
            </w:pPr>
            <w:r w:rsidRPr="001760EB">
              <w:rPr>
                <w:rFonts w:eastAsia="Times New Roman" w:cs="Calibri"/>
                <w:color w:val="000000"/>
                <w:lang w:eastAsia="en-NZ"/>
              </w:rPr>
              <w:t>Wellington - West</w:t>
            </w:r>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608,941</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3.2%</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-0.3%</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0.2%</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roofErr w:type="spellStart"/>
            <w:r w:rsidRPr="001760EB">
              <w:rPr>
                <w:rFonts w:eastAsia="Times New Roman" w:cs="Calibri"/>
                <w:color w:val="000000"/>
                <w:lang w:eastAsia="en-NZ"/>
              </w:rPr>
              <w:t>Masterton</w:t>
            </w:r>
            <w:proofErr w:type="spellEnd"/>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243,438</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3.5%</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3.5%</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-14.8%</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roofErr w:type="spellStart"/>
            <w:r w:rsidRPr="001760EB">
              <w:rPr>
                <w:rFonts w:eastAsia="Times New Roman" w:cs="Calibri"/>
                <w:color w:val="000000"/>
                <w:lang w:eastAsia="en-NZ"/>
              </w:rPr>
              <w:t>Carterton</w:t>
            </w:r>
            <w:proofErr w:type="spellEnd"/>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i/>
                <w:iCs/>
                <w:lang w:eastAsia="en-NZ"/>
              </w:rPr>
            </w:pPr>
            <w:r w:rsidRPr="001760EB">
              <w:rPr>
                <w:rFonts w:eastAsia="Times New Roman" w:cs="Calibri"/>
                <w:i/>
                <w:iCs/>
                <w:lang w:eastAsia="en-NZ"/>
              </w:rPr>
              <w:t>256,623</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i/>
                <w:iCs/>
                <w:lang w:eastAsia="en-NZ"/>
              </w:rPr>
            </w:pPr>
            <w:r w:rsidRPr="001760EB">
              <w:rPr>
                <w:rFonts w:eastAsia="Times New Roman" w:cs="Calibri"/>
                <w:i/>
                <w:iCs/>
                <w:lang w:eastAsia="en-NZ"/>
              </w:rPr>
              <w:t>4.7%</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i/>
                <w:iCs/>
                <w:lang w:eastAsia="en-NZ"/>
              </w:rPr>
            </w:pPr>
            <w:r w:rsidRPr="001760EB">
              <w:rPr>
                <w:rFonts w:eastAsia="Times New Roman" w:cs="Calibri"/>
                <w:i/>
                <w:iCs/>
                <w:lang w:eastAsia="en-NZ"/>
              </w:rPr>
              <w:t>3.1%</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i/>
                <w:iCs/>
                <w:lang w:eastAsia="en-NZ"/>
              </w:rPr>
            </w:pPr>
            <w:r w:rsidRPr="001760EB">
              <w:rPr>
                <w:rFonts w:eastAsia="Times New Roman" w:cs="Calibri"/>
                <w:i/>
                <w:iCs/>
                <w:lang w:eastAsia="en-NZ"/>
              </w:rPr>
              <w:t>-7.9%</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r w:rsidRPr="001760EB">
              <w:rPr>
                <w:rFonts w:eastAsia="Times New Roman" w:cs="Calibri"/>
                <w:color w:val="000000"/>
                <w:lang w:eastAsia="en-NZ"/>
              </w:rPr>
              <w:t xml:space="preserve">South </w:t>
            </w:r>
            <w:proofErr w:type="spellStart"/>
            <w:r w:rsidRPr="001760EB">
              <w:rPr>
                <w:rFonts w:eastAsia="Times New Roman" w:cs="Calibri"/>
                <w:color w:val="000000"/>
                <w:lang w:eastAsia="en-NZ"/>
              </w:rPr>
              <w:t>Wairarapa</w:t>
            </w:r>
            <w:proofErr w:type="spellEnd"/>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i/>
                <w:iCs/>
                <w:lang w:eastAsia="en-NZ"/>
              </w:rPr>
            </w:pPr>
            <w:r w:rsidRPr="001760EB">
              <w:rPr>
                <w:rFonts w:eastAsia="Times New Roman" w:cs="Calibri"/>
                <w:i/>
                <w:iCs/>
                <w:lang w:eastAsia="en-NZ"/>
              </w:rPr>
              <w:t>292,475</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i/>
                <w:iCs/>
                <w:lang w:eastAsia="en-NZ"/>
              </w:rPr>
            </w:pPr>
            <w:r w:rsidRPr="001760EB">
              <w:rPr>
                <w:rFonts w:eastAsia="Times New Roman" w:cs="Calibri"/>
                <w:i/>
                <w:iCs/>
                <w:lang w:eastAsia="en-NZ"/>
              </w:rPr>
              <w:t>2.7%</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i/>
                <w:iCs/>
                <w:lang w:eastAsia="en-NZ"/>
              </w:rPr>
            </w:pPr>
            <w:r w:rsidRPr="001760EB">
              <w:rPr>
                <w:rFonts w:eastAsia="Times New Roman" w:cs="Calibri"/>
                <w:i/>
                <w:iCs/>
                <w:lang w:eastAsia="en-NZ"/>
              </w:rPr>
              <w:t>-1.5%</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i/>
                <w:iCs/>
                <w:lang w:eastAsia="en-NZ"/>
              </w:rPr>
            </w:pPr>
            <w:r w:rsidRPr="001760EB">
              <w:rPr>
                <w:rFonts w:eastAsia="Times New Roman" w:cs="Calibri"/>
                <w:i/>
                <w:iCs/>
                <w:lang w:eastAsia="en-NZ"/>
              </w:rPr>
              <w:t>-13.5%</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r w:rsidRPr="001760EB">
              <w:rPr>
                <w:rFonts w:eastAsia="Times New Roman" w:cs="Calibri"/>
                <w:color w:val="000000"/>
                <w:lang w:eastAsia="en-NZ"/>
              </w:rPr>
              <w:t>Tasman</w:t>
            </w:r>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408,267</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3.1%</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0.7%</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1.7%</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r w:rsidRPr="001760EB">
              <w:rPr>
                <w:rFonts w:eastAsia="Times New Roman" w:cs="Calibri"/>
                <w:color w:val="000000"/>
                <w:lang w:eastAsia="en-NZ"/>
              </w:rPr>
              <w:t>#</w:t>
            </w:r>
          </w:p>
        </w:tc>
        <w:tc>
          <w:tcPr>
            <w:tcW w:w="2151"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r w:rsidRPr="001760EB">
              <w:rPr>
                <w:rFonts w:eastAsia="Times New Roman" w:cs="Calibri"/>
                <w:color w:val="000000"/>
                <w:lang w:eastAsia="en-NZ"/>
              </w:rPr>
              <w:t>Nelson</w:t>
            </w:r>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402,399</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3.5%</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0.9%</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5.1%</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r w:rsidRPr="001760EB">
              <w:rPr>
                <w:rFonts w:eastAsia="Times New Roman" w:cs="Calibri"/>
                <w:color w:val="000000"/>
                <w:lang w:eastAsia="en-NZ"/>
              </w:rPr>
              <w:t>Marlborough</w:t>
            </w:r>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343,168</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1.7%</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-1.4%</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-12.0%</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roofErr w:type="spellStart"/>
            <w:r w:rsidRPr="001760EB">
              <w:rPr>
                <w:rFonts w:eastAsia="Times New Roman" w:cs="Calibri"/>
                <w:color w:val="000000"/>
                <w:lang w:eastAsia="en-NZ"/>
              </w:rPr>
              <w:t>Kaikoura</w:t>
            </w:r>
            <w:proofErr w:type="spellEnd"/>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i/>
                <w:iCs/>
                <w:lang w:eastAsia="en-NZ"/>
              </w:rPr>
            </w:pPr>
            <w:r w:rsidRPr="001760EB">
              <w:rPr>
                <w:rFonts w:eastAsia="Times New Roman" w:cs="Calibri"/>
                <w:i/>
                <w:iCs/>
                <w:lang w:eastAsia="en-NZ"/>
              </w:rPr>
              <w:t>336,854</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i/>
                <w:iCs/>
                <w:lang w:eastAsia="en-NZ"/>
              </w:rPr>
            </w:pPr>
            <w:r w:rsidRPr="001760EB">
              <w:rPr>
                <w:rFonts w:eastAsia="Times New Roman" w:cs="Calibri"/>
                <w:i/>
                <w:iCs/>
                <w:lang w:eastAsia="en-NZ"/>
              </w:rPr>
              <w:t>-4.3%</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i/>
                <w:iCs/>
                <w:color w:val="000000"/>
                <w:lang w:eastAsia="en-NZ"/>
              </w:rPr>
            </w:pPr>
            <w:r w:rsidRPr="001760EB">
              <w:rPr>
                <w:rFonts w:eastAsia="Times New Roman" w:cs="Calibri"/>
                <w:i/>
                <w:iCs/>
                <w:color w:val="000000"/>
                <w:lang w:eastAsia="en-NZ"/>
              </w:rPr>
              <w:t>-5.8%</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i/>
                <w:iCs/>
                <w:color w:val="000000"/>
                <w:lang w:eastAsia="en-NZ"/>
              </w:rPr>
            </w:pPr>
            <w:r w:rsidRPr="001760EB">
              <w:rPr>
                <w:rFonts w:eastAsia="Times New Roman" w:cs="Calibri"/>
                <w:i/>
                <w:iCs/>
                <w:color w:val="000000"/>
                <w:lang w:eastAsia="en-NZ"/>
              </w:rPr>
              <w:t>-22.0%</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roofErr w:type="spellStart"/>
            <w:r w:rsidRPr="001760EB">
              <w:rPr>
                <w:rFonts w:eastAsia="Times New Roman" w:cs="Calibri"/>
                <w:color w:val="000000"/>
                <w:lang w:eastAsia="en-NZ"/>
              </w:rPr>
              <w:t>Buller</w:t>
            </w:r>
            <w:proofErr w:type="spellEnd"/>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i/>
                <w:iCs/>
                <w:lang w:eastAsia="en-NZ"/>
              </w:rPr>
            </w:pPr>
            <w:r w:rsidRPr="001760EB">
              <w:rPr>
                <w:rFonts w:eastAsia="Times New Roman" w:cs="Calibri"/>
                <w:i/>
                <w:iCs/>
                <w:lang w:eastAsia="en-NZ"/>
              </w:rPr>
              <w:t>209,560</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i/>
                <w:iCs/>
                <w:lang w:eastAsia="en-NZ"/>
              </w:rPr>
            </w:pPr>
            <w:r w:rsidRPr="001760EB">
              <w:rPr>
                <w:rFonts w:eastAsia="Times New Roman" w:cs="Calibri"/>
                <w:i/>
                <w:iCs/>
                <w:lang w:eastAsia="en-NZ"/>
              </w:rPr>
              <w:t>-4.9%</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i/>
                <w:iCs/>
                <w:lang w:eastAsia="en-NZ"/>
              </w:rPr>
            </w:pPr>
            <w:r w:rsidRPr="001760EB">
              <w:rPr>
                <w:rFonts w:eastAsia="Times New Roman" w:cs="Calibri"/>
                <w:i/>
                <w:iCs/>
                <w:lang w:eastAsia="en-NZ"/>
              </w:rPr>
              <w:t>-6.8%</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i/>
                <w:iCs/>
                <w:lang w:eastAsia="en-NZ"/>
              </w:rPr>
            </w:pPr>
            <w:r w:rsidRPr="001760EB">
              <w:rPr>
                <w:rFonts w:eastAsia="Times New Roman" w:cs="Calibri"/>
                <w:i/>
                <w:iCs/>
                <w:lang w:eastAsia="en-NZ"/>
              </w:rPr>
              <w:t>2.0%</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r w:rsidRPr="001760EB">
              <w:rPr>
                <w:rFonts w:eastAsia="Times New Roman" w:cs="Calibri"/>
                <w:color w:val="000000"/>
                <w:lang w:eastAsia="en-NZ"/>
              </w:rPr>
              <w:t>Grey</w:t>
            </w:r>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i/>
                <w:iCs/>
                <w:lang w:eastAsia="en-NZ"/>
              </w:rPr>
            </w:pPr>
            <w:r w:rsidRPr="001760EB">
              <w:rPr>
                <w:rFonts w:eastAsia="Times New Roman" w:cs="Calibri"/>
                <w:i/>
                <w:iCs/>
                <w:lang w:eastAsia="en-NZ"/>
              </w:rPr>
              <w:t>223,180</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i/>
                <w:iCs/>
                <w:lang w:eastAsia="en-NZ"/>
              </w:rPr>
            </w:pPr>
            <w:r w:rsidRPr="001760EB">
              <w:rPr>
                <w:rFonts w:eastAsia="Times New Roman" w:cs="Calibri"/>
                <w:i/>
                <w:iCs/>
                <w:lang w:eastAsia="en-NZ"/>
              </w:rPr>
              <w:t>1.5%</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i/>
                <w:iCs/>
                <w:lang w:eastAsia="en-NZ"/>
              </w:rPr>
            </w:pPr>
            <w:r w:rsidRPr="001760EB">
              <w:rPr>
                <w:rFonts w:eastAsia="Times New Roman" w:cs="Calibri"/>
                <w:i/>
                <w:iCs/>
                <w:lang w:eastAsia="en-NZ"/>
              </w:rPr>
              <w:t>2.4%</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i/>
                <w:iCs/>
                <w:lang w:eastAsia="en-NZ"/>
              </w:rPr>
            </w:pPr>
            <w:r w:rsidRPr="001760EB">
              <w:rPr>
                <w:rFonts w:eastAsia="Times New Roman" w:cs="Calibri"/>
                <w:i/>
                <w:iCs/>
                <w:lang w:eastAsia="en-NZ"/>
              </w:rPr>
              <w:t>-8.7%</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r w:rsidRPr="001760EB">
              <w:rPr>
                <w:rFonts w:eastAsia="Times New Roman" w:cs="Calibri"/>
                <w:color w:val="000000"/>
                <w:lang w:eastAsia="en-NZ"/>
              </w:rPr>
              <w:t>Westland</w:t>
            </w:r>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i/>
                <w:iCs/>
                <w:lang w:eastAsia="en-NZ"/>
              </w:rPr>
            </w:pPr>
            <w:r w:rsidRPr="001760EB">
              <w:rPr>
                <w:rFonts w:eastAsia="Times New Roman" w:cs="Calibri"/>
                <w:i/>
                <w:iCs/>
                <w:lang w:eastAsia="en-NZ"/>
              </w:rPr>
              <w:t>228,684</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i/>
                <w:iCs/>
                <w:lang w:eastAsia="en-NZ"/>
              </w:rPr>
            </w:pPr>
            <w:r w:rsidRPr="001760EB">
              <w:rPr>
                <w:rFonts w:eastAsia="Times New Roman" w:cs="Calibri"/>
                <w:i/>
                <w:iCs/>
                <w:lang w:eastAsia="en-NZ"/>
              </w:rPr>
              <w:t>5.4%</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i/>
                <w:iCs/>
                <w:lang w:eastAsia="en-NZ"/>
              </w:rPr>
            </w:pPr>
            <w:r w:rsidRPr="001760EB">
              <w:rPr>
                <w:rFonts w:eastAsia="Times New Roman" w:cs="Calibri"/>
                <w:i/>
                <w:iCs/>
                <w:lang w:eastAsia="en-NZ"/>
              </w:rPr>
              <w:t>-2.4%</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i/>
                <w:iCs/>
                <w:lang w:eastAsia="en-NZ"/>
              </w:rPr>
            </w:pPr>
            <w:r w:rsidRPr="001760EB">
              <w:rPr>
                <w:rFonts w:eastAsia="Times New Roman" w:cs="Calibri"/>
                <w:i/>
                <w:iCs/>
                <w:lang w:eastAsia="en-NZ"/>
              </w:rPr>
              <w:t>-4.8%</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r w:rsidRPr="001760EB">
              <w:rPr>
                <w:rFonts w:eastAsia="Times New Roman" w:cs="Calibri"/>
                <w:color w:val="000000"/>
                <w:lang w:eastAsia="en-NZ"/>
              </w:rPr>
              <w:t>Hurunui</w:t>
            </w:r>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i/>
                <w:iCs/>
                <w:lang w:eastAsia="en-NZ"/>
              </w:rPr>
            </w:pPr>
            <w:r w:rsidRPr="001760EB">
              <w:rPr>
                <w:rFonts w:eastAsia="Times New Roman" w:cs="Calibri"/>
                <w:i/>
                <w:iCs/>
                <w:lang w:eastAsia="en-NZ"/>
              </w:rPr>
              <w:t>349,669</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i/>
                <w:iCs/>
                <w:lang w:eastAsia="en-NZ"/>
              </w:rPr>
            </w:pPr>
            <w:r w:rsidRPr="001760EB">
              <w:rPr>
                <w:rFonts w:eastAsia="Times New Roman" w:cs="Calibri"/>
                <w:i/>
                <w:iCs/>
                <w:lang w:eastAsia="en-NZ"/>
              </w:rPr>
              <w:t>8.2%</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i/>
                <w:iCs/>
                <w:lang w:eastAsia="en-NZ"/>
              </w:rPr>
            </w:pPr>
            <w:r w:rsidRPr="001760EB">
              <w:rPr>
                <w:rFonts w:eastAsia="Times New Roman" w:cs="Calibri"/>
                <w:i/>
                <w:iCs/>
                <w:lang w:eastAsia="en-NZ"/>
              </w:rPr>
              <w:t>4.2%</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i/>
                <w:iCs/>
                <w:lang w:eastAsia="en-NZ"/>
              </w:rPr>
            </w:pPr>
            <w:r w:rsidRPr="001760EB">
              <w:rPr>
                <w:rFonts w:eastAsia="Times New Roman" w:cs="Calibri"/>
                <w:i/>
                <w:iCs/>
                <w:lang w:eastAsia="en-NZ"/>
              </w:rPr>
              <w:t>11.9%</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roofErr w:type="spellStart"/>
            <w:r w:rsidRPr="001760EB">
              <w:rPr>
                <w:rFonts w:eastAsia="Times New Roman" w:cs="Calibri"/>
                <w:color w:val="000000"/>
                <w:lang w:eastAsia="en-NZ"/>
              </w:rPr>
              <w:t>Waimakariri</w:t>
            </w:r>
            <w:proofErr w:type="spellEnd"/>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397,159</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8.5%</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1.8%</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24.0%</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r w:rsidRPr="001760EB">
              <w:rPr>
                <w:rFonts w:eastAsia="Times New Roman" w:cs="Calibri"/>
                <w:color w:val="000000"/>
                <w:lang w:eastAsia="en-NZ"/>
              </w:rPr>
              <w:t>#</w:t>
            </w:r>
          </w:p>
        </w:tc>
        <w:tc>
          <w:tcPr>
            <w:tcW w:w="2151"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r w:rsidRPr="001760EB">
              <w:rPr>
                <w:rFonts w:eastAsia="Times New Roman" w:cs="Calibri"/>
                <w:color w:val="000000"/>
                <w:lang w:eastAsia="en-NZ"/>
              </w:rPr>
              <w:t>Christchurch</w:t>
            </w:r>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455,264</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12.7%</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3.8%</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20.0%</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noWrap/>
            <w:vAlign w:val="bottom"/>
            <w:hideMark/>
          </w:tcPr>
          <w:p w:rsidR="001760EB" w:rsidRPr="001760EB" w:rsidRDefault="001760EB" w:rsidP="001760EB">
            <w:pPr>
              <w:spacing w:after="0" w:line="240" w:lineRule="auto"/>
              <w:ind w:firstLineChars="200" w:firstLine="440"/>
              <w:rPr>
                <w:rFonts w:eastAsia="Times New Roman" w:cs="Calibri"/>
                <w:color w:val="000000"/>
                <w:lang w:eastAsia="en-NZ"/>
              </w:rPr>
            </w:pPr>
            <w:r w:rsidRPr="001760EB">
              <w:rPr>
                <w:rFonts w:eastAsia="Times New Roman" w:cs="Calibri"/>
                <w:color w:val="000000"/>
                <w:lang w:eastAsia="en-NZ"/>
              </w:rPr>
              <w:t>Christchurch - East</w:t>
            </w:r>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345,252</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10.6%</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4.2%</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11.6%</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noWrap/>
            <w:vAlign w:val="bottom"/>
            <w:hideMark/>
          </w:tcPr>
          <w:p w:rsidR="001760EB" w:rsidRPr="001760EB" w:rsidRDefault="001760EB" w:rsidP="001760EB">
            <w:pPr>
              <w:spacing w:after="0" w:line="240" w:lineRule="auto"/>
              <w:ind w:firstLineChars="200" w:firstLine="440"/>
              <w:rPr>
                <w:rFonts w:eastAsia="Times New Roman" w:cs="Calibri"/>
                <w:color w:val="000000"/>
                <w:lang w:eastAsia="en-NZ"/>
              </w:rPr>
            </w:pPr>
            <w:r w:rsidRPr="001760EB">
              <w:rPr>
                <w:rFonts w:eastAsia="Times New Roman" w:cs="Calibri"/>
                <w:color w:val="000000"/>
                <w:lang w:eastAsia="en-NZ"/>
              </w:rPr>
              <w:t>Christchurch - Hills</w:t>
            </w:r>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623,666</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9.6%</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0.6%</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12.8%</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noWrap/>
            <w:vAlign w:val="bottom"/>
            <w:hideMark/>
          </w:tcPr>
          <w:p w:rsidR="001760EB" w:rsidRPr="001760EB" w:rsidRDefault="001760EB" w:rsidP="001760EB">
            <w:pPr>
              <w:spacing w:after="0" w:line="240" w:lineRule="auto"/>
              <w:ind w:firstLineChars="200" w:firstLine="440"/>
              <w:rPr>
                <w:rFonts w:eastAsia="Times New Roman" w:cs="Calibri"/>
                <w:color w:val="000000"/>
                <w:lang w:eastAsia="en-NZ"/>
              </w:rPr>
            </w:pPr>
            <w:r w:rsidRPr="001760EB">
              <w:rPr>
                <w:rFonts w:eastAsia="Times New Roman" w:cs="Calibri"/>
                <w:color w:val="000000"/>
                <w:lang w:eastAsia="en-NZ"/>
              </w:rPr>
              <w:t>Christchurch - Central &amp; North</w:t>
            </w:r>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528,938</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13.5%</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4.7%</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19.5%</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noWrap/>
            <w:vAlign w:val="bottom"/>
            <w:hideMark/>
          </w:tcPr>
          <w:p w:rsidR="001760EB" w:rsidRPr="001760EB" w:rsidRDefault="001760EB" w:rsidP="001760EB">
            <w:pPr>
              <w:spacing w:after="0" w:line="240" w:lineRule="auto"/>
              <w:ind w:firstLineChars="200" w:firstLine="440"/>
              <w:rPr>
                <w:rFonts w:eastAsia="Times New Roman" w:cs="Calibri"/>
                <w:color w:val="000000"/>
                <w:lang w:eastAsia="en-NZ"/>
              </w:rPr>
            </w:pPr>
            <w:r w:rsidRPr="001760EB">
              <w:rPr>
                <w:rFonts w:eastAsia="Times New Roman" w:cs="Calibri"/>
                <w:color w:val="000000"/>
                <w:lang w:eastAsia="en-NZ"/>
              </w:rPr>
              <w:t>Christchurch - Southwest</w:t>
            </w:r>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427,978</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14.9%</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4.2%</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26.1%</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noWrap/>
            <w:vAlign w:val="bottom"/>
            <w:hideMark/>
          </w:tcPr>
          <w:p w:rsidR="001760EB" w:rsidRPr="001760EB" w:rsidRDefault="001760EB" w:rsidP="001760EB">
            <w:pPr>
              <w:spacing w:after="0" w:line="240" w:lineRule="auto"/>
              <w:ind w:firstLineChars="200" w:firstLine="440"/>
              <w:rPr>
                <w:rFonts w:eastAsia="Times New Roman" w:cs="Calibri"/>
                <w:color w:val="000000"/>
                <w:lang w:eastAsia="en-NZ"/>
              </w:rPr>
            </w:pPr>
            <w:r w:rsidRPr="001760EB">
              <w:rPr>
                <w:rFonts w:eastAsia="Times New Roman" w:cs="Calibri"/>
                <w:color w:val="000000"/>
                <w:lang w:eastAsia="en-NZ"/>
              </w:rPr>
              <w:t>Christchurch - Banks Peninsula</w:t>
            </w:r>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i/>
                <w:iCs/>
                <w:lang w:eastAsia="en-NZ"/>
              </w:rPr>
            </w:pPr>
            <w:r w:rsidRPr="001760EB">
              <w:rPr>
                <w:rFonts w:eastAsia="Times New Roman" w:cs="Calibri"/>
                <w:i/>
                <w:iCs/>
                <w:lang w:eastAsia="en-NZ"/>
              </w:rPr>
              <w:t>488,656</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i/>
                <w:iCs/>
                <w:lang w:eastAsia="en-NZ"/>
              </w:rPr>
            </w:pPr>
            <w:r w:rsidRPr="001760EB">
              <w:rPr>
                <w:rFonts w:eastAsia="Times New Roman" w:cs="Calibri"/>
                <w:i/>
                <w:iCs/>
                <w:lang w:eastAsia="en-NZ"/>
              </w:rPr>
              <w:t>5.6%</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i/>
                <w:iCs/>
                <w:lang w:eastAsia="en-NZ"/>
              </w:rPr>
            </w:pPr>
            <w:r w:rsidRPr="001760EB">
              <w:rPr>
                <w:rFonts w:eastAsia="Times New Roman" w:cs="Calibri"/>
                <w:i/>
                <w:iCs/>
                <w:lang w:eastAsia="en-NZ"/>
              </w:rPr>
              <w:t>2.0%</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i/>
                <w:iCs/>
                <w:lang w:eastAsia="en-NZ"/>
              </w:rPr>
            </w:pPr>
            <w:r w:rsidRPr="001760EB">
              <w:rPr>
                <w:rFonts w:eastAsia="Times New Roman" w:cs="Calibri"/>
                <w:i/>
                <w:iCs/>
                <w:lang w:eastAsia="en-NZ"/>
              </w:rPr>
              <w:t>1.7%</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r w:rsidRPr="001760EB">
              <w:rPr>
                <w:rFonts w:eastAsia="Times New Roman" w:cs="Calibri"/>
                <w:color w:val="000000"/>
                <w:lang w:eastAsia="en-NZ"/>
              </w:rPr>
              <w:t>Selwyn</w:t>
            </w:r>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486,513</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10.3%</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2.2%</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30.5%</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roofErr w:type="spellStart"/>
            <w:r w:rsidRPr="001760EB">
              <w:rPr>
                <w:rFonts w:eastAsia="Times New Roman" w:cs="Calibri"/>
                <w:color w:val="000000"/>
                <w:lang w:eastAsia="en-NZ"/>
              </w:rPr>
              <w:t>Ashburton</w:t>
            </w:r>
            <w:proofErr w:type="spellEnd"/>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313,280</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7.5%</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2.4%</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11.9%</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roofErr w:type="spellStart"/>
            <w:r w:rsidRPr="001760EB">
              <w:rPr>
                <w:rFonts w:eastAsia="Times New Roman" w:cs="Calibri"/>
                <w:color w:val="000000"/>
                <w:lang w:eastAsia="en-NZ"/>
              </w:rPr>
              <w:t>Timaru</w:t>
            </w:r>
            <w:proofErr w:type="spellEnd"/>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276,606</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5.8%</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0.6%</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10.2%</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roofErr w:type="spellStart"/>
            <w:r w:rsidRPr="001760EB">
              <w:rPr>
                <w:rFonts w:eastAsia="Times New Roman" w:cs="Calibri"/>
                <w:color w:val="000000"/>
                <w:lang w:eastAsia="en-NZ"/>
              </w:rPr>
              <w:t>MacKenzie</w:t>
            </w:r>
            <w:proofErr w:type="spellEnd"/>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NA</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NA</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NA</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NA</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roofErr w:type="spellStart"/>
            <w:r w:rsidRPr="001760EB">
              <w:rPr>
                <w:rFonts w:eastAsia="Times New Roman" w:cs="Calibri"/>
                <w:color w:val="000000"/>
                <w:lang w:eastAsia="en-NZ"/>
              </w:rPr>
              <w:t>Waimate</w:t>
            </w:r>
            <w:proofErr w:type="spellEnd"/>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i/>
                <w:iCs/>
                <w:lang w:eastAsia="en-NZ"/>
              </w:rPr>
            </w:pPr>
            <w:r w:rsidRPr="001760EB">
              <w:rPr>
                <w:rFonts w:eastAsia="Times New Roman" w:cs="Calibri"/>
                <w:i/>
                <w:iCs/>
                <w:lang w:eastAsia="en-NZ"/>
              </w:rPr>
              <w:t>192,069</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i/>
                <w:iCs/>
                <w:lang w:eastAsia="en-NZ"/>
              </w:rPr>
            </w:pPr>
            <w:r w:rsidRPr="001760EB">
              <w:rPr>
                <w:rFonts w:eastAsia="Times New Roman" w:cs="Calibri"/>
                <w:i/>
                <w:iCs/>
                <w:lang w:eastAsia="en-NZ"/>
              </w:rPr>
              <w:t>10.9%</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i/>
                <w:iCs/>
                <w:lang w:eastAsia="en-NZ"/>
              </w:rPr>
            </w:pPr>
            <w:r w:rsidRPr="001760EB">
              <w:rPr>
                <w:rFonts w:eastAsia="Times New Roman" w:cs="Calibri"/>
                <w:i/>
                <w:iCs/>
                <w:lang w:eastAsia="en-NZ"/>
              </w:rPr>
              <w:t>0.2%</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i/>
                <w:iCs/>
                <w:lang w:eastAsia="en-NZ"/>
              </w:rPr>
            </w:pPr>
            <w:r w:rsidRPr="001760EB">
              <w:rPr>
                <w:rFonts w:eastAsia="Times New Roman" w:cs="Calibri"/>
                <w:i/>
                <w:iCs/>
                <w:lang w:eastAsia="en-NZ"/>
              </w:rPr>
              <w:t>1.9%</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roofErr w:type="spellStart"/>
            <w:r w:rsidRPr="001760EB">
              <w:rPr>
                <w:rFonts w:eastAsia="Times New Roman" w:cs="Calibri"/>
                <w:color w:val="000000"/>
                <w:lang w:eastAsia="en-NZ"/>
              </w:rPr>
              <w:t>Waitaki</w:t>
            </w:r>
            <w:proofErr w:type="spellEnd"/>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214,792</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-0.6%</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1.2%</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-5.9%</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r w:rsidRPr="001760EB">
              <w:rPr>
                <w:rFonts w:eastAsia="Times New Roman" w:cs="Calibri"/>
                <w:color w:val="000000"/>
                <w:lang w:eastAsia="en-NZ"/>
              </w:rPr>
              <w:t xml:space="preserve">Central </w:t>
            </w:r>
            <w:proofErr w:type="spellStart"/>
            <w:r w:rsidRPr="001760EB">
              <w:rPr>
                <w:rFonts w:eastAsia="Times New Roman" w:cs="Calibri"/>
                <w:color w:val="000000"/>
                <w:lang w:eastAsia="en-NZ"/>
              </w:rPr>
              <w:t>Otago</w:t>
            </w:r>
            <w:proofErr w:type="spellEnd"/>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309,781</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4.5%</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1.2%</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-2.3%</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r w:rsidRPr="001760EB">
              <w:rPr>
                <w:rFonts w:eastAsia="Times New Roman" w:cs="Calibri"/>
                <w:color w:val="000000"/>
                <w:lang w:eastAsia="en-NZ"/>
              </w:rPr>
              <w:t>Queenstown Lakes</w:t>
            </w:r>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646,375</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5.0%</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0.3%</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-6.0%</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r w:rsidRPr="001760EB">
              <w:rPr>
                <w:rFonts w:eastAsia="Times New Roman" w:cs="Calibri"/>
                <w:color w:val="000000"/>
                <w:lang w:eastAsia="en-NZ"/>
              </w:rPr>
              <w:t>#</w:t>
            </w:r>
          </w:p>
        </w:tc>
        <w:tc>
          <w:tcPr>
            <w:tcW w:w="2151"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r w:rsidRPr="001760EB">
              <w:rPr>
                <w:rFonts w:eastAsia="Times New Roman" w:cs="Calibri"/>
                <w:color w:val="000000"/>
                <w:lang w:eastAsia="en-NZ"/>
              </w:rPr>
              <w:t>Dunedin</w:t>
            </w:r>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290,253</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3.8%</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1.9%</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1.4%</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noWrap/>
            <w:vAlign w:val="bottom"/>
            <w:hideMark/>
          </w:tcPr>
          <w:p w:rsidR="001760EB" w:rsidRPr="001760EB" w:rsidRDefault="001760EB" w:rsidP="001760EB">
            <w:pPr>
              <w:spacing w:after="0" w:line="240" w:lineRule="auto"/>
              <w:ind w:firstLineChars="200" w:firstLine="440"/>
              <w:rPr>
                <w:rFonts w:eastAsia="Times New Roman" w:cs="Calibri"/>
                <w:color w:val="000000"/>
                <w:lang w:eastAsia="en-NZ"/>
              </w:rPr>
            </w:pPr>
            <w:r w:rsidRPr="001760EB">
              <w:rPr>
                <w:rFonts w:eastAsia="Times New Roman" w:cs="Calibri"/>
                <w:color w:val="000000"/>
                <w:lang w:eastAsia="en-NZ"/>
              </w:rPr>
              <w:t>Dunedin - Central &amp; North</w:t>
            </w:r>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300,604</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3.7%</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2.3%</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-0.4%</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noWrap/>
            <w:vAlign w:val="bottom"/>
            <w:hideMark/>
          </w:tcPr>
          <w:p w:rsidR="001760EB" w:rsidRPr="001760EB" w:rsidRDefault="001760EB" w:rsidP="001760EB">
            <w:pPr>
              <w:spacing w:after="0" w:line="240" w:lineRule="auto"/>
              <w:ind w:firstLineChars="200" w:firstLine="440"/>
              <w:rPr>
                <w:rFonts w:eastAsia="Times New Roman" w:cs="Calibri"/>
                <w:color w:val="000000"/>
                <w:lang w:eastAsia="en-NZ"/>
              </w:rPr>
            </w:pPr>
            <w:r w:rsidRPr="001760EB">
              <w:rPr>
                <w:rFonts w:eastAsia="Times New Roman" w:cs="Calibri"/>
                <w:color w:val="000000"/>
                <w:lang w:eastAsia="en-NZ"/>
              </w:rPr>
              <w:t>Dunedin - Peninsular &amp; Coastal</w:t>
            </w:r>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260,746</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1.3%</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-2.7%</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-3.7%</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noWrap/>
            <w:vAlign w:val="bottom"/>
            <w:hideMark/>
          </w:tcPr>
          <w:p w:rsidR="001760EB" w:rsidRPr="001760EB" w:rsidRDefault="001760EB" w:rsidP="001760EB">
            <w:pPr>
              <w:spacing w:after="0" w:line="240" w:lineRule="auto"/>
              <w:ind w:firstLineChars="200" w:firstLine="440"/>
              <w:rPr>
                <w:rFonts w:eastAsia="Times New Roman" w:cs="Calibri"/>
                <w:color w:val="000000"/>
                <w:lang w:eastAsia="en-NZ"/>
              </w:rPr>
            </w:pPr>
            <w:r w:rsidRPr="001760EB">
              <w:rPr>
                <w:rFonts w:eastAsia="Times New Roman" w:cs="Calibri"/>
                <w:color w:val="000000"/>
                <w:lang w:eastAsia="en-NZ"/>
              </w:rPr>
              <w:t>Dunedin - South</w:t>
            </w:r>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278,529</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4.1%</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3.3%</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-2.4%</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noWrap/>
            <w:vAlign w:val="bottom"/>
            <w:hideMark/>
          </w:tcPr>
          <w:p w:rsidR="001760EB" w:rsidRPr="001760EB" w:rsidRDefault="001760EB" w:rsidP="001760EB">
            <w:pPr>
              <w:spacing w:after="0" w:line="240" w:lineRule="auto"/>
              <w:ind w:firstLineChars="200" w:firstLine="440"/>
              <w:rPr>
                <w:rFonts w:eastAsia="Times New Roman" w:cs="Calibri"/>
                <w:color w:val="000000"/>
                <w:lang w:eastAsia="en-NZ"/>
              </w:rPr>
            </w:pPr>
            <w:r w:rsidRPr="001760EB">
              <w:rPr>
                <w:rFonts w:eastAsia="Times New Roman" w:cs="Calibri"/>
                <w:color w:val="000000"/>
                <w:lang w:eastAsia="en-NZ"/>
              </w:rPr>
              <w:t xml:space="preserve">Dunedin - </w:t>
            </w:r>
            <w:proofErr w:type="spellStart"/>
            <w:r w:rsidRPr="001760EB">
              <w:rPr>
                <w:rFonts w:eastAsia="Times New Roman" w:cs="Calibri"/>
                <w:color w:val="000000"/>
                <w:lang w:eastAsia="en-NZ"/>
              </w:rPr>
              <w:t>Taieri</w:t>
            </w:r>
            <w:proofErr w:type="spellEnd"/>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300,936</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4.9%</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2.1%</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2.4%</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r w:rsidRPr="001760EB">
              <w:rPr>
                <w:rFonts w:eastAsia="Times New Roman" w:cs="Calibri"/>
                <w:color w:val="000000"/>
                <w:lang w:eastAsia="en-NZ"/>
              </w:rPr>
              <w:t>Clutha</w:t>
            </w:r>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164,359</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3.7%</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-2.1%</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-9.3%</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r w:rsidRPr="001760EB">
              <w:rPr>
                <w:rFonts w:eastAsia="Times New Roman" w:cs="Calibri"/>
                <w:color w:val="000000"/>
                <w:lang w:eastAsia="en-NZ"/>
              </w:rPr>
              <w:t>Southland</w:t>
            </w:r>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206,015</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1.8%</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2.3%</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-10.5%</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r w:rsidRPr="001760EB">
              <w:rPr>
                <w:rFonts w:eastAsia="Times New Roman" w:cs="Calibri"/>
                <w:color w:val="000000"/>
                <w:lang w:eastAsia="en-NZ"/>
              </w:rPr>
              <w:t>Gore</w:t>
            </w:r>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i/>
                <w:iCs/>
                <w:lang w:eastAsia="en-NZ"/>
              </w:rPr>
            </w:pPr>
            <w:r w:rsidRPr="001760EB">
              <w:rPr>
                <w:rFonts w:eastAsia="Times New Roman" w:cs="Calibri"/>
                <w:i/>
                <w:iCs/>
                <w:lang w:eastAsia="en-NZ"/>
              </w:rPr>
              <w:t>186,213</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i/>
                <w:iCs/>
                <w:lang w:eastAsia="en-NZ"/>
              </w:rPr>
            </w:pPr>
            <w:r w:rsidRPr="001760EB">
              <w:rPr>
                <w:rFonts w:eastAsia="Times New Roman" w:cs="Calibri"/>
                <w:i/>
                <w:iCs/>
                <w:lang w:eastAsia="en-NZ"/>
              </w:rPr>
              <w:t>3.7%</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i/>
                <w:iCs/>
                <w:color w:val="000000"/>
                <w:lang w:eastAsia="en-NZ"/>
              </w:rPr>
            </w:pPr>
            <w:r w:rsidRPr="001760EB">
              <w:rPr>
                <w:rFonts w:eastAsia="Times New Roman" w:cs="Calibri"/>
                <w:i/>
                <w:iCs/>
                <w:color w:val="000000"/>
                <w:lang w:eastAsia="en-NZ"/>
              </w:rPr>
              <w:t>4.8%</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i/>
                <w:iCs/>
                <w:color w:val="000000"/>
                <w:lang w:eastAsia="en-NZ"/>
              </w:rPr>
            </w:pPr>
            <w:r w:rsidRPr="001760EB">
              <w:rPr>
                <w:rFonts w:eastAsia="Times New Roman" w:cs="Calibri"/>
                <w:i/>
                <w:iCs/>
                <w:color w:val="000000"/>
                <w:lang w:eastAsia="en-NZ"/>
              </w:rPr>
              <w:t>5.9%</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r w:rsidRPr="001760EB">
              <w:rPr>
                <w:rFonts w:eastAsia="Times New Roman" w:cs="Calibri"/>
                <w:color w:val="000000"/>
                <w:lang w:eastAsia="en-NZ"/>
              </w:rPr>
              <w:t>#</w:t>
            </w:r>
          </w:p>
        </w:tc>
        <w:tc>
          <w:tcPr>
            <w:tcW w:w="2151"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r w:rsidRPr="001760EB">
              <w:rPr>
                <w:rFonts w:eastAsia="Times New Roman" w:cs="Calibri"/>
                <w:color w:val="000000"/>
                <w:lang w:eastAsia="en-NZ"/>
              </w:rPr>
              <w:t>Invercargill</w:t>
            </w:r>
          </w:p>
        </w:tc>
        <w:tc>
          <w:tcPr>
            <w:tcW w:w="88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203,787</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-0.9%</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-1.3%</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-7.6%</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887" w:type="pct"/>
            <w:shd w:val="clear" w:color="auto" w:fill="auto"/>
            <w:noWrap/>
            <w:vAlign w:val="bottom"/>
            <w:hideMark/>
          </w:tcPr>
          <w:p w:rsidR="001760EB" w:rsidRPr="001760EB" w:rsidRDefault="001760EB" w:rsidP="001760EB">
            <w:pPr>
              <w:spacing w:after="0" w:line="240" w:lineRule="auto"/>
              <w:rPr>
                <w:rFonts w:eastAsia="Times New Roman" w:cs="Calibri"/>
                <w:lang w:eastAsia="en-NZ"/>
              </w:rPr>
            </w:pPr>
          </w:p>
        </w:tc>
        <w:tc>
          <w:tcPr>
            <w:tcW w:w="557" w:type="pct"/>
            <w:shd w:val="clear" w:color="auto" w:fill="auto"/>
            <w:vAlign w:val="bottom"/>
            <w:hideMark/>
          </w:tcPr>
          <w:p w:rsidR="001760EB" w:rsidRPr="001760EB" w:rsidRDefault="001760EB" w:rsidP="001760EB">
            <w:pPr>
              <w:spacing w:after="0" w:line="240" w:lineRule="auto"/>
              <w:jc w:val="right"/>
              <w:rPr>
                <w:rFonts w:eastAsia="Times New Roman" w:cs="Calibri"/>
                <w:color w:val="000000"/>
                <w:lang w:eastAsia="en-NZ"/>
              </w:rPr>
            </w:pPr>
          </w:p>
        </w:tc>
        <w:tc>
          <w:tcPr>
            <w:tcW w:w="470" w:type="pct"/>
            <w:shd w:val="clear" w:color="auto" w:fill="auto"/>
            <w:noWrap/>
            <w:vAlign w:val="bottom"/>
            <w:hideMark/>
          </w:tcPr>
          <w:p w:rsidR="001760EB" w:rsidRPr="001760EB" w:rsidRDefault="001760EB" w:rsidP="001760EB">
            <w:pPr>
              <w:spacing w:after="0" w:line="240" w:lineRule="auto"/>
              <w:rPr>
                <w:rFonts w:eastAsia="Times New Roman" w:cs="Calibri"/>
                <w:color w:val="000000"/>
                <w:lang w:eastAsia="en-NZ"/>
              </w:rPr>
            </w:pPr>
          </w:p>
        </w:tc>
        <w:tc>
          <w:tcPr>
            <w:tcW w:w="653" w:type="pct"/>
            <w:shd w:val="clear" w:color="auto" w:fill="auto"/>
            <w:noWrap/>
            <w:vAlign w:val="bottom"/>
            <w:hideMark/>
          </w:tcPr>
          <w:p w:rsidR="001760EB" w:rsidRPr="001760EB" w:rsidRDefault="001760EB" w:rsidP="001760EB">
            <w:pPr>
              <w:spacing w:after="0" w:line="240" w:lineRule="auto"/>
              <w:rPr>
                <w:rFonts w:eastAsia="Times New Roman" w:cs="Calibri"/>
                <w:color w:val="000000"/>
                <w:lang w:eastAsia="en-NZ"/>
              </w:rPr>
            </w:pP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r w:rsidRPr="001760EB">
              <w:rPr>
                <w:rFonts w:eastAsia="Times New Roman" w:cs="Calibri"/>
                <w:color w:val="000000"/>
                <w:lang w:eastAsia="en-NZ"/>
              </w:rPr>
              <w:t>Auckland Area</w:t>
            </w:r>
          </w:p>
        </w:tc>
        <w:tc>
          <w:tcPr>
            <w:tcW w:w="887" w:type="pct"/>
            <w:shd w:val="clear" w:color="000000" w:fill="F2F2F2"/>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 xml:space="preserve">              693,549 </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15.4%</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4.6%</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26.9%</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r w:rsidRPr="001760EB">
              <w:rPr>
                <w:rFonts w:eastAsia="Times New Roman" w:cs="Calibri"/>
                <w:color w:val="000000"/>
                <w:lang w:eastAsia="en-NZ"/>
              </w:rPr>
              <w:t>Wellington Area</w:t>
            </w:r>
          </w:p>
        </w:tc>
        <w:tc>
          <w:tcPr>
            <w:tcW w:w="887" w:type="pct"/>
            <w:shd w:val="clear" w:color="000000" w:fill="F2F2F2"/>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 xml:space="preserve">              451,200 </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3.1%</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0.9%</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-1.0%</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r w:rsidRPr="001760EB">
              <w:rPr>
                <w:rFonts w:eastAsia="Times New Roman" w:cs="Calibri"/>
                <w:color w:val="000000"/>
                <w:lang w:eastAsia="en-NZ"/>
              </w:rPr>
              <w:t>#</w:t>
            </w:r>
          </w:p>
        </w:tc>
        <w:tc>
          <w:tcPr>
            <w:tcW w:w="2151"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r w:rsidRPr="001760EB">
              <w:rPr>
                <w:rFonts w:eastAsia="Times New Roman" w:cs="Calibri"/>
                <w:color w:val="000000"/>
                <w:lang w:eastAsia="en-NZ"/>
              </w:rPr>
              <w:t>Main Urban Areas</w:t>
            </w:r>
          </w:p>
        </w:tc>
        <w:tc>
          <w:tcPr>
            <w:tcW w:w="887" w:type="pct"/>
            <w:shd w:val="clear" w:color="000000" w:fill="F2F2F2"/>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 xml:space="preserve">              542,136 </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12.2%</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3.7%</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color w:val="000000"/>
                <w:lang w:eastAsia="en-NZ"/>
              </w:rPr>
            </w:pPr>
            <w:r w:rsidRPr="001760EB">
              <w:rPr>
                <w:rFonts w:eastAsia="Times New Roman" w:cs="Calibri"/>
                <w:color w:val="000000"/>
                <w:lang w:eastAsia="en-NZ"/>
              </w:rPr>
              <w:t>18.0%</w:t>
            </w:r>
          </w:p>
        </w:tc>
      </w:tr>
      <w:tr w:rsidR="001760EB" w:rsidRPr="001760EB" w:rsidTr="001760EB">
        <w:trPr>
          <w:trHeight w:val="300"/>
        </w:trPr>
        <w:tc>
          <w:tcPr>
            <w:tcW w:w="282" w:type="pct"/>
            <w:shd w:val="clear" w:color="auto" w:fill="auto"/>
            <w:vAlign w:val="bottom"/>
            <w:hideMark/>
          </w:tcPr>
          <w:p w:rsidR="001760EB" w:rsidRPr="001760EB" w:rsidRDefault="001760EB" w:rsidP="001760EB">
            <w:pPr>
              <w:spacing w:after="0" w:line="240" w:lineRule="auto"/>
              <w:rPr>
                <w:rFonts w:eastAsia="Times New Roman" w:cs="Calibri"/>
                <w:color w:val="000000"/>
                <w:lang w:eastAsia="en-NZ"/>
              </w:rPr>
            </w:pPr>
          </w:p>
        </w:tc>
        <w:tc>
          <w:tcPr>
            <w:tcW w:w="2151" w:type="pct"/>
            <w:shd w:val="clear" w:color="auto" w:fill="auto"/>
            <w:vAlign w:val="bottom"/>
            <w:hideMark/>
          </w:tcPr>
          <w:p w:rsidR="001760EB" w:rsidRPr="001760EB" w:rsidRDefault="001760EB" w:rsidP="001760EB">
            <w:pPr>
              <w:spacing w:after="0" w:line="240" w:lineRule="auto"/>
              <w:rPr>
                <w:rFonts w:eastAsia="Times New Roman" w:cs="Calibri"/>
                <w:b/>
                <w:bCs/>
                <w:color w:val="000000"/>
                <w:lang w:eastAsia="en-NZ"/>
              </w:rPr>
            </w:pPr>
            <w:r w:rsidRPr="001760EB">
              <w:rPr>
                <w:rFonts w:eastAsia="Times New Roman" w:cs="Calibri"/>
                <w:b/>
                <w:bCs/>
                <w:color w:val="000000"/>
                <w:lang w:eastAsia="en-NZ"/>
              </w:rPr>
              <w:t>New Zealand</w:t>
            </w:r>
          </w:p>
        </w:tc>
        <w:tc>
          <w:tcPr>
            <w:tcW w:w="887" w:type="pct"/>
            <w:shd w:val="clear" w:color="000000" w:fill="F2F2F2"/>
            <w:noWrap/>
            <w:vAlign w:val="bottom"/>
            <w:hideMark/>
          </w:tcPr>
          <w:p w:rsidR="001760EB" w:rsidRPr="001760EB" w:rsidRDefault="001760EB" w:rsidP="001760EB">
            <w:pPr>
              <w:spacing w:after="0" w:line="240" w:lineRule="auto"/>
              <w:jc w:val="right"/>
              <w:rPr>
                <w:rFonts w:eastAsia="Times New Roman" w:cs="Calibri"/>
                <w:lang w:eastAsia="en-NZ"/>
              </w:rPr>
            </w:pPr>
            <w:r w:rsidRPr="001760EB">
              <w:rPr>
                <w:rFonts w:eastAsia="Times New Roman" w:cs="Calibri"/>
                <w:lang w:eastAsia="en-NZ"/>
              </w:rPr>
              <w:t xml:space="preserve">              466,022 </w:t>
            </w:r>
          </w:p>
        </w:tc>
        <w:tc>
          <w:tcPr>
            <w:tcW w:w="557" w:type="pct"/>
            <w:shd w:val="clear" w:color="auto" w:fill="auto"/>
            <w:noWrap/>
            <w:vAlign w:val="bottom"/>
            <w:hideMark/>
          </w:tcPr>
          <w:p w:rsidR="001760EB" w:rsidRPr="001760EB" w:rsidRDefault="001760EB" w:rsidP="001760EB">
            <w:pPr>
              <w:spacing w:after="0" w:line="240" w:lineRule="auto"/>
              <w:jc w:val="right"/>
              <w:rPr>
                <w:rFonts w:eastAsia="Times New Roman" w:cs="Calibri"/>
                <w:b/>
                <w:bCs/>
                <w:lang w:eastAsia="en-NZ"/>
              </w:rPr>
            </w:pPr>
            <w:r w:rsidRPr="001760EB">
              <w:rPr>
                <w:rFonts w:eastAsia="Times New Roman" w:cs="Calibri"/>
                <w:b/>
                <w:bCs/>
                <w:lang w:eastAsia="en-NZ"/>
              </w:rPr>
              <w:t>10.0%</w:t>
            </w:r>
          </w:p>
        </w:tc>
        <w:tc>
          <w:tcPr>
            <w:tcW w:w="470" w:type="pct"/>
            <w:shd w:val="clear" w:color="auto" w:fill="auto"/>
            <w:noWrap/>
            <w:vAlign w:val="bottom"/>
            <w:hideMark/>
          </w:tcPr>
          <w:p w:rsidR="001760EB" w:rsidRPr="001760EB" w:rsidRDefault="001760EB" w:rsidP="001760EB">
            <w:pPr>
              <w:spacing w:after="0" w:line="240" w:lineRule="auto"/>
              <w:jc w:val="right"/>
              <w:rPr>
                <w:rFonts w:eastAsia="Times New Roman" w:cs="Calibri"/>
                <w:b/>
                <w:bCs/>
                <w:color w:val="000000"/>
                <w:lang w:eastAsia="en-NZ"/>
              </w:rPr>
            </w:pPr>
            <w:r w:rsidRPr="001760EB">
              <w:rPr>
                <w:rFonts w:eastAsia="Times New Roman" w:cs="Calibri"/>
                <w:b/>
                <w:bCs/>
                <w:color w:val="000000"/>
                <w:lang w:eastAsia="en-NZ"/>
              </w:rPr>
              <w:t>3.0%</w:t>
            </w:r>
          </w:p>
        </w:tc>
        <w:tc>
          <w:tcPr>
            <w:tcW w:w="653" w:type="pct"/>
            <w:shd w:val="clear" w:color="auto" w:fill="auto"/>
            <w:noWrap/>
            <w:vAlign w:val="bottom"/>
            <w:hideMark/>
          </w:tcPr>
          <w:p w:rsidR="001760EB" w:rsidRPr="001760EB" w:rsidRDefault="001760EB" w:rsidP="001760EB">
            <w:pPr>
              <w:spacing w:after="0" w:line="240" w:lineRule="auto"/>
              <w:jc w:val="right"/>
              <w:rPr>
                <w:rFonts w:eastAsia="Times New Roman" w:cs="Calibri"/>
                <w:b/>
                <w:bCs/>
                <w:color w:val="000000"/>
                <w:lang w:eastAsia="en-NZ"/>
              </w:rPr>
            </w:pPr>
            <w:r w:rsidRPr="001760EB">
              <w:rPr>
                <w:rFonts w:eastAsia="Times New Roman" w:cs="Calibri"/>
                <w:b/>
                <w:bCs/>
                <w:color w:val="000000"/>
                <w:lang w:eastAsia="en-NZ"/>
              </w:rPr>
              <w:t>12.5%</w:t>
            </w:r>
          </w:p>
        </w:tc>
      </w:tr>
      <w:tr w:rsidR="001760EB" w:rsidRPr="001760EB" w:rsidTr="001760EB">
        <w:trPr>
          <w:trHeight w:val="255"/>
        </w:trPr>
        <w:tc>
          <w:tcPr>
            <w:tcW w:w="282" w:type="pct"/>
            <w:shd w:val="clear" w:color="auto" w:fill="auto"/>
            <w:vAlign w:val="bottom"/>
            <w:hideMark/>
          </w:tcPr>
          <w:p w:rsidR="001760EB" w:rsidRPr="001760EB" w:rsidRDefault="001760EB" w:rsidP="001760EB">
            <w:pPr>
              <w:spacing w:after="0" w:line="240" w:lineRule="auto"/>
              <w:rPr>
                <w:rFonts w:ascii="Arial" w:eastAsia="Times New Roman" w:hAnsi="Arial" w:cs="Arial"/>
                <w:color w:val="000000"/>
                <w:sz w:val="20"/>
                <w:szCs w:val="20"/>
                <w:lang w:eastAsia="en-NZ"/>
              </w:rPr>
            </w:pPr>
          </w:p>
        </w:tc>
        <w:tc>
          <w:tcPr>
            <w:tcW w:w="2151" w:type="pct"/>
            <w:shd w:val="clear" w:color="auto" w:fill="auto"/>
            <w:vAlign w:val="bottom"/>
            <w:hideMark/>
          </w:tcPr>
          <w:p w:rsidR="001760EB" w:rsidRPr="001760EB" w:rsidRDefault="001760EB" w:rsidP="001760EB">
            <w:pPr>
              <w:spacing w:after="0" w:line="240" w:lineRule="auto"/>
              <w:rPr>
                <w:rFonts w:ascii="Arial" w:eastAsia="Times New Roman" w:hAnsi="Arial" w:cs="Arial"/>
                <w:color w:val="000000"/>
                <w:sz w:val="20"/>
                <w:szCs w:val="20"/>
                <w:lang w:eastAsia="en-NZ"/>
              </w:rPr>
            </w:pPr>
          </w:p>
        </w:tc>
        <w:tc>
          <w:tcPr>
            <w:tcW w:w="887" w:type="pct"/>
            <w:shd w:val="clear" w:color="auto" w:fill="auto"/>
            <w:vAlign w:val="bottom"/>
            <w:hideMark/>
          </w:tcPr>
          <w:p w:rsidR="001760EB" w:rsidRPr="001760EB" w:rsidRDefault="001760EB" w:rsidP="001760EB">
            <w:pPr>
              <w:spacing w:after="0" w:line="240" w:lineRule="auto"/>
              <w:rPr>
                <w:rFonts w:ascii="Arial" w:eastAsia="Times New Roman" w:hAnsi="Arial" w:cs="Arial"/>
                <w:color w:val="000000"/>
                <w:sz w:val="20"/>
                <w:szCs w:val="20"/>
                <w:lang w:eastAsia="en-NZ"/>
              </w:rPr>
            </w:pPr>
          </w:p>
        </w:tc>
        <w:tc>
          <w:tcPr>
            <w:tcW w:w="557" w:type="pct"/>
            <w:shd w:val="clear" w:color="auto" w:fill="auto"/>
            <w:vAlign w:val="bottom"/>
            <w:hideMark/>
          </w:tcPr>
          <w:p w:rsidR="001760EB" w:rsidRPr="001760EB" w:rsidRDefault="001760EB" w:rsidP="001760EB">
            <w:pPr>
              <w:spacing w:after="0" w:line="240" w:lineRule="auto"/>
              <w:rPr>
                <w:rFonts w:ascii="Arial" w:eastAsia="Times New Roman" w:hAnsi="Arial" w:cs="Arial"/>
                <w:color w:val="000000"/>
                <w:sz w:val="20"/>
                <w:szCs w:val="20"/>
                <w:lang w:eastAsia="en-NZ"/>
              </w:rPr>
            </w:pPr>
          </w:p>
        </w:tc>
        <w:tc>
          <w:tcPr>
            <w:tcW w:w="470" w:type="pct"/>
            <w:shd w:val="clear" w:color="auto" w:fill="auto"/>
            <w:noWrap/>
            <w:vAlign w:val="bottom"/>
            <w:hideMark/>
          </w:tcPr>
          <w:p w:rsidR="001760EB" w:rsidRPr="001760EB" w:rsidRDefault="001760EB" w:rsidP="001760EB">
            <w:pPr>
              <w:spacing w:after="0" w:line="240" w:lineRule="auto"/>
              <w:rPr>
                <w:rFonts w:ascii="Arial" w:eastAsia="Times New Roman" w:hAnsi="Arial" w:cs="Arial"/>
                <w:color w:val="000000"/>
                <w:sz w:val="20"/>
                <w:szCs w:val="20"/>
                <w:lang w:eastAsia="en-NZ"/>
              </w:rPr>
            </w:pPr>
          </w:p>
        </w:tc>
        <w:tc>
          <w:tcPr>
            <w:tcW w:w="653" w:type="pct"/>
            <w:shd w:val="clear" w:color="auto" w:fill="auto"/>
            <w:noWrap/>
            <w:vAlign w:val="bottom"/>
            <w:hideMark/>
          </w:tcPr>
          <w:p w:rsidR="001760EB" w:rsidRPr="001760EB" w:rsidRDefault="001760EB" w:rsidP="001760EB">
            <w:pPr>
              <w:spacing w:after="0" w:line="240" w:lineRule="auto"/>
              <w:rPr>
                <w:rFonts w:ascii="Arial" w:eastAsia="Times New Roman" w:hAnsi="Arial" w:cs="Arial"/>
                <w:color w:val="000000"/>
                <w:sz w:val="20"/>
                <w:szCs w:val="20"/>
                <w:lang w:eastAsia="en-NZ"/>
              </w:rPr>
            </w:pPr>
          </w:p>
        </w:tc>
      </w:tr>
      <w:tr w:rsidR="001760EB" w:rsidRPr="001760EB" w:rsidTr="001760EB">
        <w:trPr>
          <w:trHeight w:val="255"/>
        </w:trPr>
        <w:tc>
          <w:tcPr>
            <w:tcW w:w="3877" w:type="pct"/>
            <w:gridSpan w:val="4"/>
            <w:shd w:val="clear" w:color="auto" w:fill="auto"/>
            <w:hideMark/>
          </w:tcPr>
          <w:p w:rsidR="001760EB" w:rsidRPr="001760EB" w:rsidRDefault="001760EB" w:rsidP="001760EB">
            <w:pPr>
              <w:spacing w:after="0" w:line="240" w:lineRule="auto"/>
              <w:rPr>
                <w:rFonts w:ascii="Arial" w:eastAsia="Times New Roman" w:hAnsi="Arial" w:cs="Arial"/>
                <w:b/>
                <w:bCs/>
                <w:color w:val="000000"/>
                <w:sz w:val="20"/>
                <w:szCs w:val="20"/>
                <w:lang w:eastAsia="en-NZ"/>
              </w:rPr>
            </w:pPr>
            <w:r w:rsidRPr="001760EB">
              <w:rPr>
                <w:rFonts w:ascii="Arial" w:eastAsia="Times New Roman" w:hAnsi="Arial" w:cs="Arial"/>
                <w:b/>
                <w:bCs/>
                <w:color w:val="000000"/>
                <w:sz w:val="20"/>
                <w:szCs w:val="20"/>
                <w:lang w:eastAsia="en-NZ"/>
              </w:rPr>
              <w:t>Notes on the above data:</w:t>
            </w:r>
          </w:p>
        </w:tc>
        <w:tc>
          <w:tcPr>
            <w:tcW w:w="470" w:type="pct"/>
            <w:shd w:val="clear" w:color="auto" w:fill="auto"/>
            <w:noWrap/>
            <w:vAlign w:val="bottom"/>
            <w:hideMark/>
          </w:tcPr>
          <w:p w:rsidR="001760EB" w:rsidRPr="001760EB" w:rsidRDefault="001760EB" w:rsidP="001760EB">
            <w:pPr>
              <w:spacing w:after="0" w:line="240" w:lineRule="auto"/>
              <w:rPr>
                <w:rFonts w:ascii="Arial" w:eastAsia="Times New Roman" w:hAnsi="Arial" w:cs="Arial"/>
                <w:color w:val="000000"/>
                <w:sz w:val="20"/>
                <w:szCs w:val="20"/>
                <w:lang w:eastAsia="en-NZ"/>
              </w:rPr>
            </w:pPr>
          </w:p>
        </w:tc>
        <w:tc>
          <w:tcPr>
            <w:tcW w:w="653" w:type="pct"/>
            <w:shd w:val="clear" w:color="auto" w:fill="auto"/>
            <w:noWrap/>
            <w:vAlign w:val="bottom"/>
            <w:hideMark/>
          </w:tcPr>
          <w:p w:rsidR="001760EB" w:rsidRPr="001760EB" w:rsidRDefault="001760EB" w:rsidP="001760EB">
            <w:pPr>
              <w:spacing w:after="0" w:line="240" w:lineRule="auto"/>
              <w:rPr>
                <w:rFonts w:ascii="Arial" w:eastAsia="Times New Roman" w:hAnsi="Arial" w:cs="Arial"/>
                <w:color w:val="000000"/>
                <w:sz w:val="20"/>
                <w:szCs w:val="20"/>
                <w:lang w:eastAsia="en-NZ"/>
              </w:rPr>
            </w:pPr>
          </w:p>
        </w:tc>
      </w:tr>
      <w:tr w:rsidR="001760EB" w:rsidRPr="001760EB" w:rsidTr="001760EB">
        <w:trPr>
          <w:trHeight w:val="765"/>
        </w:trPr>
        <w:tc>
          <w:tcPr>
            <w:tcW w:w="5000" w:type="pct"/>
            <w:gridSpan w:val="6"/>
            <w:shd w:val="clear" w:color="auto" w:fill="auto"/>
            <w:hideMark/>
          </w:tcPr>
          <w:p w:rsidR="001760EB" w:rsidRPr="001760EB" w:rsidRDefault="001760EB" w:rsidP="001760EB">
            <w:pPr>
              <w:spacing w:after="0" w:line="240" w:lineRule="auto"/>
              <w:rPr>
                <w:rFonts w:ascii="Arial" w:eastAsia="Times New Roman" w:hAnsi="Arial" w:cs="Arial"/>
                <w:color w:val="000000"/>
                <w:sz w:val="20"/>
                <w:szCs w:val="20"/>
                <w:lang w:eastAsia="en-NZ"/>
              </w:rPr>
            </w:pPr>
            <w:r w:rsidRPr="001760EB">
              <w:rPr>
                <w:rFonts w:ascii="Arial" w:eastAsia="Times New Roman" w:hAnsi="Arial" w:cs="Arial"/>
                <w:color w:val="000000"/>
                <w:sz w:val="20"/>
                <w:szCs w:val="20"/>
                <w:lang w:eastAsia="en-NZ"/>
              </w:rPr>
              <w:t xml:space="preserve">1. The information included in the above table is based on the monthly property value index. This index is calculated based on the sales data entered into </w:t>
            </w:r>
            <w:proofErr w:type="spellStart"/>
            <w:r w:rsidRPr="001760EB">
              <w:rPr>
                <w:rFonts w:ascii="Arial" w:eastAsia="Times New Roman" w:hAnsi="Arial" w:cs="Arial"/>
                <w:color w:val="000000"/>
                <w:sz w:val="20"/>
                <w:szCs w:val="20"/>
                <w:lang w:eastAsia="en-NZ"/>
              </w:rPr>
              <w:t>PropertyIQ's</w:t>
            </w:r>
            <w:proofErr w:type="spellEnd"/>
            <w:r w:rsidRPr="001760EB">
              <w:rPr>
                <w:rFonts w:ascii="Arial" w:eastAsia="Times New Roman" w:hAnsi="Arial" w:cs="Arial"/>
                <w:color w:val="000000"/>
                <w:sz w:val="20"/>
                <w:szCs w:val="20"/>
                <w:lang w:eastAsia="en-NZ"/>
              </w:rPr>
              <w:t xml:space="preserve"> system in the previous 3 month period. For example, information for the period ending June will be calculated based on sales entered between April 1 and June 30.</w:t>
            </w:r>
          </w:p>
        </w:tc>
      </w:tr>
      <w:tr w:rsidR="001760EB" w:rsidRPr="001760EB" w:rsidTr="001760EB">
        <w:trPr>
          <w:trHeight w:val="765"/>
        </w:trPr>
        <w:tc>
          <w:tcPr>
            <w:tcW w:w="5000" w:type="pct"/>
            <w:gridSpan w:val="6"/>
            <w:shd w:val="clear" w:color="auto" w:fill="auto"/>
            <w:hideMark/>
          </w:tcPr>
          <w:p w:rsidR="001760EB" w:rsidRPr="001760EB" w:rsidRDefault="001760EB" w:rsidP="001760EB">
            <w:pPr>
              <w:spacing w:after="0" w:line="240" w:lineRule="auto"/>
              <w:rPr>
                <w:rFonts w:ascii="Arial" w:eastAsia="Times New Roman" w:hAnsi="Arial" w:cs="Arial"/>
                <w:color w:val="000000"/>
                <w:sz w:val="20"/>
                <w:szCs w:val="20"/>
                <w:lang w:eastAsia="en-NZ"/>
              </w:rPr>
            </w:pPr>
            <w:r w:rsidRPr="001760EB">
              <w:rPr>
                <w:rFonts w:ascii="Arial" w:eastAsia="Times New Roman" w:hAnsi="Arial" w:cs="Arial"/>
                <w:color w:val="000000"/>
                <w:sz w:val="20"/>
                <w:szCs w:val="20"/>
                <w:lang w:eastAsia="en-NZ"/>
              </w:rPr>
              <w:t xml:space="preserve">2. The average current value is the average (mean) value of all developed residential properties in the area based on the latest index. It is not an average or median sales price, as both of </w:t>
            </w:r>
            <w:proofErr w:type="gramStart"/>
            <w:r w:rsidRPr="001760EB">
              <w:rPr>
                <w:rFonts w:ascii="Arial" w:eastAsia="Times New Roman" w:hAnsi="Arial" w:cs="Arial"/>
                <w:color w:val="000000"/>
                <w:sz w:val="20"/>
                <w:szCs w:val="20"/>
                <w:lang w:eastAsia="en-NZ"/>
              </w:rPr>
              <w:t>those only measure</w:t>
            </w:r>
            <w:proofErr w:type="gramEnd"/>
            <w:r w:rsidRPr="001760EB">
              <w:rPr>
                <w:rFonts w:ascii="Arial" w:eastAsia="Times New Roman" w:hAnsi="Arial" w:cs="Arial"/>
                <w:color w:val="000000"/>
                <w:sz w:val="20"/>
                <w:szCs w:val="20"/>
                <w:lang w:eastAsia="en-NZ"/>
              </w:rPr>
              <w:t xml:space="preserve"> what happens to have sold in the period.</w:t>
            </w:r>
          </w:p>
        </w:tc>
      </w:tr>
      <w:tr w:rsidR="001760EB" w:rsidRPr="001760EB" w:rsidTr="001760EB">
        <w:trPr>
          <w:trHeight w:val="555"/>
        </w:trPr>
        <w:tc>
          <w:tcPr>
            <w:tcW w:w="5000" w:type="pct"/>
            <w:gridSpan w:val="6"/>
            <w:shd w:val="clear" w:color="auto" w:fill="auto"/>
            <w:hideMark/>
          </w:tcPr>
          <w:p w:rsidR="001760EB" w:rsidRPr="001760EB" w:rsidRDefault="001760EB" w:rsidP="001760EB">
            <w:pPr>
              <w:spacing w:after="0" w:line="240" w:lineRule="auto"/>
              <w:rPr>
                <w:rFonts w:ascii="Arial" w:eastAsia="Times New Roman" w:hAnsi="Arial" w:cs="Arial"/>
                <w:color w:val="000000"/>
                <w:sz w:val="20"/>
                <w:szCs w:val="20"/>
                <w:lang w:eastAsia="en-NZ"/>
              </w:rPr>
            </w:pPr>
            <w:r w:rsidRPr="001760EB">
              <w:rPr>
                <w:rFonts w:ascii="Arial" w:eastAsia="Times New Roman" w:hAnsi="Arial" w:cs="Arial"/>
                <w:color w:val="000000"/>
                <w:sz w:val="20"/>
                <w:szCs w:val="20"/>
                <w:lang w:eastAsia="en-NZ"/>
              </w:rPr>
              <w:t>3.  The percentage change over three months, twelve months and since the 2007 market peak are based on the change in the property value index between that time and the current.</w:t>
            </w:r>
          </w:p>
        </w:tc>
      </w:tr>
      <w:tr w:rsidR="001760EB" w:rsidRPr="001760EB" w:rsidTr="001760EB">
        <w:trPr>
          <w:trHeight w:val="840"/>
        </w:trPr>
        <w:tc>
          <w:tcPr>
            <w:tcW w:w="5000" w:type="pct"/>
            <w:gridSpan w:val="6"/>
            <w:shd w:val="clear" w:color="auto" w:fill="auto"/>
            <w:hideMark/>
          </w:tcPr>
          <w:p w:rsidR="001760EB" w:rsidRPr="001760EB" w:rsidRDefault="001760EB" w:rsidP="001760EB">
            <w:pPr>
              <w:spacing w:after="0" w:line="240" w:lineRule="auto"/>
              <w:rPr>
                <w:rFonts w:ascii="Arial" w:eastAsia="Times New Roman" w:hAnsi="Arial" w:cs="Arial"/>
                <w:color w:val="000000"/>
                <w:sz w:val="20"/>
                <w:szCs w:val="20"/>
                <w:lang w:eastAsia="en-NZ"/>
              </w:rPr>
            </w:pPr>
            <w:r w:rsidRPr="001760EB">
              <w:rPr>
                <w:rFonts w:ascii="Arial" w:eastAsia="Times New Roman" w:hAnsi="Arial" w:cs="Arial"/>
                <w:color w:val="000000"/>
                <w:sz w:val="20"/>
                <w:szCs w:val="20"/>
                <w:lang w:eastAsia="en-NZ"/>
              </w:rPr>
              <w:t>4. Any of the statistical data shown in italics are calculated based on a sample set of data that is less than the recommended minimum. These results should be used with caution. Those showing N/A had too few sales to generate an index</w:t>
            </w:r>
          </w:p>
        </w:tc>
      </w:tr>
    </w:tbl>
    <w:p w:rsidR="00264FBE" w:rsidRDefault="00264FBE" w:rsidP="00092AE6">
      <w:pPr>
        <w:spacing w:after="0"/>
      </w:pPr>
    </w:p>
    <w:p w:rsidR="00264FBE" w:rsidRDefault="00264FBE">
      <w:pPr>
        <w:spacing w:after="0" w:line="240" w:lineRule="auto"/>
      </w:pPr>
      <w:r>
        <w:br w:type="page"/>
      </w:r>
    </w:p>
    <w:p w:rsidR="00442230" w:rsidRDefault="00374385" w:rsidP="00092AE6">
      <w:pPr>
        <w:spacing w:after="0"/>
      </w:pPr>
      <w:r w:rsidRPr="00374385">
        <w:rPr>
          <w:noProof/>
          <w:lang w:eastAsia="en-NZ"/>
        </w:rPr>
        <w:lastRenderedPageBreak/>
        <w:drawing>
          <wp:inline distT="0" distB="0" distL="0" distR="0">
            <wp:extent cx="2660752" cy="2276475"/>
            <wp:effectExtent l="19050" t="0" r="6248"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660752" cy="2276475"/>
                    </a:xfrm>
                    <a:prstGeom prst="rect">
                      <a:avLst/>
                    </a:prstGeom>
                    <a:noFill/>
                    <a:ln w="9525">
                      <a:noFill/>
                      <a:miter lim="800000"/>
                      <a:headEnd/>
                      <a:tailEnd/>
                    </a:ln>
                  </pic:spPr>
                </pic:pic>
              </a:graphicData>
            </a:graphic>
          </wp:inline>
        </w:drawing>
      </w:r>
      <w:r w:rsidRPr="00374385">
        <w:rPr>
          <w:noProof/>
          <w:lang w:eastAsia="en-NZ"/>
        </w:rPr>
        <w:drawing>
          <wp:inline distT="0" distB="0" distL="0" distR="0">
            <wp:extent cx="2650438" cy="2266950"/>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650438" cy="2266950"/>
                    </a:xfrm>
                    <a:prstGeom prst="rect">
                      <a:avLst/>
                    </a:prstGeom>
                    <a:noFill/>
                    <a:ln w="9525">
                      <a:noFill/>
                      <a:miter lim="800000"/>
                      <a:headEnd/>
                      <a:tailEnd/>
                    </a:ln>
                  </pic:spPr>
                </pic:pic>
              </a:graphicData>
            </a:graphic>
          </wp:inline>
        </w:drawing>
      </w:r>
    </w:p>
    <w:p w:rsidR="00374385" w:rsidRDefault="00374385" w:rsidP="00092AE6">
      <w:pPr>
        <w:spacing w:after="0"/>
      </w:pPr>
    </w:p>
    <w:p w:rsidR="00374385" w:rsidRDefault="00374385" w:rsidP="00092AE6">
      <w:pPr>
        <w:spacing w:after="0"/>
      </w:pPr>
      <w:r w:rsidRPr="00374385">
        <w:rPr>
          <w:noProof/>
          <w:lang w:eastAsia="en-NZ"/>
        </w:rPr>
        <w:drawing>
          <wp:inline distT="0" distB="0" distL="0" distR="0">
            <wp:extent cx="2661285" cy="2276931"/>
            <wp:effectExtent l="19050" t="0" r="571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2661285" cy="2276931"/>
                    </a:xfrm>
                    <a:prstGeom prst="rect">
                      <a:avLst/>
                    </a:prstGeom>
                    <a:noFill/>
                    <a:ln w="9525">
                      <a:noFill/>
                      <a:miter lim="800000"/>
                      <a:headEnd/>
                      <a:tailEnd/>
                    </a:ln>
                  </pic:spPr>
                </pic:pic>
              </a:graphicData>
            </a:graphic>
          </wp:inline>
        </w:drawing>
      </w:r>
      <w:r w:rsidRPr="00374385">
        <w:rPr>
          <w:noProof/>
          <w:lang w:eastAsia="en-NZ"/>
        </w:rPr>
        <w:drawing>
          <wp:inline distT="0" distB="0" distL="0" distR="0">
            <wp:extent cx="2605088" cy="2228850"/>
            <wp:effectExtent l="19050" t="0" r="4762"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2605088" cy="2228850"/>
                    </a:xfrm>
                    <a:prstGeom prst="rect">
                      <a:avLst/>
                    </a:prstGeom>
                    <a:noFill/>
                    <a:ln w="9525">
                      <a:noFill/>
                      <a:miter lim="800000"/>
                      <a:headEnd/>
                      <a:tailEnd/>
                    </a:ln>
                  </pic:spPr>
                </pic:pic>
              </a:graphicData>
            </a:graphic>
          </wp:inline>
        </w:drawing>
      </w:r>
    </w:p>
    <w:p w:rsidR="00374385" w:rsidRDefault="00374385" w:rsidP="00092AE6">
      <w:pPr>
        <w:spacing w:after="0"/>
      </w:pPr>
    </w:p>
    <w:p w:rsidR="00374385" w:rsidRDefault="00374385" w:rsidP="00092AE6">
      <w:pPr>
        <w:spacing w:after="0"/>
      </w:pPr>
      <w:r w:rsidRPr="00374385">
        <w:rPr>
          <w:noProof/>
          <w:lang w:eastAsia="en-NZ"/>
        </w:rPr>
        <w:drawing>
          <wp:inline distT="0" distB="0" distL="0" distR="0">
            <wp:extent cx="2661285" cy="2281101"/>
            <wp:effectExtent l="19050" t="0" r="5715"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2661285" cy="2281101"/>
                    </a:xfrm>
                    <a:prstGeom prst="rect">
                      <a:avLst/>
                    </a:prstGeom>
                    <a:noFill/>
                    <a:ln w="9525">
                      <a:noFill/>
                      <a:miter lim="800000"/>
                      <a:headEnd/>
                      <a:tailEnd/>
                    </a:ln>
                  </pic:spPr>
                </pic:pic>
              </a:graphicData>
            </a:graphic>
          </wp:inline>
        </w:drawing>
      </w:r>
      <w:r w:rsidRPr="00374385">
        <w:rPr>
          <w:noProof/>
          <w:lang w:eastAsia="en-NZ"/>
        </w:rPr>
        <w:drawing>
          <wp:inline distT="0" distB="0" distL="0" distR="0">
            <wp:extent cx="2605893" cy="2228850"/>
            <wp:effectExtent l="19050" t="0" r="3957"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2605893" cy="2228850"/>
                    </a:xfrm>
                    <a:prstGeom prst="rect">
                      <a:avLst/>
                    </a:prstGeom>
                    <a:noFill/>
                    <a:ln w="9525">
                      <a:noFill/>
                      <a:miter lim="800000"/>
                      <a:headEnd/>
                      <a:tailEnd/>
                    </a:ln>
                  </pic:spPr>
                </pic:pic>
              </a:graphicData>
            </a:graphic>
          </wp:inline>
        </w:drawing>
      </w:r>
    </w:p>
    <w:sectPr w:rsidR="00374385" w:rsidSect="00661390">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3275"/>
    <w:multiLevelType w:val="hybridMultilevel"/>
    <w:tmpl w:val="CD4092B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B614164"/>
    <w:multiLevelType w:val="hybridMultilevel"/>
    <w:tmpl w:val="A8AC4A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E6F222C"/>
    <w:multiLevelType w:val="hybridMultilevel"/>
    <w:tmpl w:val="3BB8591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547259C1"/>
    <w:multiLevelType w:val="hybridMultilevel"/>
    <w:tmpl w:val="13C48C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690F29E6"/>
    <w:multiLevelType w:val="hybridMultilevel"/>
    <w:tmpl w:val="3CBC87D2"/>
    <w:lvl w:ilvl="0" w:tplc="74D46CD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compat/>
  <w:rsids>
    <w:rsidRoot w:val="002D4221"/>
    <w:rsid w:val="00001D32"/>
    <w:rsid w:val="000050F0"/>
    <w:rsid w:val="00005B6D"/>
    <w:rsid w:val="00007F9D"/>
    <w:rsid w:val="00012A60"/>
    <w:rsid w:val="00014DD5"/>
    <w:rsid w:val="00016FEE"/>
    <w:rsid w:val="00027B27"/>
    <w:rsid w:val="00030C0C"/>
    <w:rsid w:val="00031B27"/>
    <w:rsid w:val="00035914"/>
    <w:rsid w:val="0003737F"/>
    <w:rsid w:val="00045F58"/>
    <w:rsid w:val="00047456"/>
    <w:rsid w:val="000507BC"/>
    <w:rsid w:val="000534A3"/>
    <w:rsid w:val="0005510D"/>
    <w:rsid w:val="0006250A"/>
    <w:rsid w:val="00066E0D"/>
    <w:rsid w:val="00073A93"/>
    <w:rsid w:val="00075034"/>
    <w:rsid w:val="00076E15"/>
    <w:rsid w:val="00080607"/>
    <w:rsid w:val="00081156"/>
    <w:rsid w:val="00083345"/>
    <w:rsid w:val="00086027"/>
    <w:rsid w:val="00092518"/>
    <w:rsid w:val="00092AE6"/>
    <w:rsid w:val="00094231"/>
    <w:rsid w:val="0009757A"/>
    <w:rsid w:val="000A697D"/>
    <w:rsid w:val="000A74D9"/>
    <w:rsid w:val="000A774B"/>
    <w:rsid w:val="000B372C"/>
    <w:rsid w:val="000B6462"/>
    <w:rsid w:val="000B65FC"/>
    <w:rsid w:val="000C1445"/>
    <w:rsid w:val="000C4DDD"/>
    <w:rsid w:val="000D085F"/>
    <w:rsid w:val="000D3918"/>
    <w:rsid w:val="000D740D"/>
    <w:rsid w:val="000E1532"/>
    <w:rsid w:val="000F5CCC"/>
    <w:rsid w:val="000F7C0F"/>
    <w:rsid w:val="000F7CC2"/>
    <w:rsid w:val="00110B5C"/>
    <w:rsid w:val="00111B71"/>
    <w:rsid w:val="0011207A"/>
    <w:rsid w:val="00113A7B"/>
    <w:rsid w:val="001178B0"/>
    <w:rsid w:val="00117912"/>
    <w:rsid w:val="00123D98"/>
    <w:rsid w:val="00126A59"/>
    <w:rsid w:val="00127352"/>
    <w:rsid w:val="001345C7"/>
    <w:rsid w:val="0014530B"/>
    <w:rsid w:val="0014723D"/>
    <w:rsid w:val="001474AC"/>
    <w:rsid w:val="0015052C"/>
    <w:rsid w:val="0015280A"/>
    <w:rsid w:val="00153A90"/>
    <w:rsid w:val="00153CFC"/>
    <w:rsid w:val="001558BE"/>
    <w:rsid w:val="00156402"/>
    <w:rsid w:val="00164BA6"/>
    <w:rsid w:val="00165BE1"/>
    <w:rsid w:val="001671E8"/>
    <w:rsid w:val="001760EB"/>
    <w:rsid w:val="00184A70"/>
    <w:rsid w:val="00191785"/>
    <w:rsid w:val="00193B66"/>
    <w:rsid w:val="001959EB"/>
    <w:rsid w:val="001A0DCD"/>
    <w:rsid w:val="001A0FFB"/>
    <w:rsid w:val="001A2CC2"/>
    <w:rsid w:val="001A4C46"/>
    <w:rsid w:val="001B2F68"/>
    <w:rsid w:val="001B6C3F"/>
    <w:rsid w:val="001B7F73"/>
    <w:rsid w:val="001C1153"/>
    <w:rsid w:val="001C3538"/>
    <w:rsid w:val="001C61CF"/>
    <w:rsid w:val="001D1BE5"/>
    <w:rsid w:val="001D7DFF"/>
    <w:rsid w:val="001E5F70"/>
    <w:rsid w:val="001F1837"/>
    <w:rsid w:val="001F6A79"/>
    <w:rsid w:val="00207AF3"/>
    <w:rsid w:val="002111DB"/>
    <w:rsid w:val="00211995"/>
    <w:rsid w:val="00216B02"/>
    <w:rsid w:val="00221616"/>
    <w:rsid w:val="0023172C"/>
    <w:rsid w:val="00232259"/>
    <w:rsid w:val="00232935"/>
    <w:rsid w:val="00233F46"/>
    <w:rsid w:val="002343C8"/>
    <w:rsid w:val="00237901"/>
    <w:rsid w:val="002407E0"/>
    <w:rsid w:val="00241704"/>
    <w:rsid w:val="002421F6"/>
    <w:rsid w:val="0024384A"/>
    <w:rsid w:val="0024480B"/>
    <w:rsid w:val="00244D66"/>
    <w:rsid w:val="00244F68"/>
    <w:rsid w:val="00245EC4"/>
    <w:rsid w:val="00245F3B"/>
    <w:rsid w:val="00247066"/>
    <w:rsid w:val="00250FB8"/>
    <w:rsid w:val="002529BF"/>
    <w:rsid w:val="00264FBE"/>
    <w:rsid w:val="00266E33"/>
    <w:rsid w:val="00272502"/>
    <w:rsid w:val="00273AB1"/>
    <w:rsid w:val="00274A2D"/>
    <w:rsid w:val="00282980"/>
    <w:rsid w:val="002850D4"/>
    <w:rsid w:val="002860B3"/>
    <w:rsid w:val="00296D07"/>
    <w:rsid w:val="002A125F"/>
    <w:rsid w:val="002A3E69"/>
    <w:rsid w:val="002B74E3"/>
    <w:rsid w:val="002B7E5C"/>
    <w:rsid w:val="002C0CCC"/>
    <w:rsid w:val="002C5B6A"/>
    <w:rsid w:val="002C7C62"/>
    <w:rsid w:val="002D0ADB"/>
    <w:rsid w:val="002D4221"/>
    <w:rsid w:val="002D425E"/>
    <w:rsid w:val="002E4391"/>
    <w:rsid w:val="002F43C8"/>
    <w:rsid w:val="002F4897"/>
    <w:rsid w:val="002F5BD7"/>
    <w:rsid w:val="00301B94"/>
    <w:rsid w:val="00302D14"/>
    <w:rsid w:val="00305626"/>
    <w:rsid w:val="003131DE"/>
    <w:rsid w:val="003132E2"/>
    <w:rsid w:val="00314E4B"/>
    <w:rsid w:val="00315988"/>
    <w:rsid w:val="00316F9D"/>
    <w:rsid w:val="0031790E"/>
    <w:rsid w:val="00320C14"/>
    <w:rsid w:val="00320ECB"/>
    <w:rsid w:val="00322F1F"/>
    <w:rsid w:val="00325B01"/>
    <w:rsid w:val="003263DD"/>
    <w:rsid w:val="00327D1C"/>
    <w:rsid w:val="003312E7"/>
    <w:rsid w:val="00331715"/>
    <w:rsid w:val="00336F39"/>
    <w:rsid w:val="00351654"/>
    <w:rsid w:val="0035196E"/>
    <w:rsid w:val="00351B45"/>
    <w:rsid w:val="00354F07"/>
    <w:rsid w:val="00356AB1"/>
    <w:rsid w:val="003575A5"/>
    <w:rsid w:val="00357E9B"/>
    <w:rsid w:val="00361DB6"/>
    <w:rsid w:val="00367093"/>
    <w:rsid w:val="00374385"/>
    <w:rsid w:val="0037740C"/>
    <w:rsid w:val="00383A07"/>
    <w:rsid w:val="00385C3A"/>
    <w:rsid w:val="0039380B"/>
    <w:rsid w:val="00394B8B"/>
    <w:rsid w:val="00395115"/>
    <w:rsid w:val="003958FE"/>
    <w:rsid w:val="00397C97"/>
    <w:rsid w:val="003A08AB"/>
    <w:rsid w:val="003A5E90"/>
    <w:rsid w:val="003A7E5E"/>
    <w:rsid w:val="003B0448"/>
    <w:rsid w:val="003B26B2"/>
    <w:rsid w:val="003B378C"/>
    <w:rsid w:val="003C1418"/>
    <w:rsid w:val="003C4A77"/>
    <w:rsid w:val="003C5492"/>
    <w:rsid w:val="003D2095"/>
    <w:rsid w:val="003D61AE"/>
    <w:rsid w:val="003D7BE5"/>
    <w:rsid w:val="003E00DB"/>
    <w:rsid w:val="003E4A7A"/>
    <w:rsid w:val="003E6E33"/>
    <w:rsid w:val="003E77A5"/>
    <w:rsid w:val="003F032C"/>
    <w:rsid w:val="003F766D"/>
    <w:rsid w:val="0040011C"/>
    <w:rsid w:val="004007F2"/>
    <w:rsid w:val="00407F3C"/>
    <w:rsid w:val="004112FE"/>
    <w:rsid w:val="00414FF3"/>
    <w:rsid w:val="00426631"/>
    <w:rsid w:val="00426E65"/>
    <w:rsid w:val="00442230"/>
    <w:rsid w:val="00446931"/>
    <w:rsid w:val="004526D2"/>
    <w:rsid w:val="004539F9"/>
    <w:rsid w:val="00455377"/>
    <w:rsid w:val="00464E22"/>
    <w:rsid w:val="00466575"/>
    <w:rsid w:val="004723E7"/>
    <w:rsid w:val="00477D89"/>
    <w:rsid w:val="00481070"/>
    <w:rsid w:val="00481934"/>
    <w:rsid w:val="00490CE8"/>
    <w:rsid w:val="00496A68"/>
    <w:rsid w:val="00497794"/>
    <w:rsid w:val="004A0135"/>
    <w:rsid w:val="004A20AF"/>
    <w:rsid w:val="004A4770"/>
    <w:rsid w:val="004A51A4"/>
    <w:rsid w:val="004A7827"/>
    <w:rsid w:val="004B1479"/>
    <w:rsid w:val="004B1992"/>
    <w:rsid w:val="004B3D4C"/>
    <w:rsid w:val="004B58C9"/>
    <w:rsid w:val="004B6924"/>
    <w:rsid w:val="004C22D0"/>
    <w:rsid w:val="004C2778"/>
    <w:rsid w:val="004C2BD5"/>
    <w:rsid w:val="004C3C75"/>
    <w:rsid w:val="004D104E"/>
    <w:rsid w:val="004D325A"/>
    <w:rsid w:val="004D57C7"/>
    <w:rsid w:val="004E1630"/>
    <w:rsid w:val="004E24FA"/>
    <w:rsid w:val="004F2318"/>
    <w:rsid w:val="004F4CED"/>
    <w:rsid w:val="00500E76"/>
    <w:rsid w:val="00503E39"/>
    <w:rsid w:val="0050647C"/>
    <w:rsid w:val="005064DA"/>
    <w:rsid w:val="00507728"/>
    <w:rsid w:val="00512A93"/>
    <w:rsid w:val="00512FEB"/>
    <w:rsid w:val="00513B8B"/>
    <w:rsid w:val="005142EA"/>
    <w:rsid w:val="00521D45"/>
    <w:rsid w:val="00526638"/>
    <w:rsid w:val="00531BDC"/>
    <w:rsid w:val="005350E8"/>
    <w:rsid w:val="00536749"/>
    <w:rsid w:val="005376EA"/>
    <w:rsid w:val="005410D8"/>
    <w:rsid w:val="00545336"/>
    <w:rsid w:val="00545C25"/>
    <w:rsid w:val="005541AA"/>
    <w:rsid w:val="0056099F"/>
    <w:rsid w:val="00560D87"/>
    <w:rsid w:val="00561AC3"/>
    <w:rsid w:val="00562F82"/>
    <w:rsid w:val="00566A54"/>
    <w:rsid w:val="00573D9E"/>
    <w:rsid w:val="00577483"/>
    <w:rsid w:val="005862F0"/>
    <w:rsid w:val="00595EBA"/>
    <w:rsid w:val="005B05EB"/>
    <w:rsid w:val="005B166B"/>
    <w:rsid w:val="005C23EC"/>
    <w:rsid w:val="005F4535"/>
    <w:rsid w:val="006000E3"/>
    <w:rsid w:val="006024F1"/>
    <w:rsid w:val="0060353F"/>
    <w:rsid w:val="00606C3B"/>
    <w:rsid w:val="0061589A"/>
    <w:rsid w:val="00620411"/>
    <w:rsid w:val="00620617"/>
    <w:rsid w:val="00620BAD"/>
    <w:rsid w:val="0062496E"/>
    <w:rsid w:val="00630158"/>
    <w:rsid w:val="00631B7D"/>
    <w:rsid w:val="006323EA"/>
    <w:rsid w:val="00634650"/>
    <w:rsid w:val="006358BB"/>
    <w:rsid w:val="00635E7C"/>
    <w:rsid w:val="00637A97"/>
    <w:rsid w:val="0064007A"/>
    <w:rsid w:val="006405D0"/>
    <w:rsid w:val="00644104"/>
    <w:rsid w:val="00646270"/>
    <w:rsid w:val="006544E3"/>
    <w:rsid w:val="00655F4B"/>
    <w:rsid w:val="00657E93"/>
    <w:rsid w:val="00661390"/>
    <w:rsid w:val="00661A7D"/>
    <w:rsid w:val="0066579E"/>
    <w:rsid w:val="0066623E"/>
    <w:rsid w:val="006671D1"/>
    <w:rsid w:val="0067015E"/>
    <w:rsid w:val="006711A3"/>
    <w:rsid w:val="00681235"/>
    <w:rsid w:val="006813DC"/>
    <w:rsid w:val="00682CA1"/>
    <w:rsid w:val="00684A2B"/>
    <w:rsid w:val="006850DB"/>
    <w:rsid w:val="00690F4E"/>
    <w:rsid w:val="0069176E"/>
    <w:rsid w:val="006B0A97"/>
    <w:rsid w:val="006B6328"/>
    <w:rsid w:val="006C0F63"/>
    <w:rsid w:val="006C21AE"/>
    <w:rsid w:val="006C23EF"/>
    <w:rsid w:val="006C3224"/>
    <w:rsid w:val="006C6DAA"/>
    <w:rsid w:val="006D09A7"/>
    <w:rsid w:val="006D482F"/>
    <w:rsid w:val="006D71C3"/>
    <w:rsid w:val="006E04CF"/>
    <w:rsid w:val="006E2D33"/>
    <w:rsid w:val="006F321D"/>
    <w:rsid w:val="006F750D"/>
    <w:rsid w:val="007001D3"/>
    <w:rsid w:val="00700352"/>
    <w:rsid w:val="00703969"/>
    <w:rsid w:val="007048B0"/>
    <w:rsid w:val="00705656"/>
    <w:rsid w:val="00707D9D"/>
    <w:rsid w:val="007114B8"/>
    <w:rsid w:val="00724E81"/>
    <w:rsid w:val="00731222"/>
    <w:rsid w:val="00733154"/>
    <w:rsid w:val="007353D1"/>
    <w:rsid w:val="0073704E"/>
    <w:rsid w:val="00741CCB"/>
    <w:rsid w:val="00741D2F"/>
    <w:rsid w:val="00744E12"/>
    <w:rsid w:val="00751917"/>
    <w:rsid w:val="00752A0C"/>
    <w:rsid w:val="00752A91"/>
    <w:rsid w:val="007537D5"/>
    <w:rsid w:val="0075497E"/>
    <w:rsid w:val="007718D7"/>
    <w:rsid w:val="00773C02"/>
    <w:rsid w:val="00774807"/>
    <w:rsid w:val="00776015"/>
    <w:rsid w:val="00784973"/>
    <w:rsid w:val="00795D35"/>
    <w:rsid w:val="007A0349"/>
    <w:rsid w:val="007B1E2D"/>
    <w:rsid w:val="007B4976"/>
    <w:rsid w:val="007C1881"/>
    <w:rsid w:val="007C2FA4"/>
    <w:rsid w:val="007C3155"/>
    <w:rsid w:val="007C6863"/>
    <w:rsid w:val="007D3480"/>
    <w:rsid w:val="007D38F5"/>
    <w:rsid w:val="007D5677"/>
    <w:rsid w:val="007D6FD0"/>
    <w:rsid w:val="007E3E4E"/>
    <w:rsid w:val="007F044B"/>
    <w:rsid w:val="007F36B4"/>
    <w:rsid w:val="007F4339"/>
    <w:rsid w:val="007F4CEE"/>
    <w:rsid w:val="007F7D9C"/>
    <w:rsid w:val="008011CE"/>
    <w:rsid w:val="008014C4"/>
    <w:rsid w:val="00806C29"/>
    <w:rsid w:val="00821BB7"/>
    <w:rsid w:val="00827C1E"/>
    <w:rsid w:val="00831F25"/>
    <w:rsid w:val="00836724"/>
    <w:rsid w:val="00841D33"/>
    <w:rsid w:val="00847121"/>
    <w:rsid w:val="00850575"/>
    <w:rsid w:val="00864F63"/>
    <w:rsid w:val="0087327B"/>
    <w:rsid w:val="00877CB9"/>
    <w:rsid w:val="00885646"/>
    <w:rsid w:val="0088688B"/>
    <w:rsid w:val="0089477D"/>
    <w:rsid w:val="00897A49"/>
    <w:rsid w:val="008A3215"/>
    <w:rsid w:val="008B0291"/>
    <w:rsid w:val="008B0C31"/>
    <w:rsid w:val="008C0C0F"/>
    <w:rsid w:val="008C3AA7"/>
    <w:rsid w:val="008C5625"/>
    <w:rsid w:val="008C6DD1"/>
    <w:rsid w:val="008D3855"/>
    <w:rsid w:val="008D65E7"/>
    <w:rsid w:val="008D78F4"/>
    <w:rsid w:val="008D7D32"/>
    <w:rsid w:val="008E0837"/>
    <w:rsid w:val="008E0BCB"/>
    <w:rsid w:val="008E6975"/>
    <w:rsid w:val="008F0D15"/>
    <w:rsid w:val="008F52BF"/>
    <w:rsid w:val="008F7E0F"/>
    <w:rsid w:val="009002DB"/>
    <w:rsid w:val="0091096D"/>
    <w:rsid w:val="009109C3"/>
    <w:rsid w:val="00910B79"/>
    <w:rsid w:val="00911A02"/>
    <w:rsid w:val="00911BAD"/>
    <w:rsid w:val="009145AE"/>
    <w:rsid w:val="00920402"/>
    <w:rsid w:val="009337ED"/>
    <w:rsid w:val="00935C15"/>
    <w:rsid w:val="00936E35"/>
    <w:rsid w:val="00937512"/>
    <w:rsid w:val="0093754B"/>
    <w:rsid w:val="00947C93"/>
    <w:rsid w:val="00953906"/>
    <w:rsid w:val="00960AE5"/>
    <w:rsid w:val="009644B2"/>
    <w:rsid w:val="0097219F"/>
    <w:rsid w:val="00976A18"/>
    <w:rsid w:val="00976D13"/>
    <w:rsid w:val="00980C60"/>
    <w:rsid w:val="009833FB"/>
    <w:rsid w:val="00984A4E"/>
    <w:rsid w:val="00996F72"/>
    <w:rsid w:val="00997117"/>
    <w:rsid w:val="009A0AD3"/>
    <w:rsid w:val="009A39FB"/>
    <w:rsid w:val="009A44D3"/>
    <w:rsid w:val="009B1626"/>
    <w:rsid w:val="009B406D"/>
    <w:rsid w:val="009E1E4A"/>
    <w:rsid w:val="009F0628"/>
    <w:rsid w:val="00A073BC"/>
    <w:rsid w:val="00A131EE"/>
    <w:rsid w:val="00A15CFA"/>
    <w:rsid w:val="00A15ED8"/>
    <w:rsid w:val="00A2014D"/>
    <w:rsid w:val="00A211EE"/>
    <w:rsid w:val="00A238CE"/>
    <w:rsid w:val="00A251CB"/>
    <w:rsid w:val="00A268C2"/>
    <w:rsid w:val="00A32A0B"/>
    <w:rsid w:val="00A32D95"/>
    <w:rsid w:val="00A348F9"/>
    <w:rsid w:val="00A36E6D"/>
    <w:rsid w:val="00A37AD6"/>
    <w:rsid w:val="00A408F9"/>
    <w:rsid w:val="00A41EBA"/>
    <w:rsid w:val="00A47C11"/>
    <w:rsid w:val="00A50583"/>
    <w:rsid w:val="00A51A55"/>
    <w:rsid w:val="00A527B2"/>
    <w:rsid w:val="00A52C55"/>
    <w:rsid w:val="00A704FE"/>
    <w:rsid w:val="00A725F3"/>
    <w:rsid w:val="00A90295"/>
    <w:rsid w:val="00A9144E"/>
    <w:rsid w:val="00A938D4"/>
    <w:rsid w:val="00A951FC"/>
    <w:rsid w:val="00A959B5"/>
    <w:rsid w:val="00AA57C3"/>
    <w:rsid w:val="00AB0491"/>
    <w:rsid w:val="00AB7684"/>
    <w:rsid w:val="00AC2608"/>
    <w:rsid w:val="00AC2865"/>
    <w:rsid w:val="00AC2980"/>
    <w:rsid w:val="00AC77D6"/>
    <w:rsid w:val="00AD04D6"/>
    <w:rsid w:val="00AD0D99"/>
    <w:rsid w:val="00AD4179"/>
    <w:rsid w:val="00AD4CD4"/>
    <w:rsid w:val="00AE7CB4"/>
    <w:rsid w:val="00AF361D"/>
    <w:rsid w:val="00B00048"/>
    <w:rsid w:val="00B048F2"/>
    <w:rsid w:val="00B079C9"/>
    <w:rsid w:val="00B11C1D"/>
    <w:rsid w:val="00B20736"/>
    <w:rsid w:val="00B222E6"/>
    <w:rsid w:val="00B31928"/>
    <w:rsid w:val="00B32471"/>
    <w:rsid w:val="00B3267D"/>
    <w:rsid w:val="00B326F3"/>
    <w:rsid w:val="00B33060"/>
    <w:rsid w:val="00B35F86"/>
    <w:rsid w:val="00B362B7"/>
    <w:rsid w:val="00B3646E"/>
    <w:rsid w:val="00B40D58"/>
    <w:rsid w:val="00B41088"/>
    <w:rsid w:val="00B46A36"/>
    <w:rsid w:val="00B532FF"/>
    <w:rsid w:val="00B54111"/>
    <w:rsid w:val="00B550EC"/>
    <w:rsid w:val="00B55772"/>
    <w:rsid w:val="00B57313"/>
    <w:rsid w:val="00B60E5D"/>
    <w:rsid w:val="00B64645"/>
    <w:rsid w:val="00B65841"/>
    <w:rsid w:val="00B74F91"/>
    <w:rsid w:val="00B82B52"/>
    <w:rsid w:val="00B9065E"/>
    <w:rsid w:val="00B9580C"/>
    <w:rsid w:val="00B96B6C"/>
    <w:rsid w:val="00BA186F"/>
    <w:rsid w:val="00BA1C3E"/>
    <w:rsid w:val="00BB21FD"/>
    <w:rsid w:val="00BB5768"/>
    <w:rsid w:val="00BC3E4C"/>
    <w:rsid w:val="00BC514D"/>
    <w:rsid w:val="00BC5B66"/>
    <w:rsid w:val="00BD384D"/>
    <w:rsid w:val="00BE07AD"/>
    <w:rsid w:val="00BF0047"/>
    <w:rsid w:val="00BF170C"/>
    <w:rsid w:val="00C0367C"/>
    <w:rsid w:val="00C160A0"/>
    <w:rsid w:val="00C2479A"/>
    <w:rsid w:val="00C306A1"/>
    <w:rsid w:val="00C3603F"/>
    <w:rsid w:val="00C3622A"/>
    <w:rsid w:val="00C400C5"/>
    <w:rsid w:val="00C40111"/>
    <w:rsid w:val="00C451D1"/>
    <w:rsid w:val="00C461D7"/>
    <w:rsid w:val="00C50DFC"/>
    <w:rsid w:val="00C517CD"/>
    <w:rsid w:val="00C51E28"/>
    <w:rsid w:val="00C541D4"/>
    <w:rsid w:val="00C57EF2"/>
    <w:rsid w:val="00C64BD2"/>
    <w:rsid w:val="00C72E0B"/>
    <w:rsid w:val="00C73F61"/>
    <w:rsid w:val="00C756B2"/>
    <w:rsid w:val="00C77B85"/>
    <w:rsid w:val="00C804DF"/>
    <w:rsid w:val="00C805AA"/>
    <w:rsid w:val="00C8211A"/>
    <w:rsid w:val="00C82F35"/>
    <w:rsid w:val="00C82FDD"/>
    <w:rsid w:val="00C83B54"/>
    <w:rsid w:val="00C942E3"/>
    <w:rsid w:val="00CA0FB8"/>
    <w:rsid w:val="00CA5FD1"/>
    <w:rsid w:val="00CA6FF8"/>
    <w:rsid w:val="00CA7AAB"/>
    <w:rsid w:val="00CB210F"/>
    <w:rsid w:val="00CB4ADF"/>
    <w:rsid w:val="00CC0324"/>
    <w:rsid w:val="00CC0452"/>
    <w:rsid w:val="00CC0DF1"/>
    <w:rsid w:val="00CC0F43"/>
    <w:rsid w:val="00CC1462"/>
    <w:rsid w:val="00CC45E1"/>
    <w:rsid w:val="00CC5619"/>
    <w:rsid w:val="00CD1094"/>
    <w:rsid w:val="00CD114A"/>
    <w:rsid w:val="00CD62BB"/>
    <w:rsid w:val="00CE2DC5"/>
    <w:rsid w:val="00CE7470"/>
    <w:rsid w:val="00CE77DA"/>
    <w:rsid w:val="00CF0BA1"/>
    <w:rsid w:val="00CF46D2"/>
    <w:rsid w:val="00D0225A"/>
    <w:rsid w:val="00D06509"/>
    <w:rsid w:val="00D07347"/>
    <w:rsid w:val="00D07936"/>
    <w:rsid w:val="00D102A9"/>
    <w:rsid w:val="00D108BC"/>
    <w:rsid w:val="00D11FC4"/>
    <w:rsid w:val="00D1214C"/>
    <w:rsid w:val="00D124E0"/>
    <w:rsid w:val="00D15ACA"/>
    <w:rsid w:val="00D202AE"/>
    <w:rsid w:val="00D254D4"/>
    <w:rsid w:val="00D25B1D"/>
    <w:rsid w:val="00D26D8B"/>
    <w:rsid w:val="00D32A2C"/>
    <w:rsid w:val="00D336CB"/>
    <w:rsid w:val="00D35918"/>
    <w:rsid w:val="00D41CF5"/>
    <w:rsid w:val="00D50A26"/>
    <w:rsid w:val="00D57B73"/>
    <w:rsid w:val="00D6273C"/>
    <w:rsid w:val="00D72259"/>
    <w:rsid w:val="00D74D5E"/>
    <w:rsid w:val="00D77589"/>
    <w:rsid w:val="00D8341D"/>
    <w:rsid w:val="00D835D5"/>
    <w:rsid w:val="00D83C6F"/>
    <w:rsid w:val="00D84527"/>
    <w:rsid w:val="00D85868"/>
    <w:rsid w:val="00D9639A"/>
    <w:rsid w:val="00D96C4A"/>
    <w:rsid w:val="00D979C6"/>
    <w:rsid w:val="00D97B7C"/>
    <w:rsid w:val="00DA0E85"/>
    <w:rsid w:val="00DB0CD5"/>
    <w:rsid w:val="00DB1524"/>
    <w:rsid w:val="00DB1DE6"/>
    <w:rsid w:val="00DB3C9D"/>
    <w:rsid w:val="00DB74C6"/>
    <w:rsid w:val="00DC13A6"/>
    <w:rsid w:val="00DC164A"/>
    <w:rsid w:val="00DC3F36"/>
    <w:rsid w:val="00DC553E"/>
    <w:rsid w:val="00DC5B32"/>
    <w:rsid w:val="00DD1E3D"/>
    <w:rsid w:val="00DD231F"/>
    <w:rsid w:val="00DD34E0"/>
    <w:rsid w:val="00DD7120"/>
    <w:rsid w:val="00DE00C7"/>
    <w:rsid w:val="00DE053A"/>
    <w:rsid w:val="00DE3853"/>
    <w:rsid w:val="00DE59F6"/>
    <w:rsid w:val="00DE62EE"/>
    <w:rsid w:val="00E0004F"/>
    <w:rsid w:val="00E01226"/>
    <w:rsid w:val="00E029D5"/>
    <w:rsid w:val="00E03FCC"/>
    <w:rsid w:val="00E042AD"/>
    <w:rsid w:val="00E071CA"/>
    <w:rsid w:val="00E07E03"/>
    <w:rsid w:val="00E11329"/>
    <w:rsid w:val="00E14E2A"/>
    <w:rsid w:val="00E15D14"/>
    <w:rsid w:val="00E20DA1"/>
    <w:rsid w:val="00E22417"/>
    <w:rsid w:val="00E23928"/>
    <w:rsid w:val="00E33334"/>
    <w:rsid w:val="00E33356"/>
    <w:rsid w:val="00E42878"/>
    <w:rsid w:val="00E43BC6"/>
    <w:rsid w:val="00E47BF0"/>
    <w:rsid w:val="00E500BF"/>
    <w:rsid w:val="00E51DCD"/>
    <w:rsid w:val="00E64638"/>
    <w:rsid w:val="00E7020E"/>
    <w:rsid w:val="00E7406A"/>
    <w:rsid w:val="00E81447"/>
    <w:rsid w:val="00E92D22"/>
    <w:rsid w:val="00E95D15"/>
    <w:rsid w:val="00E96762"/>
    <w:rsid w:val="00EB0597"/>
    <w:rsid w:val="00EB4C88"/>
    <w:rsid w:val="00EC1555"/>
    <w:rsid w:val="00EC3BA7"/>
    <w:rsid w:val="00EC49EE"/>
    <w:rsid w:val="00EC49F7"/>
    <w:rsid w:val="00EC4AA1"/>
    <w:rsid w:val="00EC5115"/>
    <w:rsid w:val="00EC5E9D"/>
    <w:rsid w:val="00EC7316"/>
    <w:rsid w:val="00EC7473"/>
    <w:rsid w:val="00ED1DD3"/>
    <w:rsid w:val="00EE19CD"/>
    <w:rsid w:val="00EE3230"/>
    <w:rsid w:val="00EE643B"/>
    <w:rsid w:val="00EE64E4"/>
    <w:rsid w:val="00EF71B2"/>
    <w:rsid w:val="00F018BF"/>
    <w:rsid w:val="00F061E1"/>
    <w:rsid w:val="00F12A21"/>
    <w:rsid w:val="00F139B5"/>
    <w:rsid w:val="00F14A6B"/>
    <w:rsid w:val="00F2135D"/>
    <w:rsid w:val="00F21E1C"/>
    <w:rsid w:val="00F22BC2"/>
    <w:rsid w:val="00F2487F"/>
    <w:rsid w:val="00F248A3"/>
    <w:rsid w:val="00F31B63"/>
    <w:rsid w:val="00F34034"/>
    <w:rsid w:val="00F401C7"/>
    <w:rsid w:val="00F4192C"/>
    <w:rsid w:val="00F444A6"/>
    <w:rsid w:val="00F50646"/>
    <w:rsid w:val="00F51D7D"/>
    <w:rsid w:val="00F54540"/>
    <w:rsid w:val="00F57C27"/>
    <w:rsid w:val="00F71A76"/>
    <w:rsid w:val="00F76144"/>
    <w:rsid w:val="00F779A3"/>
    <w:rsid w:val="00F82B17"/>
    <w:rsid w:val="00F84B8F"/>
    <w:rsid w:val="00F874A9"/>
    <w:rsid w:val="00F96B1E"/>
    <w:rsid w:val="00FA2CBB"/>
    <w:rsid w:val="00FA652E"/>
    <w:rsid w:val="00FB300D"/>
    <w:rsid w:val="00FB55D2"/>
    <w:rsid w:val="00FB6208"/>
    <w:rsid w:val="00FB784A"/>
    <w:rsid w:val="00FC2CEE"/>
    <w:rsid w:val="00FC4F34"/>
    <w:rsid w:val="00FD28B4"/>
    <w:rsid w:val="00FD5B9E"/>
    <w:rsid w:val="00FE235F"/>
    <w:rsid w:val="00FE48B0"/>
    <w:rsid w:val="00FF48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CD5"/>
    <w:pPr>
      <w:spacing w:after="200" w:line="276" w:lineRule="auto"/>
    </w:pPr>
    <w:rPr>
      <w:lang w:eastAsia="en-US"/>
    </w:rPr>
  </w:style>
  <w:style w:type="paragraph" w:styleId="Heading2">
    <w:name w:val="heading 2"/>
    <w:basedOn w:val="Normal"/>
    <w:next w:val="Normal"/>
    <w:link w:val="Heading2Char"/>
    <w:uiPriority w:val="99"/>
    <w:qFormat/>
    <w:rsid w:val="00C3622A"/>
    <w:pPr>
      <w:keepNext/>
      <w:spacing w:after="0" w:line="240" w:lineRule="auto"/>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9"/>
    <w:qFormat/>
    <w:rsid w:val="00C3622A"/>
    <w:pPr>
      <w:keepNext/>
      <w:spacing w:after="0" w:line="240" w:lineRule="auto"/>
      <w:outlineLvl w:val="2"/>
    </w:pPr>
    <w:rPr>
      <w:rFonts w:ascii="Times New Roman" w:eastAsia="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3622A"/>
    <w:rPr>
      <w:rFonts w:ascii="Times New Roman" w:hAnsi="Times New Roman" w:cs="Times New Roman"/>
      <w:b/>
      <w:bCs/>
      <w:sz w:val="24"/>
      <w:szCs w:val="24"/>
    </w:rPr>
  </w:style>
  <w:style w:type="character" w:customStyle="1" w:styleId="Heading3Char">
    <w:name w:val="Heading 3 Char"/>
    <w:basedOn w:val="DefaultParagraphFont"/>
    <w:link w:val="Heading3"/>
    <w:uiPriority w:val="99"/>
    <w:locked/>
    <w:rsid w:val="00C3622A"/>
    <w:rPr>
      <w:rFonts w:ascii="Times New Roman" w:hAnsi="Times New Roman" w:cs="Times New Roman"/>
      <w:b/>
      <w:bCs/>
      <w:sz w:val="24"/>
      <w:szCs w:val="24"/>
    </w:rPr>
  </w:style>
  <w:style w:type="paragraph" w:styleId="BalloonText">
    <w:name w:val="Balloon Text"/>
    <w:basedOn w:val="Normal"/>
    <w:link w:val="BalloonTextChar"/>
    <w:uiPriority w:val="99"/>
    <w:semiHidden/>
    <w:rsid w:val="003A7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7E5E"/>
    <w:rPr>
      <w:rFonts w:ascii="Tahoma" w:hAnsi="Tahoma" w:cs="Tahoma"/>
      <w:sz w:val="16"/>
      <w:szCs w:val="16"/>
    </w:rPr>
  </w:style>
  <w:style w:type="character" w:styleId="Hyperlink">
    <w:name w:val="Hyperlink"/>
    <w:basedOn w:val="DefaultParagraphFont"/>
    <w:uiPriority w:val="99"/>
    <w:rsid w:val="005142EA"/>
    <w:rPr>
      <w:rFonts w:cs="Times New Roman"/>
      <w:color w:val="0000FF"/>
      <w:u w:val="single"/>
    </w:rPr>
  </w:style>
  <w:style w:type="paragraph" w:styleId="NoSpacing">
    <w:name w:val="No Spacing"/>
    <w:uiPriority w:val="1"/>
    <w:qFormat/>
    <w:rsid w:val="005B166B"/>
    <w:rPr>
      <w:rFonts w:asciiTheme="minorHAnsi" w:eastAsiaTheme="minorHAnsi" w:hAnsiTheme="minorHAnsi" w:cstheme="minorBidi"/>
      <w:lang w:eastAsia="en-US"/>
    </w:rPr>
  </w:style>
  <w:style w:type="character" w:customStyle="1" w:styleId="apple-converted-space">
    <w:name w:val="apple-converted-space"/>
    <w:basedOn w:val="DefaultParagraphFont"/>
    <w:rsid w:val="00700352"/>
  </w:style>
  <w:style w:type="character" w:styleId="CommentReference">
    <w:name w:val="annotation reference"/>
    <w:basedOn w:val="DefaultParagraphFont"/>
    <w:uiPriority w:val="99"/>
    <w:semiHidden/>
    <w:unhideWhenUsed/>
    <w:rsid w:val="003E6E33"/>
    <w:rPr>
      <w:sz w:val="16"/>
      <w:szCs w:val="16"/>
    </w:rPr>
  </w:style>
  <w:style w:type="paragraph" w:styleId="CommentText">
    <w:name w:val="annotation text"/>
    <w:basedOn w:val="Normal"/>
    <w:link w:val="CommentTextChar"/>
    <w:uiPriority w:val="99"/>
    <w:semiHidden/>
    <w:unhideWhenUsed/>
    <w:rsid w:val="003E6E33"/>
    <w:pPr>
      <w:spacing w:line="240" w:lineRule="auto"/>
    </w:pPr>
    <w:rPr>
      <w:sz w:val="20"/>
      <w:szCs w:val="20"/>
    </w:rPr>
  </w:style>
  <w:style w:type="character" w:customStyle="1" w:styleId="CommentTextChar">
    <w:name w:val="Comment Text Char"/>
    <w:basedOn w:val="DefaultParagraphFont"/>
    <w:link w:val="CommentText"/>
    <w:uiPriority w:val="99"/>
    <w:semiHidden/>
    <w:rsid w:val="003E6E33"/>
    <w:rPr>
      <w:sz w:val="20"/>
      <w:szCs w:val="20"/>
      <w:lang w:eastAsia="en-US"/>
    </w:rPr>
  </w:style>
  <w:style w:type="paragraph" w:styleId="CommentSubject">
    <w:name w:val="annotation subject"/>
    <w:basedOn w:val="CommentText"/>
    <w:next w:val="CommentText"/>
    <w:link w:val="CommentSubjectChar"/>
    <w:uiPriority w:val="99"/>
    <w:semiHidden/>
    <w:unhideWhenUsed/>
    <w:rsid w:val="003E6E33"/>
    <w:rPr>
      <w:b/>
      <w:bCs/>
    </w:rPr>
  </w:style>
  <w:style w:type="character" w:customStyle="1" w:styleId="CommentSubjectChar">
    <w:name w:val="Comment Subject Char"/>
    <w:basedOn w:val="CommentTextChar"/>
    <w:link w:val="CommentSubject"/>
    <w:uiPriority w:val="99"/>
    <w:semiHidden/>
    <w:rsid w:val="003E6E33"/>
    <w:rPr>
      <w:b/>
      <w:bCs/>
    </w:rPr>
  </w:style>
  <w:style w:type="paragraph" w:styleId="NormalWeb">
    <w:name w:val="Normal (Web)"/>
    <w:basedOn w:val="Normal"/>
    <w:uiPriority w:val="99"/>
    <w:unhideWhenUsed/>
    <w:rsid w:val="0093754B"/>
    <w:pPr>
      <w:spacing w:before="100" w:beforeAutospacing="1" w:after="100" w:afterAutospacing="1" w:line="240" w:lineRule="auto"/>
    </w:pPr>
    <w:rPr>
      <w:rFonts w:ascii="Times New Roman" w:eastAsia="Times New Roman" w:hAnsi="Times New Roman"/>
      <w:sz w:val="24"/>
      <w:szCs w:val="24"/>
      <w:lang w:eastAsia="en-NZ"/>
    </w:rPr>
  </w:style>
</w:styles>
</file>

<file path=word/webSettings.xml><?xml version="1.0" encoding="utf-8"?>
<w:webSettings xmlns:r="http://schemas.openxmlformats.org/officeDocument/2006/relationships" xmlns:w="http://schemas.openxmlformats.org/wordprocessingml/2006/main">
  <w:divs>
    <w:div w:id="561451263">
      <w:bodyDiv w:val="1"/>
      <w:marLeft w:val="0"/>
      <w:marRight w:val="0"/>
      <w:marTop w:val="0"/>
      <w:marBottom w:val="0"/>
      <w:divBdr>
        <w:top w:val="none" w:sz="0" w:space="0" w:color="auto"/>
        <w:left w:val="none" w:sz="0" w:space="0" w:color="auto"/>
        <w:bottom w:val="none" w:sz="0" w:space="0" w:color="auto"/>
        <w:right w:val="none" w:sz="0" w:space="0" w:color="auto"/>
      </w:divBdr>
    </w:div>
    <w:div w:id="686248753">
      <w:bodyDiv w:val="1"/>
      <w:marLeft w:val="0"/>
      <w:marRight w:val="0"/>
      <w:marTop w:val="0"/>
      <w:marBottom w:val="0"/>
      <w:divBdr>
        <w:top w:val="none" w:sz="0" w:space="0" w:color="auto"/>
        <w:left w:val="none" w:sz="0" w:space="0" w:color="auto"/>
        <w:bottom w:val="none" w:sz="0" w:space="0" w:color="auto"/>
        <w:right w:val="none" w:sz="0" w:space="0" w:color="auto"/>
      </w:divBdr>
    </w:div>
    <w:div w:id="1216314742">
      <w:bodyDiv w:val="1"/>
      <w:marLeft w:val="0"/>
      <w:marRight w:val="0"/>
      <w:marTop w:val="0"/>
      <w:marBottom w:val="0"/>
      <w:divBdr>
        <w:top w:val="none" w:sz="0" w:space="0" w:color="auto"/>
        <w:left w:val="none" w:sz="0" w:space="0" w:color="auto"/>
        <w:bottom w:val="none" w:sz="0" w:space="0" w:color="auto"/>
        <w:right w:val="none" w:sz="0" w:space="0" w:color="auto"/>
      </w:divBdr>
    </w:div>
    <w:div w:id="1333265463">
      <w:bodyDiv w:val="1"/>
      <w:marLeft w:val="0"/>
      <w:marRight w:val="0"/>
      <w:marTop w:val="0"/>
      <w:marBottom w:val="0"/>
      <w:divBdr>
        <w:top w:val="none" w:sz="0" w:space="0" w:color="auto"/>
        <w:left w:val="none" w:sz="0" w:space="0" w:color="auto"/>
        <w:bottom w:val="none" w:sz="0" w:space="0" w:color="auto"/>
        <w:right w:val="none" w:sz="0" w:space="0" w:color="auto"/>
      </w:divBdr>
    </w:div>
    <w:div w:id="1373923375">
      <w:bodyDiv w:val="1"/>
      <w:marLeft w:val="0"/>
      <w:marRight w:val="0"/>
      <w:marTop w:val="0"/>
      <w:marBottom w:val="0"/>
      <w:divBdr>
        <w:top w:val="none" w:sz="0" w:space="0" w:color="auto"/>
        <w:left w:val="none" w:sz="0" w:space="0" w:color="auto"/>
        <w:bottom w:val="none" w:sz="0" w:space="0" w:color="auto"/>
        <w:right w:val="none" w:sz="0" w:space="0" w:color="auto"/>
      </w:divBdr>
    </w:div>
    <w:div w:id="1444039549">
      <w:bodyDiv w:val="1"/>
      <w:marLeft w:val="0"/>
      <w:marRight w:val="0"/>
      <w:marTop w:val="0"/>
      <w:marBottom w:val="0"/>
      <w:divBdr>
        <w:top w:val="none" w:sz="0" w:space="0" w:color="auto"/>
        <w:left w:val="none" w:sz="0" w:space="0" w:color="auto"/>
        <w:bottom w:val="none" w:sz="0" w:space="0" w:color="auto"/>
        <w:right w:val="none" w:sz="0" w:space="0" w:color="auto"/>
      </w:divBdr>
    </w:div>
    <w:div w:id="1444810884">
      <w:bodyDiv w:val="1"/>
      <w:marLeft w:val="0"/>
      <w:marRight w:val="0"/>
      <w:marTop w:val="0"/>
      <w:marBottom w:val="0"/>
      <w:divBdr>
        <w:top w:val="none" w:sz="0" w:space="0" w:color="auto"/>
        <w:left w:val="none" w:sz="0" w:space="0" w:color="auto"/>
        <w:bottom w:val="none" w:sz="0" w:space="0" w:color="auto"/>
        <w:right w:val="none" w:sz="0" w:space="0" w:color="auto"/>
      </w:divBdr>
    </w:div>
    <w:div w:id="152157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nno.ingerson@propertyiq.co.nz" TargetMode="External"/><Relationship Id="rId13" Type="http://schemas.openxmlformats.org/officeDocument/2006/relationships/image" Target="media/image8.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7.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6.emf"/><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8</Pages>
  <Words>1798</Words>
  <Characters>10362</Characters>
  <Application>Microsoft Office Word</Application>
  <DocSecurity>0</DocSecurity>
  <Lines>609</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ingersonj</dc:creator>
  <cp:lastModifiedBy>thomasona</cp:lastModifiedBy>
  <cp:revision>22</cp:revision>
  <cp:lastPrinted>2012-10-07T21:41:00Z</cp:lastPrinted>
  <dcterms:created xsi:type="dcterms:W3CDTF">2014-01-13T00:49:00Z</dcterms:created>
  <dcterms:modified xsi:type="dcterms:W3CDTF">2014-01-13T22:01:00Z</dcterms:modified>
</cp:coreProperties>
</file>