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4EF" w:rsidRDefault="00435DE7" w:rsidP="009824EF">
      <w:pPr>
        <w:spacing w:after="0"/>
        <w:jc w:val="center"/>
        <w:rPr>
          <w:rFonts w:cstheme="minorHAnsi"/>
          <w:b/>
        </w:rPr>
      </w:pPr>
      <w:r>
        <w:rPr>
          <w:rFonts w:cstheme="minorHAnsi"/>
          <w:b/>
        </w:rPr>
        <w:t xml:space="preserve">Evidence shows </w:t>
      </w:r>
      <w:r w:rsidR="009824EF">
        <w:rPr>
          <w:rFonts w:cstheme="minorHAnsi"/>
          <w:b/>
        </w:rPr>
        <w:t xml:space="preserve">home </w:t>
      </w:r>
      <w:r>
        <w:rPr>
          <w:rFonts w:cstheme="minorHAnsi"/>
          <w:b/>
        </w:rPr>
        <w:t xml:space="preserve">buyers </w:t>
      </w:r>
    </w:p>
    <w:p w:rsidR="00504C03" w:rsidRPr="00504C03" w:rsidRDefault="00B82EB0" w:rsidP="00435DE7">
      <w:pPr>
        <w:spacing w:after="0"/>
        <w:jc w:val="center"/>
        <w:rPr>
          <w:rFonts w:cstheme="minorHAnsi"/>
          <w:b/>
        </w:rPr>
      </w:pPr>
      <w:proofErr w:type="gramStart"/>
      <w:r>
        <w:rPr>
          <w:rFonts w:cstheme="minorHAnsi"/>
          <w:b/>
        </w:rPr>
        <w:t>circumventing</w:t>
      </w:r>
      <w:proofErr w:type="gramEnd"/>
      <w:r w:rsidR="00435DE7">
        <w:rPr>
          <w:rFonts w:cstheme="minorHAnsi"/>
          <w:b/>
        </w:rPr>
        <w:t xml:space="preserve"> Reserve Bank loan restrictions</w:t>
      </w:r>
    </w:p>
    <w:p w:rsidR="00435DE7" w:rsidRDefault="00435DE7" w:rsidP="00BD2188">
      <w:pPr>
        <w:ind w:left="567"/>
        <w:rPr>
          <w:rFonts w:cstheme="minorHAnsi"/>
          <w:b/>
        </w:rPr>
      </w:pPr>
    </w:p>
    <w:p w:rsidR="00504C03" w:rsidRPr="00D4160E" w:rsidRDefault="00504C03" w:rsidP="00BD2188">
      <w:pPr>
        <w:ind w:left="567"/>
        <w:rPr>
          <w:rFonts w:cstheme="minorHAnsi"/>
          <w:b/>
        </w:rPr>
      </w:pPr>
      <w:r w:rsidRPr="00504C03">
        <w:rPr>
          <w:rFonts w:cstheme="minorHAnsi"/>
          <w:b/>
        </w:rPr>
        <w:t>Media Release</w:t>
      </w:r>
      <w:r w:rsidRPr="00504C03">
        <w:rPr>
          <w:rFonts w:cstheme="minorHAnsi"/>
          <w:b/>
        </w:rPr>
        <w:tab/>
      </w:r>
      <w:r w:rsidRPr="00504C03">
        <w:rPr>
          <w:rFonts w:cstheme="minorHAnsi"/>
          <w:b/>
        </w:rPr>
        <w:tab/>
      </w:r>
      <w:r w:rsidRPr="00504C03">
        <w:rPr>
          <w:rFonts w:cstheme="minorHAnsi"/>
          <w:b/>
        </w:rPr>
        <w:tab/>
      </w:r>
      <w:r w:rsidRPr="00504C03">
        <w:rPr>
          <w:rFonts w:cstheme="minorHAnsi"/>
          <w:b/>
        </w:rPr>
        <w:tab/>
      </w:r>
      <w:r w:rsidRPr="00504C03">
        <w:rPr>
          <w:rFonts w:cstheme="minorHAnsi"/>
          <w:b/>
        </w:rPr>
        <w:tab/>
      </w:r>
      <w:r w:rsidRPr="00504C03">
        <w:rPr>
          <w:rFonts w:cstheme="minorHAnsi"/>
          <w:b/>
        </w:rPr>
        <w:tab/>
      </w:r>
      <w:r w:rsidR="00732D0E">
        <w:rPr>
          <w:rFonts w:cstheme="minorHAnsi"/>
          <w:b/>
        </w:rPr>
        <w:tab/>
      </w:r>
      <w:r w:rsidR="00AE14E2">
        <w:rPr>
          <w:rFonts w:cstheme="minorHAnsi"/>
          <w:b/>
        </w:rPr>
        <w:t xml:space="preserve">16 December </w:t>
      </w:r>
      <w:r w:rsidR="00875EAF">
        <w:rPr>
          <w:rFonts w:cstheme="minorHAnsi"/>
          <w:b/>
        </w:rPr>
        <w:t>2013</w:t>
      </w:r>
    </w:p>
    <w:p w:rsidR="00BB1F99" w:rsidRDefault="00BB1F99" w:rsidP="00BD2188">
      <w:pPr>
        <w:tabs>
          <w:tab w:val="left" w:pos="9214"/>
        </w:tabs>
        <w:spacing w:line="240" w:lineRule="auto"/>
        <w:ind w:left="567" w:right="990"/>
        <w:rPr>
          <w:lang w:val="en-NZ"/>
        </w:rPr>
      </w:pPr>
      <w:r>
        <w:rPr>
          <w:lang w:val="en-NZ"/>
        </w:rPr>
        <w:t xml:space="preserve">Evidence today that home-buyers </w:t>
      </w:r>
      <w:r w:rsidR="00BA038A">
        <w:rPr>
          <w:lang w:val="en-NZ"/>
        </w:rPr>
        <w:t xml:space="preserve">are circumventing </w:t>
      </w:r>
      <w:r>
        <w:rPr>
          <w:lang w:val="en-NZ"/>
        </w:rPr>
        <w:t xml:space="preserve">Reserve Bank low-equity home lending restrictions by borrowing </w:t>
      </w:r>
      <w:r w:rsidR="00BA038A">
        <w:rPr>
          <w:lang w:val="en-NZ"/>
        </w:rPr>
        <w:t xml:space="preserve">their </w:t>
      </w:r>
      <w:r w:rsidR="00B82EB0">
        <w:rPr>
          <w:lang w:val="en-NZ"/>
        </w:rPr>
        <w:t>deposits</w:t>
      </w:r>
      <w:r>
        <w:rPr>
          <w:lang w:val="en-NZ"/>
        </w:rPr>
        <w:t xml:space="preserve"> </w:t>
      </w:r>
      <w:r w:rsidR="00BA038A">
        <w:rPr>
          <w:lang w:val="en-NZ"/>
        </w:rPr>
        <w:t>from non-bank lenders like finance companies.</w:t>
      </w:r>
    </w:p>
    <w:p w:rsidR="00BA038A" w:rsidRDefault="00BA038A" w:rsidP="00BD2188">
      <w:pPr>
        <w:tabs>
          <w:tab w:val="left" w:pos="9214"/>
        </w:tabs>
        <w:spacing w:line="240" w:lineRule="auto"/>
        <w:ind w:left="567" w:right="990"/>
        <w:rPr>
          <w:lang w:val="en-NZ"/>
        </w:rPr>
      </w:pPr>
      <w:r>
        <w:rPr>
          <w:lang w:val="en-NZ"/>
        </w:rPr>
        <w:t xml:space="preserve">Latest data from New Zealand’s leading credit bureau and data aggregator, Veda, shows a significant 17.7 percent increase in </w:t>
      </w:r>
      <w:r w:rsidR="00541FD6">
        <w:rPr>
          <w:lang w:val="en-NZ"/>
        </w:rPr>
        <w:t xml:space="preserve">enquiries </w:t>
      </w:r>
      <w:r>
        <w:rPr>
          <w:lang w:val="en-NZ"/>
        </w:rPr>
        <w:t>for personal loans over the three months from September to November when compared with the same three months last year.</w:t>
      </w:r>
    </w:p>
    <w:p w:rsidR="00BA038A" w:rsidRDefault="00BA038A" w:rsidP="00BD2188">
      <w:pPr>
        <w:tabs>
          <w:tab w:val="left" w:pos="9214"/>
        </w:tabs>
        <w:spacing w:line="240" w:lineRule="auto"/>
        <w:ind w:left="567" w:right="990"/>
        <w:rPr>
          <w:lang w:val="en-NZ"/>
        </w:rPr>
      </w:pPr>
      <w:r>
        <w:rPr>
          <w:lang w:val="en-NZ"/>
        </w:rPr>
        <w:t>Veda Managing Director John Roberts explains that people who would normally borrow up to 90</w:t>
      </w:r>
      <w:r w:rsidR="00BC144F">
        <w:rPr>
          <w:lang w:val="en-NZ"/>
        </w:rPr>
        <w:t xml:space="preserve"> or 100</w:t>
      </w:r>
      <w:r>
        <w:rPr>
          <w:lang w:val="en-NZ"/>
        </w:rPr>
        <w:t xml:space="preserve"> percent to buy a home now find</w:t>
      </w:r>
      <w:r w:rsidR="00BC144F">
        <w:rPr>
          <w:lang w:val="en-NZ"/>
        </w:rPr>
        <w:t xml:space="preserve"> they can’t do that under the Reserve Bank rules that came into force on 1 October.</w:t>
      </w:r>
      <w:r w:rsidR="00435DE7">
        <w:rPr>
          <w:lang w:val="en-NZ"/>
        </w:rPr>
        <w:t xml:space="preserve">  </w:t>
      </w:r>
    </w:p>
    <w:p w:rsidR="00BC144F" w:rsidRDefault="00BC144F" w:rsidP="00BD2188">
      <w:pPr>
        <w:tabs>
          <w:tab w:val="left" w:pos="9214"/>
        </w:tabs>
        <w:spacing w:line="240" w:lineRule="auto"/>
        <w:ind w:left="567" w:right="990"/>
        <w:rPr>
          <w:lang w:val="en-NZ"/>
        </w:rPr>
      </w:pPr>
      <w:r>
        <w:rPr>
          <w:lang w:val="en-NZ"/>
        </w:rPr>
        <w:t>“So they take a personal loan from a finance company and then get the assistance of a broker to apply for an 80 percent loan-to-value ratio (LVR) bank mortgag</w:t>
      </w:r>
      <w:r w:rsidR="00435DE7">
        <w:rPr>
          <w:lang w:val="en-NZ"/>
        </w:rPr>
        <w:t>e using the personal loan</w:t>
      </w:r>
      <w:r>
        <w:rPr>
          <w:lang w:val="en-NZ"/>
        </w:rPr>
        <w:t xml:space="preserve"> as their deposit.”</w:t>
      </w:r>
    </w:p>
    <w:p w:rsidR="00BC144F" w:rsidRDefault="00BC144F" w:rsidP="00BD2188">
      <w:pPr>
        <w:tabs>
          <w:tab w:val="left" w:pos="9214"/>
        </w:tabs>
        <w:spacing w:line="240" w:lineRule="auto"/>
        <w:ind w:left="567" w:right="990"/>
        <w:rPr>
          <w:lang w:val="en-NZ"/>
        </w:rPr>
      </w:pPr>
      <w:r>
        <w:rPr>
          <w:lang w:val="en-NZ"/>
        </w:rPr>
        <w:t>“</w:t>
      </w:r>
      <w:r w:rsidR="00377A91">
        <w:rPr>
          <w:lang w:val="en-NZ"/>
        </w:rPr>
        <w:t xml:space="preserve">The country’s overheated property market has created a sense of urgency for home-buyers who are prepared to go to extreme lengths to secure that all important first home.  </w:t>
      </w:r>
      <w:r w:rsidR="009824EF">
        <w:rPr>
          <w:lang w:val="en-NZ"/>
        </w:rPr>
        <w:t xml:space="preserve">Second, third and </w:t>
      </w:r>
      <w:r w:rsidR="00B82EB0">
        <w:rPr>
          <w:lang w:val="en-NZ"/>
        </w:rPr>
        <w:t>fourth</w:t>
      </w:r>
      <w:r w:rsidR="009824EF">
        <w:rPr>
          <w:lang w:val="en-NZ"/>
        </w:rPr>
        <w:t xml:space="preserve"> tier borrowers are meeting the deposit demand – but the interest rate charged will be higher than that charged by a bank.</w:t>
      </w:r>
      <w:r>
        <w:rPr>
          <w:lang w:val="en-NZ"/>
        </w:rPr>
        <w:t>”</w:t>
      </w:r>
    </w:p>
    <w:p w:rsidR="00435DE7" w:rsidRDefault="009824EF" w:rsidP="00BD2188">
      <w:pPr>
        <w:tabs>
          <w:tab w:val="left" w:pos="9214"/>
        </w:tabs>
        <w:spacing w:line="240" w:lineRule="auto"/>
        <w:ind w:left="567" w:right="990"/>
        <w:rPr>
          <w:lang w:val="en-NZ"/>
        </w:rPr>
      </w:pPr>
      <w:r>
        <w:rPr>
          <w:lang w:val="en-NZ"/>
        </w:rPr>
        <w:t>A</w:t>
      </w:r>
      <w:r w:rsidR="00435DE7">
        <w:rPr>
          <w:lang w:val="en-NZ"/>
        </w:rPr>
        <w:t>pplications for personal loans are noticeably up for Gen</w:t>
      </w:r>
      <w:r w:rsidR="00921F1D">
        <w:rPr>
          <w:lang w:val="en-NZ"/>
        </w:rPr>
        <w:t xml:space="preserve"> </w:t>
      </w:r>
      <w:r w:rsidR="00435DE7">
        <w:rPr>
          <w:lang w:val="en-NZ"/>
        </w:rPr>
        <w:t>X (18.25 percent) and Gen Y (19.86 percent).</w:t>
      </w:r>
    </w:p>
    <w:p w:rsidR="00BC144F" w:rsidRDefault="00BC144F" w:rsidP="00BD2188">
      <w:pPr>
        <w:tabs>
          <w:tab w:val="left" w:pos="9214"/>
        </w:tabs>
        <w:spacing w:line="240" w:lineRule="auto"/>
        <w:ind w:left="567" w:right="990"/>
        <w:rPr>
          <w:lang w:val="en-NZ"/>
        </w:rPr>
      </w:pPr>
      <w:r>
        <w:rPr>
          <w:lang w:val="en-NZ"/>
        </w:rPr>
        <w:t xml:space="preserve">Veda’s data </w:t>
      </w:r>
      <w:r w:rsidR="00921F1D">
        <w:rPr>
          <w:lang w:val="en-NZ"/>
        </w:rPr>
        <w:t>suggest</w:t>
      </w:r>
      <w:r w:rsidR="009824EF">
        <w:rPr>
          <w:lang w:val="en-NZ"/>
        </w:rPr>
        <w:t>s</w:t>
      </w:r>
      <w:r>
        <w:rPr>
          <w:lang w:val="en-NZ"/>
        </w:rPr>
        <w:t xml:space="preserve"> the Reserve Bank’s LVR restrictions </w:t>
      </w:r>
      <w:r w:rsidR="00921F1D">
        <w:rPr>
          <w:lang w:val="en-NZ"/>
        </w:rPr>
        <w:t xml:space="preserve">may have curbed </w:t>
      </w:r>
      <w:r w:rsidR="009824EF">
        <w:rPr>
          <w:lang w:val="en-NZ"/>
        </w:rPr>
        <w:t xml:space="preserve">the house hunting for some hopeful home buyers with </w:t>
      </w:r>
      <w:r>
        <w:rPr>
          <w:lang w:val="en-NZ"/>
        </w:rPr>
        <w:t xml:space="preserve">mortgage applications </w:t>
      </w:r>
      <w:r w:rsidR="009824EF">
        <w:rPr>
          <w:lang w:val="en-NZ"/>
        </w:rPr>
        <w:t xml:space="preserve">down </w:t>
      </w:r>
      <w:r>
        <w:rPr>
          <w:lang w:val="en-NZ"/>
        </w:rPr>
        <w:t>by 7.6 percent for the three months of September, October and November when compared with the same 2012 period.</w:t>
      </w:r>
    </w:p>
    <w:p w:rsidR="00BC144F" w:rsidRDefault="00BC144F" w:rsidP="00BD2188">
      <w:pPr>
        <w:tabs>
          <w:tab w:val="left" w:pos="9214"/>
        </w:tabs>
        <w:spacing w:line="240" w:lineRule="auto"/>
        <w:ind w:left="567" w:right="990"/>
        <w:rPr>
          <w:lang w:val="en-NZ"/>
        </w:rPr>
      </w:pPr>
      <w:r>
        <w:rPr>
          <w:lang w:val="en-NZ"/>
        </w:rPr>
        <w:t>Mr Roberts says the increase in personal loan application</w:t>
      </w:r>
      <w:r w:rsidR="00435DE7">
        <w:rPr>
          <w:lang w:val="en-NZ"/>
        </w:rPr>
        <w:t>s is also a reflection of competing offers to borrowers to consolidate their debt and reduce costs.</w:t>
      </w:r>
    </w:p>
    <w:p w:rsidR="00435DE7" w:rsidRDefault="00921F1D" w:rsidP="00BD2188">
      <w:pPr>
        <w:tabs>
          <w:tab w:val="left" w:pos="9214"/>
        </w:tabs>
        <w:spacing w:line="240" w:lineRule="auto"/>
        <w:ind w:left="567" w:right="990"/>
        <w:rPr>
          <w:lang w:val="en-NZ"/>
        </w:rPr>
      </w:pPr>
      <w:r>
        <w:rPr>
          <w:lang w:val="en-NZ"/>
        </w:rPr>
        <w:t xml:space="preserve">It is notable that </w:t>
      </w:r>
      <w:r w:rsidR="00435DE7">
        <w:rPr>
          <w:lang w:val="en-NZ"/>
        </w:rPr>
        <w:t>as unsecured lending has increased</w:t>
      </w:r>
      <w:r>
        <w:rPr>
          <w:lang w:val="en-NZ"/>
        </w:rPr>
        <w:t xml:space="preserve"> so the </w:t>
      </w:r>
      <w:bookmarkStart w:id="0" w:name="_GoBack"/>
      <w:bookmarkEnd w:id="0"/>
      <w:r>
        <w:rPr>
          <w:lang w:val="en-NZ"/>
        </w:rPr>
        <w:t>number of consumer defaults has also risen. Defaults are up 42.95 percent for the November quarter.</w:t>
      </w:r>
    </w:p>
    <w:p w:rsidR="009824EF" w:rsidRDefault="00732D0E" w:rsidP="00732D0E">
      <w:pPr>
        <w:widowControl w:val="0"/>
        <w:autoSpaceDE w:val="0"/>
        <w:autoSpaceDN w:val="0"/>
        <w:adjustRightInd w:val="0"/>
        <w:spacing w:after="0"/>
        <w:rPr>
          <w:rFonts w:ascii="Calibri" w:hAnsi="Calibri" w:cs="Calibri"/>
          <w:color w:val="262626"/>
        </w:rPr>
      </w:pPr>
      <w:r>
        <w:rPr>
          <w:rFonts w:ascii="Calibri" w:hAnsi="Calibri" w:cs="Calibri"/>
          <w:color w:val="262626"/>
          <w:sz w:val="28"/>
          <w:szCs w:val="28"/>
        </w:rPr>
        <w:tab/>
      </w:r>
      <w:r w:rsidRPr="00732D0E">
        <w:rPr>
          <w:rFonts w:ascii="Calibri" w:hAnsi="Calibri" w:cs="Calibri"/>
          <w:color w:val="262626"/>
        </w:rPr>
        <w:t xml:space="preserve">*See graph </w:t>
      </w:r>
      <w:r w:rsidR="009824EF">
        <w:rPr>
          <w:rFonts w:ascii="Calibri" w:hAnsi="Calibri" w:cs="Calibri"/>
          <w:color w:val="262626"/>
        </w:rPr>
        <w:t>below, which depict</w:t>
      </w:r>
      <w:r w:rsidR="009824EF" w:rsidRPr="00732D0E">
        <w:rPr>
          <w:rFonts w:ascii="Calibri" w:hAnsi="Calibri" w:cs="Calibri"/>
          <w:color w:val="262626"/>
        </w:rPr>
        <w:t xml:space="preserve"> Veda’s consumer c</w:t>
      </w:r>
      <w:r w:rsidR="009824EF">
        <w:rPr>
          <w:rFonts w:ascii="Calibri" w:hAnsi="Calibri" w:cs="Calibri"/>
          <w:color w:val="262626"/>
        </w:rPr>
        <w:t>redit demand index and consumer defaults</w:t>
      </w:r>
      <w:r>
        <w:rPr>
          <w:rFonts w:ascii="Calibri" w:hAnsi="Calibri" w:cs="Calibri"/>
          <w:color w:val="262626"/>
        </w:rPr>
        <w:tab/>
      </w:r>
    </w:p>
    <w:p w:rsidR="00732D0E" w:rsidRDefault="009824EF" w:rsidP="00732D0E">
      <w:pPr>
        <w:widowControl w:val="0"/>
        <w:autoSpaceDE w:val="0"/>
        <w:autoSpaceDN w:val="0"/>
        <w:adjustRightInd w:val="0"/>
        <w:spacing w:after="0"/>
        <w:rPr>
          <w:rFonts w:ascii="Calibri" w:hAnsi="Calibri" w:cs="Calibri"/>
          <w:color w:val="262626"/>
        </w:rPr>
      </w:pPr>
      <w:r>
        <w:rPr>
          <w:rFonts w:ascii="Calibri" w:hAnsi="Calibri" w:cs="Calibri"/>
          <w:color w:val="262626"/>
        </w:rPr>
        <w:tab/>
      </w:r>
      <w:r w:rsidR="00732D0E">
        <w:rPr>
          <w:rFonts w:ascii="Calibri" w:hAnsi="Calibri" w:cs="Calibri"/>
          <w:color w:val="262626"/>
        </w:rPr>
        <w:t>*Raw data cannot be released for commercial reasons</w:t>
      </w:r>
    </w:p>
    <w:p w:rsidR="00732D0E" w:rsidRPr="00732D0E" w:rsidRDefault="00732D0E" w:rsidP="00732D0E">
      <w:pPr>
        <w:widowControl w:val="0"/>
        <w:autoSpaceDE w:val="0"/>
        <w:autoSpaceDN w:val="0"/>
        <w:adjustRightInd w:val="0"/>
        <w:spacing w:after="0"/>
        <w:rPr>
          <w:rFonts w:ascii="Calibri" w:hAnsi="Calibri" w:cs="Calibri"/>
          <w:color w:val="262626"/>
        </w:rPr>
      </w:pPr>
      <w:r>
        <w:rPr>
          <w:rFonts w:ascii="Calibri" w:hAnsi="Calibri" w:cs="Calibri"/>
          <w:color w:val="262626"/>
        </w:rPr>
        <w:tab/>
        <w:t>*We are unable to provide regional breakdowns</w:t>
      </w:r>
    </w:p>
    <w:p w:rsidR="00A53627" w:rsidRPr="00732D0E" w:rsidRDefault="00A53627" w:rsidP="001A01F7">
      <w:pPr>
        <w:spacing w:line="240" w:lineRule="auto"/>
        <w:rPr>
          <w:lang w:val="en-NZ"/>
        </w:rPr>
      </w:pPr>
    </w:p>
    <w:p w:rsidR="00732D0E" w:rsidRPr="00504C03" w:rsidRDefault="00732D0E" w:rsidP="00732D0E">
      <w:pPr>
        <w:spacing w:after="0" w:line="240" w:lineRule="auto"/>
        <w:rPr>
          <w:rFonts w:cstheme="minorHAnsi"/>
        </w:rPr>
      </w:pPr>
      <w:r>
        <w:rPr>
          <w:lang w:val="en-NZ"/>
        </w:rPr>
        <w:tab/>
      </w:r>
      <w:r w:rsidRPr="00504C03">
        <w:rPr>
          <w:rFonts w:cstheme="minorHAnsi"/>
        </w:rPr>
        <w:t>For more information</w:t>
      </w:r>
    </w:p>
    <w:p w:rsidR="00732D0E" w:rsidRPr="00504C03" w:rsidRDefault="00732D0E" w:rsidP="00732D0E">
      <w:pPr>
        <w:spacing w:after="0" w:line="240" w:lineRule="auto"/>
        <w:rPr>
          <w:rFonts w:cstheme="minorHAnsi"/>
        </w:rPr>
      </w:pPr>
      <w:r>
        <w:rPr>
          <w:rFonts w:cstheme="minorHAnsi"/>
        </w:rPr>
        <w:tab/>
        <w:t>John Roberts</w:t>
      </w:r>
    </w:p>
    <w:p w:rsidR="00732D0E" w:rsidRPr="00504C03" w:rsidRDefault="00732D0E" w:rsidP="00732D0E">
      <w:pPr>
        <w:spacing w:after="0" w:line="240" w:lineRule="auto"/>
        <w:rPr>
          <w:rFonts w:cstheme="minorHAnsi"/>
        </w:rPr>
      </w:pPr>
      <w:r>
        <w:rPr>
          <w:rFonts w:cstheme="minorHAnsi"/>
        </w:rPr>
        <w:tab/>
        <w:t>Managing Director</w:t>
      </w:r>
    </w:p>
    <w:p w:rsidR="00732D0E" w:rsidRPr="00504C03" w:rsidRDefault="00732D0E" w:rsidP="00732D0E">
      <w:pPr>
        <w:spacing w:after="0" w:line="240" w:lineRule="auto"/>
        <w:rPr>
          <w:rFonts w:cstheme="minorHAnsi"/>
        </w:rPr>
      </w:pPr>
      <w:r>
        <w:rPr>
          <w:rFonts w:cstheme="minorHAnsi"/>
        </w:rPr>
        <w:tab/>
      </w:r>
      <w:r w:rsidRPr="00504C03">
        <w:rPr>
          <w:rFonts w:cstheme="minorHAnsi"/>
        </w:rPr>
        <w:t>Veda</w:t>
      </w:r>
    </w:p>
    <w:p w:rsidR="00732D0E" w:rsidRPr="00985ECB" w:rsidRDefault="00732D0E" w:rsidP="00732D0E">
      <w:pPr>
        <w:spacing w:after="0" w:line="240" w:lineRule="auto"/>
        <w:rPr>
          <w:rFonts w:cstheme="minorHAnsi"/>
        </w:rPr>
      </w:pPr>
      <w:r>
        <w:rPr>
          <w:rFonts w:cstheme="minorHAnsi"/>
        </w:rPr>
        <w:tab/>
        <w:t>027 522 8207</w:t>
      </w:r>
    </w:p>
    <w:p w:rsidR="00A53627" w:rsidRDefault="00A53627" w:rsidP="001A01F7">
      <w:pPr>
        <w:spacing w:line="240" w:lineRule="auto"/>
        <w:rPr>
          <w:lang w:val="en-NZ"/>
        </w:rPr>
      </w:pPr>
    </w:p>
    <w:p w:rsidR="00A53627" w:rsidRDefault="00921F1D" w:rsidP="00732D0E">
      <w:pPr>
        <w:spacing w:line="240" w:lineRule="auto"/>
        <w:ind w:left="1276"/>
        <w:rPr>
          <w:lang w:val="en-NZ"/>
        </w:rPr>
      </w:pPr>
      <w:r w:rsidRPr="00921F1D">
        <w:rPr>
          <w:noProof/>
          <w:lang w:val="en-US" w:eastAsia="en-US"/>
        </w:rPr>
        <w:lastRenderedPageBreak/>
        <w:drawing>
          <wp:inline distT="0" distB="0" distL="0" distR="0" wp14:anchorId="36AD54CB" wp14:editId="329AB4CC">
            <wp:extent cx="3719618" cy="278971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773" cy="2789830"/>
                    </a:xfrm>
                    <a:prstGeom prst="rect">
                      <a:avLst/>
                    </a:prstGeom>
                    <a:noFill/>
                    <a:ln>
                      <a:noFill/>
                    </a:ln>
                  </pic:spPr>
                </pic:pic>
              </a:graphicData>
            </a:graphic>
          </wp:inline>
        </w:drawing>
      </w:r>
    </w:p>
    <w:p w:rsidR="00921F1D" w:rsidRDefault="00921F1D" w:rsidP="00732D0E">
      <w:pPr>
        <w:spacing w:line="240" w:lineRule="auto"/>
        <w:ind w:left="1276"/>
        <w:rPr>
          <w:lang w:val="en-NZ"/>
        </w:rPr>
      </w:pPr>
      <w:r w:rsidRPr="00921F1D">
        <w:rPr>
          <w:noProof/>
          <w:lang w:val="en-US" w:eastAsia="en-US"/>
        </w:rPr>
        <w:drawing>
          <wp:inline distT="0" distB="0" distL="0" distR="0" wp14:anchorId="7416BC04" wp14:editId="2737D15A">
            <wp:extent cx="3759835" cy="28198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0712" cy="2820535"/>
                    </a:xfrm>
                    <a:prstGeom prst="rect">
                      <a:avLst/>
                    </a:prstGeom>
                    <a:noFill/>
                    <a:ln>
                      <a:noFill/>
                    </a:ln>
                  </pic:spPr>
                </pic:pic>
              </a:graphicData>
            </a:graphic>
          </wp:inline>
        </w:drawing>
      </w:r>
    </w:p>
    <w:p w:rsidR="00541FD6" w:rsidRDefault="00541FD6" w:rsidP="00541FD6">
      <w:pPr>
        <w:rPr>
          <w:rFonts w:eastAsia="Calibri"/>
          <w:b/>
          <w:sz w:val="20"/>
          <w:szCs w:val="20"/>
        </w:rPr>
      </w:pPr>
    </w:p>
    <w:p w:rsidR="00541FD6" w:rsidRDefault="00541FD6" w:rsidP="00541FD6">
      <w:pPr>
        <w:spacing w:after="240"/>
        <w:rPr>
          <w:sz w:val="20"/>
          <w:szCs w:val="20"/>
        </w:rPr>
      </w:pPr>
      <w:r>
        <w:rPr>
          <w:b/>
          <w:bCs/>
          <w:sz w:val="20"/>
          <w:szCs w:val="20"/>
        </w:rPr>
        <w:t xml:space="preserve">About Veda </w:t>
      </w:r>
    </w:p>
    <w:p w:rsidR="00541FD6" w:rsidRDefault="00541FD6" w:rsidP="00541FD6">
      <w:pPr>
        <w:autoSpaceDE w:val="0"/>
        <w:autoSpaceDN w:val="0"/>
        <w:rPr>
          <w:sz w:val="20"/>
          <w:szCs w:val="20"/>
        </w:rPr>
      </w:pPr>
      <w:r>
        <w:rPr>
          <w:sz w:val="20"/>
          <w:szCs w:val="20"/>
        </w:rPr>
        <w:t>Veda is a data analytics company and the leading provider of credit information and analysis in Australia and New Zealand. From its stable core credit bureau business established in 1967, Veda has expanded to deliver a suite of credit and other analytical products targeted to specific industry segments.</w:t>
      </w:r>
    </w:p>
    <w:p w:rsidR="00541FD6" w:rsidRDefault="00541FD6" w:rsidP="00541FD6">
      <w:pPr>
        <w:rPr>
          <w:sz w:val="20"/>
          <w:szCs w:val="20"/>
        </w:rPr>
      </w:pPr>
    </w:p>
    <w:p w:rsidR="00541FD6" w:rsidRDefault="00541FD6" w:rsidP="00541FD6">
      <w:pPr>
        <w:autoSpaceDE w:val="0"/>
        <w:autoSpaceDN w:val="0"/>
        <w:rPr>
          <w:sz w:val="20"/>
          <w:szCs w:val="20"/>
        </w:rPr>
      </w:pPr>
      <w:r>
        <w:rPr>
          <w:sz w:val="20"/>
          <w:szCs w:val="20"/>
        </w:rPr>
        <w:t>Veda is built on the largest, most comprehensive and current data source in Australia and New Zealand with information on over 20 million credit active people and 5.7 million commercial entities. The breadth and depth of our data, and the knowledge it delivers help customers take a proactive and informed approach in making decisions.</w:t>
      </w:r>
    </w:p>
    <w:p w:rsidR="00541FD6" w:rsidRDefault="00541FD6" w:rsidP="00541FD6">
      <w:pPr>
        <w:autoSpaceDE w:val="0"/>
        <w:autoSpaceDN w:val="0"/>
        <w:rPr>
          <w:sz w:val="20"/>
          <w:szCs w:val="20"/>
        </w:rPr>
      </w:pPr>
    </w:p>
    <w:p w:rsidR="00541FD6" w:rsidRDefault="00541FD6" w:rsidP="00541FD6">
      <w:pPr>
        <w:rPr>
          <w:sz w:val="20"/>
          <w:szCs w:val="20"/>
        </w:rPr>
      </w:pPr>
      <w:r>
        <w:rPr>
          <w:sz w:val="20"/>
          <w:szCs w:val="20"/>
        </w:rPr>
        <w:lastRenderedPageBreak/>
        <w:t>Veda’s customers use data intelligence provided by Veda to make decisions on credit risk, verify identity and employee background, reduce identity theft and fraud, and undertake digital marketing strategies.</w:t>
      </w:r>
    </w:p>
    <w:p w:rsidR="00504C03" w:rsidRPr="00FE5FBA" w:rsidRDefault="00504C03" w:rsidP="00504C03">
      <w:pPr>
        <w:rPr>
          <w:rFonts w:cstheme="minorHAnsi"/>
        </w:rPr>
      </w:pPr>
      <w:r w:rsidRPr="00FE5FBA">
        <w:rPr>
          <w:rFonts w:cstheme="minorHAnsi"/>
        </w:rPr>
        <w:t>veda.co.nz</w:t>
      </w:r>
    </w:p>
    <w:sectPr w:rsidR="00504C03" w:rsidRPr="00FE5FBA" w:rsidSect="009824EF">
      <w:headerReference w:type="even" r:id="rId11"/>
      <w:headerReference w:type="default" r:id="rId12"/>
      <w:footerReference w:type="even" r:id="rId13"/>
      <w:footerReference w:type="default" r:id="rId14"/>
      <w:headerReference w:type="first" r:id="rId15"/>
      <w:footerReference w:type="first" r:id="rId16"/>
      <w:pgSz w:w="11906" w:h="16838" w:code="9"/>
      <w:pgMar w:top="1843" w:right="1416" w:bottom="1440" w:left="851" w:header="0"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E6" w:rsidRDefault="00F24BE6" w:rsidP="00875EAF">
      <w:pPr>
        <w:spacing w:after="0" w:line="240" w:lineRule="auto"/>
      </w:pPr>
      <w:r>
        <w:separator/>
      </w:r>
    </w:p>
  </w:endnote>
  <w:endnote w:type="continuationSeparator" w:id="0">
    <w:p w:rsidR="00F24BE6" w:rsidRDefault="00F24BE6" w:rsidP="0087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EF" w:rsidRDefault="009824EF" w:rsidP="000E67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4EF" w:rsidRDefault="009824EF" w:rsidP="009824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EF" w:rsidRPr="009824EF" w:rsidRDefault="009824EF" w:rsidP="009824EF">
    <w:pPr>
      <w:pStyle w:val="Footer"/>
      <w:framePr w:wrap="around" w:vAnchor="text" w:hAnchor="page" w:x="10392" w:y="-44"/>
      <w:rPr>
        <w:rStyle w:val="PageNumber"/>
        <w:sz w:val="18"/>
        <w:szCs w:val="18"/>
      </w:rPr>
    </w:pPr>
    <w:r w:rsidRPr="009824EF">
      <w:rPr>
        <w:rStyle w:val="PageNumber"/>
        <w:sz w:val="18"/>
        <w:szCs w:val="18"/>
      </w:rPr>
      <w:fldChar w:fldCharType="begin"/>
    </w:r>
    <w:r w:rsidRPr="009824EF">
      <w:rPr>
        <w:rStyle w:val="PageNumber"/>
        <w:sz w:val="18"/>
        <w:szCs w:val="18"/>
      </w:rPr>
      <w:instrText xml:space="preserve">PAGE  </w:instrText>
    </w:r>
    <w:r w:rsidRPr="009824EF">
      <w:rPr>
        <w:rStyle w:val="PageNumber"/>
        <w:sz w:val="18"/>
        <w:szCs w:val="18"/>
      </w:rPr>
      <w:fldChar w:fldCharType="separate"/>
    </w:r>
    <w:r w:rsidR="006748F1">
      <w:rPr>
        <w:rStyle w:val="PageNumber"/>
        <w:noProof/>
        <w:sz w:val="18"/>
        <w:szCs w:val="18"/>
      </w:rPr>
      <w:t>2</w:t>
    </w:r>
    <w:r w:rsidRPr="009824EF">
      <w:rPr>
        <w:rStyle w:val="PageNumber"/>
        <w:sz w:val="18"/>
        <w:szCs w:val="18"/>
      </w:rPr>
      <w:fldChar w:fldCharType="end"/>
    </w:r>
  </w:p>
  <w:p w:rsidR="009824EF" w:rsidRDefault="009824EF" w:rsidP="009824E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1D" w:rsidRPr="00D52A05" w:rsidRDefault="00921F1D" w:rsidP="002B5FB5">
    <w:pPr>
      <w:pStyle w:val="Footer"/>
      <w:shd w:val="clear" w:color="auto" w:fill="FFFFFF" w:themeFill="background1"/>
      <w:ind w:left="-142"/>
      <w:rPr>
        <w:rFonts w:ascii="Arial" w:hAnsi="Arial" w:cs="Arial"/>
        <w:noProof/>
        <w:color w:val="BFBFBF" w:themeColor="background1" w:themeShade="BF"/>
        <w:sz w:val="20"/>
        <w:szCs w:val="20"/>
      </w:rPr>
    </w:pPr>
    <w:r w:rsidRPr="00D52A05">
      <w:rPr>
        <w:rFonts w:ascii="Arial" w:hAnsi="Arial" w:cs="Arial"/>
        <w:noProof/>
        <w:color w:val="BFBFBF" w:themeColor="background1" w:themeShade="BF"/>
        <w:sz w:val="20"/>
        <w:szCs w:val="20"/>
      </w:rPr>
      <w:t xml:space="preserve">Veda Advantage </w:t>
    </w:r>
    <w:r>
      <w:rPr>
        <w:rFonts w:ascii="Arial" w:hAnsi="Arial" w:cs="Arial"/>
        <w:noProof/>
        <w:color w:val="BFBFBF" w:themeColor="background1" w:themeShade="BF"/>
        <w:sz w:val="20"/>
        <w:szCs w:val="20"/>
      </w:rPr>
      <w:t xml:space="preserve">(NZ)     </w:t>
    </w:r>
    <w:r w:rsidRPr="00D52A05">
      <w:rPr>
        <w:rFonts w:ascii="Arial" w:hAnsi="Arial" w:cs="Arial"/>
        <w:b/>
        <w:noProof/>
        <w:color w:val="BFBFBF" w:themeColor="background1" w:themeShade="BF"/>
        <w:sz w:val="20"/>
        <w:szCs w:val="20"/>
      </w:rPr>
      <w:t xml:space="preserve"> </w:t>
    </w:r>
    <w:r>
      <w:rPr>
        <w:rFonts w:ascii="Arial" w:hAnsi="Arial" w:cs="Arial"/>
        <w:b/>
        <w:noProof/>
        <w:color w:val="BFBFBF" w:themeColor="background1" w:themeShade="BF"/>
        <w:sz w:val="20"/>
        <w:szCs w:val="20"/>
      </w:rPr>
      <w:t xml:space="preserve"> </w:t>
    </w:r>
    <w:r w:rsidRPr="00D52A05">
      <w:rPr>
        <w:rFonts w:ascii="Arial" w:hAnsi="Arial" w:cs="Arial"/>
        <w:b/>
        <w:noProof/>
        <w:color w:val="BFBFBF" w:themeColor="background1" w:themeShade="BF"/>
        <w:sz w:val="20"/>
        <w:szCs w:val="20"/>
      </w:rPr>
      <w:t xml:space="preserve">           </w:t>
    </w:r>
    <w:r>
      <w:rPr>
        <w:rFonts w:ascii="Arial" w:hAnsi="Arial" w:cs="Arial"/>
        <w:noProof/>
        <w:color w:val="BFBFBF" w:themeColor="background1" w:themeShade="BF"/>
        <w:sz w:val="20"/>
        <w:szCs w:val="20"/>
      </w:rPr>
      <w:t>PO Box 912012</w:t>
    </w:r>
    <w:r w:rsidRPr="00D52A05">
      <w:rPr>
        <w:rFonts w:ascii="Arial" w:hAnsi="Arial" w:cs="Arial"/>
        <w:noProof/>
        <w:color w:val="BFBFBF" w:themeColor="background1" w:themeShade="BF"/>
        <w:sz w:val="20"/>
        <w:szCs w:val="20"/>
      </w:rPr>
      <w:t>,</w:t>
    </w:r>
    <w:r>
      <w:rPr>
        <w:rFonts w:ascii="Arial" w:hAnsi="Arial" w:cs="Arial"/>
        <w:noProof/>
        <w:color w:val="BFBFBF" w:themeColor="background1" w:themeShade="BF"/>
        <w:sz w:val="20"/>
        <w:szCs w:val="20"/>
      </w:rPr>
      <w:t xml:space="preserve"> Victoria Street West                    +0800 698 332</w:t>
    </w:r>
    <w:r w:rsidRPr="00D52A05">
      <w:rPr>
        <w:rFonts w:ascii="Arial" w:hAnsi="Arial" w:cs="Arial"/>
        <w:noProof/>
        <w:color w:val="BFBFBF" w:themeColor="background1" w:themeShade="BF"/>
        <w:sz w:val="20"/>
        <w:szCs w:val="20"/>
      </w:rPr>
      <w:t xml:space="preserve">     </w:t>
    </w:r>
    <w:r>
      <w:rPr>
        <w:rFonts w:ascii="Arial" w:hAnsi="Arial" w:cs="Arial"/>
        <w:noProof/>
        <w:color w:val="BFBFBF" w:themeColor="background1" w:themeShade="BF"/>
        <w:sz w:val="20"/>
        <w:szCs w:val="20"/>
      </w:rPr>
      <w:t xml:space="preserve">   </w:t>
    </w:r>
  </w:p>
  <w:p w:rsidR="00921F1D" w:rsidRPr="00D52A05" w:rsidRDefault="00921F1D" w:rsidP="002B5FB5">
    <w:pPr>
      <w:pStyle w:val="Footer"/>
      <w:shd w:val="clear" w:color="auto" w:fill="FFFFFF" w:themeFill="background1"/>
      <w:ind w:left="-142"/>
      <w:rPr>
        <w:rFonts w:ascii="Arial" w:hAnsi="Arial" w:cs="Arial"/>
        <w:b/>
        <w:noProof/>
        <w:color w:val="BFBFBF" w:themeColor="background1" w:themeShade="BF"/>
        <w:sz w:val="20"/>
        <w:szCs w:val="20"/>
      </w:rPr>
    </w:pPr>
    <w:r>
      <w:rPr>
        <w:rFonts w:ascii="Arial" w:hAnsi="Arial" w:cs="Arial"/>
        <w:noProof/>
        <w:color w:val="BFBFBF" w:themeColor="background1" w:themeShade="BF"/>
        <w:sz w:val="20"/>
        <w:szCs w:val="20"/>
      </w:rPr>
      <w:t xml:space="preserve">Limited                      </w:t>
    </w:r>
    <w:r w:rsidRPr="00D52A05">
      <w:rPr>
        <w:rFonts w:ascii="Arial" w:hAnsi="Arial" w:cs="Arial"/>
        <w:noProof/>
        <w:color w:val="BFBFBF" w:themeColor="background1" w:themeShade="BF"/>
        <w:sz w:val="20"/>
        <w:szCs w:val="20"/>
      </w:rPr>
      <w:t xml:space="preserve">      </w:t>
    </w:r>
    <w:r>
      <w:rPr>
        <w:rFonts w:ascii="Arial" w:hAnsi="Arial" w:cs="Arial"/>
        <w:noProof/>
        <w:color w:val="BFBFBF" w:themeColor="background1" w:themeShade="BF"/>
        <w:sz w:val="20"/>
        <w:szCs w:val="20"/>
      </w:rPr>
      <w:t xml:space="preserve"> </w:t>
    </w:r>
    <w:r w:rsidRPr="00D52A05">
      <w:rPr>
        <w:rFonts w:ascii="Arial" w:hAnsi="Arial" w:cs="Arial"/>
        <w:noProof/>
        <w:color w:val="BFBFBF" w:themeColor="background1" w:themeShade="BF"/>
        <w:sz w:val="20"/>
        <w:szCs w:val="20"/>
      </w:rPr>
      <w:t xml:space="preserve">            </w:t>
    </w:r>
    <w:r>
      <w:rPr>
        <w:rFonts w:ascii="Arial" w:hAnsi="Arial" w:cs="Arial"/>
        <w:noProof/>
        <w:color w:val="BFBFBF" w:themeColor="background1" w:themeShade="BF"/>
        <w:sz w:val="20"/>
        <w:szCs w:val="20"/>
      </w:rPr>
      <w:t xml:space="preserve">Auckland 1142 New Zealand       </w:t>
    </w:r>
    <w:r w:rsidRPr="00D52A05">
      <w:rPr>
        <w:rFonts w:ascii="Arial" w:hAnsi="Arial" w:cs="Arial"/>
        <w:noProof/>
        <w:color w:val="BFBFBF" w:themeColor="background1" w:themeShade="BF"/>
        <w:sz w:val="20"/>
        <w:szCs w:val="20"/>
      </w:rPr>
      <w:t xml:space="preserve">             </w:t>
    </w:r>
    <w:r>
      <w:rPr>
        <w:rFonts w:ascii="Arial" w:hAnsi="Arial" w:cs="Arial"/>
        <w:noProof/>
        <w:color w:val="BFBFBF" w:themeColor="background1" w:themeShade="BF"/>
        <w:sz w:val="20"/>
        <w:szCs w:val="20"/>
      </w:rPr>
      <w:t xml:space="preserve">              </w:t>
    </w:r>
    <w:r w:rsidRPr="00D52A05">
      <w:rPr>
        <w:rFonts w:ascii="Arial" w:hAnsi="Arial" w:cs="Arial"/>
        <w:b/>
        <w:noProof/>
        <w:color w:val="BFBFBF" w:themeColor="background1" w:themeShade="BF"/>
        <w:sz w:val="20"/>
        <w:szCs w:val="20"/>
      </w:rPr>
      <w:t>veda.co.</w:t>
    </w:r>
    <w:r>
      <w:rPr>
        <w:rFonts w:ascii="Arial" w:hAnsi="Arial" w:cs="Arial"/>
        <w:b/>
        <w:noProof/>
        <w:color w:val="BFBFBF" w:themeColor="background1" w:themeShade="BF"/>
        <w:sz w:val="20"/>
        <w:szCs w:val="20"/>
      </w:rPr>
      <w:t>nz</w:t>
    </w:r>
  </w:p>
  <w:p w:rsidR="00921F1D" w:rsidRPr="00454231" w:rsidRDefault="00921F1D" w:rsidP="002B5FB5">
    <w:pPr>
      <w:pStyle w:val="Footer"/>
      <w:tabs>
        <w:tab w:val="clear" w:pos="4513"/>
        <w:tab w:val="clear" w:pos="9026"/>
        <w:tab w:val="left" w:pos="720"/>
        <w:tab w:val="left" w:pos="1440"/>
        <w:tab w:val="left" w:pos="2160"/>
      </w:tabs>
      <w:spacing w:line="120" w:lineRule="auto"/>
      <w:ind w:left="-142"/>
      <w:rPr>
        <w:color w:val="FF0000"/>
        <w:u w:val="thick"/>
      </w:rPr>
    </w:pPr>
    <w:r w:rsidRPr="0006229F">
      <w:rPr>
        <w:color w:val="FF0000"/>
        <w:u w:val="thick"/>
      </w:rPr>
      <w:tab/>
    </w:r>
    <w:r>
      <w:rPr>
        <w:color w:val="FF0000"/>
        <w:u w:val="thick"/>
      </w:rPr>
      <w:tab/>
    </w:r>
    <w:r w:rsidRPr="0006229F">
      <w:rPr>
        <w:color w:val="FF0000"/>
        <w:u w:val="thick"/>
      </w:rPr>
      <w:tab/>
    </w:r>
    <w:r>
      <w:rPr>
        <w:color w:val="FF0000"/>
        <w:u w:val="thick"/>
      </w:rPr>
      <w:t xml:space="preserve">  </w:t>
    </w:r>
    <w:r w:rsidRPr="00264D8D">
      <w:rPr>
        <w:color w:val="FF0000"/>
        <w:u w:val="thick"/>
      </w:rPr>
      <w:t xml:space="preserve">                </w:t>
    </w:r>
    <w:r>
      <w:rPr>
        <w:color w:val="FF0000"/>
        <w:u w:val="thick"/>
      </w:rPr>
      <w:t xml:space="preserve"> </w:t>
    </w:r>
    <w:r>
      <w:rPr>
        <w:color w:val="FF0000"/>
        <w:u w:val="thick"/>
      </w:rPr>
      <w:tab/>
    </w:r>
    <w:r>
      <w:rPr>
        <w:color w:val="FF0000"/>
        <w:u w:val="thick"/>
      </w:rPr>
      <w:tab/>
    </w:r>
    <w:r>
      <w:rPr>
        <w:color w:val="FF0000"/>
        <w:u w:val="thick"/>
      </w:rPr>
      <w:tab/>
    </w:r>
    <w:r>
      <w:rPr>
        <w:color w:val="FF0000"/>
        <w:u w:val="thick"/>
      </w:rPr>
      <w:tab/>
    </w:r>
    <w:r>
      <w:rPr>
        <w:color w:val="FF0000"/>
        <w:u w:val="thick"/>
      </w:rPr>
      <w:tab/>
    </w:r>
    <w:r>
      <w:rPr>
        <w:color w:val="FF0000"/>
        <w:u w:val="thick"/>
      </w:rPr>
      <w:tab/>
    </w:r>
    <w:r>
      <w:rPr>
        <w:color w:val="FF0000"/>
        <w:u w:val="thick"/>
      </w:rPr>
      <w:tab/>
    </w:r>
    <w:r>
      <w:rPr>
        <w:color w:val="FF0000"/>
        <w:u w:val="thick"/>
      </w:rPr>
      <w:tab/>
    </w:r>
    <w:r>
      <w:rPr>
        <w:color w:val="FF0000"/>
        <w:u w:val="thick"/>
      </w:rPr>
      <w:tab/>
    </w:r>
    <w:r>
      <w:rPr>
        <w:color w:val="FF0000"/>
        <w:u w:val="thick"/>
      </w:rPr>
      <w:tab/>
    </w:r>
  </w:p>
  <w:p w:rsidR="00921F1D" w:rsidRDefault="00921F1D" w:rsidP="002B5FB5">
    <w:pPr>
      <w:pStyle w:val="Footer"/>
      <w:tabs>
        <w:tab w:val="clear" w:pos="4513"/>
        <w:tab w:val="clear" w:pos="9026"/>
        <w:tab w:val="left" w:pos="720"/>
        <w:tab w:val="left" w:pos="1440"/>
        <w:tab w:val="left" w:pos="2160"/>
      </w:tabs>
      <w:spacing w:line="120" w:lineRule="auto"/>
      <w:ind w:left="-142"/>
      <w:rPr>
        <w:color w:val="FF0000"/>
        <w:u w:val="thick"/>
      </w:rPr>
    </w:pPr>
  </w:p>
  <w:p w:rsidR="00921F1D" w:rsidRDefault="00921F1D" w:rsidP="002B5FB5">
    <w:pPr>
      <w:pStyle w:val="Footer"/>
      <w:tabs>
        <w:tab w:val="clear" w:pos="4513"/>
        <w:tab w:val="clear" w:pos="9026"/>
        <w:tab w:val="left" w:pos="720"/>
        <w:tab w:val="left" w:pos="1440"/>
        <w:tab w:val="left" w:pos="2160"/>
      </w:tabs>
      <w:spacing w:line="120" w:lineRule="auto"/>
      <w:ind w:left="-142"/>
      <w:rPr>
        <w:color w:val="FF0000"/>
        <w:u w:val="thick"/>
      </w:rPr>
    </w:pPr>
  </w:p>
  <w:p w:rsidR="00921F1D" w:rsidRPr="002B5FB5" w:rsidRDefault="00921F1D" w:rsidP="002B5FB5">
    <w:pPr>
      <w:pStyle w:val="Footer"/>
      <w:tabs>
        <w:tab w:val="clear" w:pos="4513"/>
        <w:tab w:val="clear" w:pos="9026"/>
        <w:tab w:val="left" w:pos="720"/>
        <w:tab w:val="left" w:pos="9240"/>
      </w:tabs>
      <w:spacing w:line="120" w:lineRule="auto"/>
      <w:ind w:left="-142"/>
      <w:rPr>
        <w:rFonts w:ascii="Arial" w:hAnsi="Arial" w:cs="Arial"/>
        <w:noProof/>
        <w:color w:val="FF0000"/>
        <w:sz w:val="20"/>
        <w:szCs w:val="20"/>
        <w:u w:val="thick"/>
      </w:rPr>
    </w:pPr>
    <w:r>
      <w:rPr>
        <w:color w:val="FF0000"/>
        <w:u w:val="thick"/>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E6" w:rsidRDefault="00F24BE6" w:rsidP="00875EAF">
      <w:pPr>
        <w:spacing w:after="0" w:line="240" w:lineRule="auto"/>
      </w:pPr>
      <w:r>
        <w:separator/>
      </w:r>
    </w:p>
  </w:footnote>
  <w:footnote w:type="continuationSeparator" w:id="0">
    <w:p w:rsidR="00F24BE6" w:rsidRDefault="00F24BE6" w:rsidP="00875E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9FB" w:rsidRDefault="008C29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1D" w:rsidRDefault="00921F1D" w:rsidP="00875EAF">
    <w:pPr>
      <w:pStyle w:val="Header"/>
      <w:ind w:left="-1418"/>
    </w:pPr>
  </w:p>
  <w:p w:rsidR="00921F1D" w:rsidRDefault="00921F1D" w:rsidP="007C3484">
    <w:pPr>
      <w:pStyle w:val="Header"/>
      <w:ind w:left="-567"/>
    </w:pPr>
    <w:r>
      <w:rPr>
        <w:noProof/>
        <w:lang w:val="en-US" w:eastAsia="en-US"/>
      </w:rPr>
      <mc:AlternateContent>
        <mc:Choice Requires="wps">
          <w:drawing>
            <wp:anchor distT="0" distB="0" distL="114300" distR="114300" simplePos="0" relativeHeight="251660288" behindDoc="0" locked="0" layoutInCell="1" allowOverlap="1" wp14:anchorId="05E0DAF2" wp14:editId="1E3C3C6D">
              <wp:simplePos x="0" y="0"/>
              <wp:positionH relativeFrom="column">
                <wp:posOffset>1742440</wp:posOffset>
              </wp:positionH>
              <wp:positionV relativeFrom="paragraph">
                <wp:posOffset>406400</wp:posOffset>
              </wp:positionV>
              <wp:extent cx="4698365" cy="489585"/>
              <wp:effectExtent l="0" t="0" r="63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36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1F1D" w:rsidRPr="00F05D67" w:rsidRDefault="00921F1D">
                          <w:pPr>
                            <w:rPr>
                              <w:color w:val="FFFFFF" w:themeColor="background1"/>
                              <w:sz w:val="40"/>
                              <w:szCs w:val="40"/>
                            </w:rPr>
                          </w:pPr>
                          <w:r w:rsidRPr="00F05D67">
                            <w:rPr>
                              <w:color w:val="FFFFFF" w:themeColor="background1"/>
                              <w:sz w:val="40"/>
                              <w:szCs w:val="40"/>
                            </w:rPr>
                            <w:t>&lt;Insert heading&gt;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7.2pt;margin-top:32pt;width:369.95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" filled="f" stroked="f">
              <v:textbox>
                <w:txbxContent>
                  <w:p w:rsidR="00921F1D" w:rsidRPr="00F05D67" w:rsidRDefault="00921F1D">
                    <w:pPr>
                      <w:rPr>
                        <w:color w:val="FFFFFF" w:themeColor="background1"/>
                        <w:sz w:val="40"/>
                        <w:szCs w:val="40"/>
                      </w:rPr>
                    </w:pPr>
                    <w:r w:rsidRPr="00F05D67">
                      <w:rPr>
                        <w:color w:val="FFFFFF" w:themeColor="background1"/>
                        <w:sz w:val="40"/>
                        <w:szCs w:val="40"/>
                      </w:rPr>
                      <w:t>&lt;Insert heading&gt;</w:t>
                    </w:r>
                  </w:p>
                </w:txbxContent>
              </v:textbox>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1D" w:rsidRDefault="00921F1D">
    <w:pPr>
      <w:pStyle w:val="Header"/>
    </w:pPr>
    <w:r>
      <w:rPr>
        <w:noProof/>
        <w:lang w:val="en-US" w:eastAsia="en-US"/>
      </w:rPr>
      <w:drawing>
        <wp:anchor distT="0" distB="0" distL="114300" distR="114300" simplePos="0" relativeHeight="251663360" behindDoc="1" locked="0" layoutInCell="1" allowOverlap="1" wp14:anchorId="3D18F09E" wp14:editId="00D3BE0F">
          <wp:simplePos x="0" y="0"/>
          <wp:positionH relativeFrom="column">
            <wp:posOffset>-387985</wp:posOffset>
          </wp:positionH>
          <wp:positionV relativeFrom="paragraph">
            <wp:posOffset>142875</wp:posOffset>
          </wp:positionV>
          <wp:extent cx="6467475" cy="33623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7475" cy="3362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44121"/>
    <w:multiLevelType w:val="hybridMultilevel"/>
    <w:tmpl w:val="AE28A118"/>
    <w:lvl w:ilvl="0" w:tplc="C1B49CDC">
      <w:start w:val="1"/>
      <w:numFmt w:val="bullet"/>
      <w:lvlText w:val=""/>
      <w:lvlJc w:val="left"/>
      <w:pPr>
        <w:tabs>
          <w:tab w:val="num" w:pos="720"/>
        </w:tabs>
        <w:ind w:left="720" w:hanging="360"/>
      </w:pPr>
      <w:rPr>
        <w:rFonts w:ascii="Wingdings" w:hAnsi="Wingdings" w:hint="default"/>
      </w:rPr>
    </w:lvl>
    <w:lvl w:ilvl="1" w:tplc="1E0AC38A" w:tentative="1">
      <w:start w:val="1"/>
      <w:numFmt w:val="bullet"/>
      <w:lvlText w:val=""/>
      <w:lvlJc w:val="left"/>
      <w:pPr>
        <w:tabs>
          <w:tab w:val="num" w:pos="1440"/>
        </w:tabs>
        <w:ind w:left="1440" w:hanging="360"/>
      </w:pPr>
      <w:rPr>
        <w:rFonts w:ascii="Wingdings" w:hAnsi="Wingdings" w:hint="default"/>
      </w:rPr>
    </w:lvl>
    <w:lvl w:ilvl="2" w:tplc="343AED4C" w:tentative="1">
      <w:start w:val="1"/>
      <w:numFmt w:val="bullet"/>
      <w:lvlText w:val=""/>
      <w:lvlJc w:val="left"/>
      <w:pPr>
        <w:tabs>
          <w:tab w:val="num" w:pos="2160"/>
        </w:tabs>
        <w:ind w:left="2160" w:hanging="360"/>
      </w:pPr>
      <w:rPr>
        <w:rFonts w:ascii="Wingdings" w:hAnsi="Wingdings" w:hint="default"/>
      </w:rPr>
    </w:lvl>
    <w:lvl w:ilvl="3" w:tplc="244E06B6" w:tentative="1">
      <w:start w:val="1"/>
      <w:numFmt w:val="bullet"/>
      <w:lvlText w:val=""/>
      <w:lvlJc w:val="left"/>
      <w:pPr>
        <w:tabs>
          <w:tab w:val="num" w:pos="2880"/>
        </w:tabs>
        <w:ind w:left="2880" w:hanging="360"/>
      </w:pPr>
      <w:rPr>
        <w:rFonts w:ascii="Wingdings" w:hAnsi="Wingdings" w:hint="default"/>
      </w:rPr>
    </w:lvl>
    <w:lvl w:ilvl="4" w:tplc="BC9C6226" w:tentative="1">
      <w:start w:val="1"/>
      <w:numFmt w:val="bullet"/>
      <w:lvlText w:val=""/>
      <w:lvlJc w:val="left"/>
      <w:pPr>
        <w:tabs>
          <w:tab w:val="num" w:pos="3600"/>
        </w:tabs>
        <w:ind w:left="3600" w:hanging="360"/>
      </w:pPr>
      <w:rPr>
        <w:rFonts w:ascii="Wingdings" w:hAnsi="Wingdings" w:hint="default"/>
      </w:rPr>
    </w:lvl>
    <w:lvl w:ilvl="5" w:tplc="EBBADC98" w:tentative="1">
      <w:start w:val="1"/>
      <w:numFmt w:val="bullet"/>
      <w:lvlText w:val=""/>
      <w:lvlJc w:val="left"/>
      <w:pPr>
        <w:tabs>
          <w:tab w:val="num" w:pos="4320"/>
        </w:tabs>
        <w:ind w:left="4320" w:hanging="360"/>
      </w:pPr>
      <w:rPr>
        <w:rFonts w:ascii="Wingdings" w:hAnsi="Wingdings" w:hint="default"/>
      </w:rPr>
    </w:lvl>
    <w:lvl w:ilvl="6" w:tplc="395E5760" w:tentative="1">
      <w:start w:val="1"/>
      <w:numFmt w:val="bullet"/>
      <w:lvlText w:val=""/>
      <w:lvlJc w:val="left"/>
      <w:pPr>
        <w:tabs>
          <w:tab w:val="num" w:pos="5040"/>
        </w:tabs>
        <w:ind w:left="5040" w:hanging="360"/>
      </w:pPr>
      <w:rPr>
        <w:rFonts w:ascii="Wingdings" w:hAnsi="Wingdings" w:hint="default"/>
      </w:rPr>
    </w:lvl>
    <w:lvl w:ilvl="7" w:tplc="8A7C2A18" w:tentative="1">
      <w:start w:val="1"/>
      <w:numFmt w:val="bullet"/>
      <w:lvlText w:val=""/>
      <w:lvlJc w:val="left"/>
      <w:pPr>
        <w:tabs>
          <w:tab w:val="num" w:pos="5760"/>
        </w:tabs>
        <w:ind w:left="5760" w:hanging="360"/>
      </w:pPr>
      <w:rPr>
        <w:rFonts w:ascii="Wingdings" w:hAnsi="Wingdings" w:hint="default"/>
      </w:rPr>
    </w:lvl>
    <w:lvl w:ilvl="8" w:tplc="3118CD7A"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090"/>
    <w:rsid w:val="00031CF9"/>
    <w:rsid w:val="0003254A"/>
    <w:rsid w:val="00040E7A"/>
    <w:rsid w:val="00065B72"/>
    <w:rsid w:val="000C5425"/>
    <w:rsid w:val="000D7C86"/>
    <w:rsid w:val="000F30FE"/>
    <w:rsid w:val="00131C60"/>
    <w:rsid w:val="00151142"/>
    <w:rsid w:val="001A01F7"/>
    <w:rsid w:val="001B5090"/>
    <w:rsid w:val="00206FCC"/>
    <w:rsid w:val="00233579"/>
    <w:rsid w:val="002622FC"/>
    <w:rsid w:val="00291859"/>
    <w:rsid w:val="002B5FB5"/>
    <w:rsid w:val="00335DD9"/>
    <w:rsid w:val="00377A91"/>
    <w:rsid w:val="00383A59"/>
    <w:rsid w:val="00394197"/>
    <w:rsid w:val="003A4F54"/>
    <w:rsid w:val="00435DE7"/>
    <w:rsid w:val="00472F5E"/>
    <w:rsid w:val="004D0FFD"/>
    <w:rsid w:val="00504C03"/>
    <w:rsid w:val="0051716B"/>
    <w:rsid w:val="0052520A"/>
    <w:rsid w:val="00541FD6"/>
    <w:rsid w:val="0054628F"/>
    <w:rsid w:val="005677FF"/>
    <w:rsid w:val="005A324A"/>
    <w:rsid w:val="005B0DFD"/>
    <w:rsid w:val="005C3C12"/>
    <w:rsid w:val="00641FE3"/>
    <w:rsid w:val="006748F1"/>
    <w:rsid w:val="006E2FA9"/>
    <w:rsid w:val="00703C45"/>
    <w:rsid w:val="00732D0E"/>
    <w:rsid w:val="007C3484"/>
    <w:rsid w:val="00875EAF"/>
    <w:rsid w:val="008C29FB"/>
    <w:rsid w:val="00921F1D"/>
    <w:rsid w:val="00923DB9"/>
    <w:rsid w:val="0095669B"/>
    <w:rsid w:val="00980EAE"/>
    <w:rsid w:val="009824EF"/>
    <w:rsid w:val="00985ECB"/>
    <w:rsid w:val="009F7185"/>
    <w:rsid w:val="00A23E05"/>
    <w:rsid w:val="00A369E7"/>
    <w:rsid w:val="00A53627"/>
    <w:rsid w:val="00AE14E2"/>
    <w:rsid w:val="00AF73C6"/>
    <w:rsid w:val="00B43B7A"/>
    <w:rsid w:val="00B82EB0"/>
    <w:rsid w:val="00B90FB5"/>
    <w:rsid w:val="00BA038A"/>
    <w:rsid w:val="00BB1F99"/>
    <w:rsid w:val="00BC144F"/>
    <w:rsid w:val="00BD2188"/>
    <w:rsid w:val="00CC402D"/>
    <w:rsid w:val="00CD2EF2"/>
    <w:rsid w:val="00D13D42"/>
    <w:rsid w:val="00D4160E"/>
    <w:rsid w:val="00E33EAA"/>
    <w:rsid w:val="00E340D0"/>
    <w:rsid w:val="00ED58A8"/>
    <w:rsid w:val="00F05D67"/>
    <w:rsid w:val="00F24BE6"/>
    <w:rsid w:val="00FA026E"/>
    <w:rsid w:val="00FB2BD4"/>
    <w:rsid w:val="00FB4D17"/>
    <w:rsid w:val="00FE5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3A6"/>
  </w:style>
  <w:style w:type="paragraph" w:styleId="Footer">
    <w:name w:val="footer"/>
    <w:basedOn w:val="Normal"/>
    <w:link w:val="FooterChar"/>
    <w:uiPriority w:val="99"/>
    <w:unhideWhenUsed/>
    <w:rsid w:val="00AF4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3A6"/>
  </w:style>
  <w:style w:type="paragraph" w:styleId="BalloonText">
    <w:name w:val="Balloon Text"/>
    <w:basedOn w:val="Normal"/>
    <w:link w:val="BalloonTextChar"/>
    <w:uiPriority w:val="99"/>
    <w:semiHidden/>
    <w:unhideWhenUsed/>
    <w:rsid w:val="00AF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A6"/>
    <w:rPr>
      <w:rFonts w:ascii="Tahoma" w:hAnsi="Tahoma" w:cs="Tahoma"/>
      <w:sz w:val="16"/>
      <w:szCs w:val="16"/>
    </w:rPr>
  </w:style>
  <w:style w:type="character" w:styleId="Hyperlink">
    <w:name w:val="Hyperlink"/>
    <w:basedOn w:val="DefaultParagraphFont"/>
    <w:uiPriority w:val="99"/>
    <w:unhideWhenUsed/>
    <w:rsid w:val="00A93A1F"/>
    <w:rPr>
      <w:color w:val="0000FF" w:themeColor="hyperlink"/>
      <w:u w:val="single"/>
    </w:rPr>
  </w:style>
  <w:style w:type="paragraph" w:styleId="ListParagraph">
    <w:name w:val="List Paragraph"/>
    <w:basedOn w:val="Normal"/>
    <w:uiPriority w:val="34"/>
    <w:qFormat/>
    <w:rsid w:val="00F05D67"/>
    <w:pPr>
      <w:ind w:left="720"/>
      <w:contextualSpacing/>
    </w:pPr>
  </w:style>
  <w:style w:type="paragraph" w:styleId="Revision">
    <w:name w:val="Revision"/>
    <w:hidden/>
    <w:uiPriority w:val="99"/>
    <w:semiHidden/>
    <w:rsid w:val="00065B72"/>
    <w:pPr>
      <w:spacing w:after="0" w:line="240" w:lineRule="auto"/>
    </w:pPr>
  </w:style>
  <w:style w:type="paragraph" w:styleId="NormalWeb">
    <w:name w:val="Normal (Web)"/>
    <w:basedOn w:val="Normal"/>
    <w:uiPriority w:val="99"/>
    <w:semiHidden/>
    <w:unhideWhenUsed/>
    <w:rsid w:val="00A23E0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PageNumber">
    <w:name w:val="page number"/>
    <w:basedOn w:val="DefaultParagraphFont"/>
    <w:uiPriority w:val="99"/>
    <w:semiHidden/>
    <w:unhideWhenUsed/>
    <w:rsid w:val="009824E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4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43A6"/>
  </w:style>
  <w:style w:type="paragraph" w:styleId="Footer">
    <w:name w:val="footer"/>
    <w:basedOn w:val="Normal"/>
    <w:link w:val="FooterChar"/>
    <w:uiPriority w:val="99"/>
    <w:unhideWhenUsed/>
    <w:rsid w:val="00AF4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43A6"/>
  </w:style>
  <w:style w:type="paragraph" w:styleId="BalloonText">
    <w:name w:val="Balloon Text"/>
    <w:basedOn w:val="Normal"/>
    <w:link w:val="BalloonTextChar"/>
    <w:uiPriority w:val="99"/>
    <w:semiHidden/>
    <w:unhideWhenUsed/>
    <w:rsid w:val="00AF4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3A6"/>
    <w:rPr>
      <w:rFonts w:ascii="Tahoma" w:hAnsi="Tahoma" w:cs="Tahoma"/>
      <w:sz w:val="16"/>
      <w:szCs w:val="16"/>
    </w:rPr>
  </w:style>
  <w:style w:type="character" w:styleId="Hyperlink">
    <w:name w:val="Hyperlink"/>
    <w:basedOn w:val="DefaultParagraphFont"/>
    <w:uiPriority w:val="99"/>
    <w:unhideWhenUsed/>
    <w:rsid w:val="00A93A1F"/>
    <w:rPr>
      <w:color w:val="0000FF" w:themeColor="hyperlink"/>
      <w:u w:val="single"/>
    </w:rPr>
  </w:style>
  <w:style w:type="paragraph" w:styleId="ListParagraph">
    <w:name w:val="List Paragraph"/>
    <w:basedOn w:val="Normal"/>
    <w:uiPriority w:val="34"/>
    <w:qFormat/>
    <w:rsid w:val="00F05D67"/>
    <w:pPr>
      <w:ind w:left="720"/>
      <w:contextualSpacing/>
    </w:pPr>
  </w:style>
  <w:style w:type="paragraph" w:styleId="Revision">
    <w:name w:val="Revision"/>
    <w:hidden/>
    <w:uiPriority w:val="99"/>
    <w:semiHidden/>
    <w:rsid w:val="00065B72"/>
    <w:pPr>
      <w:spacing w:after="0" w:line="240" w:lineRule="auto"/>
    </w:pPr>
  </w:style>
  <w:style w:type="paragraph" w:styleId="NormalWeb">
    <w:name w:val="Normal (Web)"/>
    <w:basedOn w:val="Normal"/>
    <w:uiPriority w:val="99"/>
    <w:semiHidden/>
    <w:unhideWhenUsed/>
    <w:rsid w:val="00A23E05"/>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styleId="PageNumber">
    <w:name w:val="page number"/>
    <w:basedOn w:val="DefaultParagraphFont"/>
    <w:uiPriority w:val="99"/>
    <w:semiHidden/>
    <w:unhideWhenUsed/>
    <w:rsid w:val="0098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314209">
      <w:bodyDiv w:val="1"/>
      <w:marLeft w:val="0"/>
      <w:marRight w:val="0"/>
      <w:marTop w:val="0"/>
      <w:marBottom w:val="0"/>
      <w:divBdr>
        <w:top w:val="none" w:sz="0" w:space="0" w:color="auto"/>
        <w:left w:val="none" w:sz="0" w:space="0" w:color="auto"/>
        <w:bottom w:val="none" w:sz="0" w:space="0" w:color="auto"/>
        <w:right w:val="none" w:sz="0" w:space="0" w:color="auto"/>
      </w:divBdr>
    </w:div>
    <w:div w:id="204578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ctor.leung\Local%20Settings\Temporary%20Internet%20Files\Content.Outlook\OUD7109W\Veda_wordtemplate_ma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58BC-B179-3D4E-9366-68BE802A2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Settings\victor.leung\Local Settings\Temporary Internet Files\Content.Outlook\OUD7109W\Veda_wordtemplate_master.dotx</Template>
  <TotalTime>1</TotalTime>
  <Pages>3</Pages>
  <Words>464</Words>
  <Characters>2647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dc:creator>
  <cp:lastModifiedBy>Leigh Pearson</cp:lastModifiedBy>
  <cp:revision>2</cp:revision>
  <cp:lastPrinted>2013-12-15T22:54:00Z</cp:lastPrinted>
  <dcterms:created xsi:type="dcterms:W3CDTF">2013-12-16T01:21:00Z</dcterms:created>
  <dcterms:modified xsi:type="dcterms:W3CDTF">2013-12-16T01:21:00Z</dcterms:modified>
</cp:coreProperties>
</file>