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2CF4" w:rsidRDefault="00C60756">
      <w:pPr>
        <w:pStyle w:val="Heading3"/>
        <w:jc w:val="both"/>
      </w:pPr>
      <w:r>
        <w:rPr>
          <w:rFonts w:ascii="Calibri" w:eastAsia="Calibri" w:hAnsi="Calibri" w:cs="Calibri"/>
        </w:rPr>
        <w:t>Media release</w:t>
      </w:r>
    </w:p>
    <w:p w:rsidR="00C62CF4" w:rsidRDefault="00E37E80">
      <w:pPr>
        <w:pStyle w:val="normal0"/>
        <w:jc w:val="both"/>
      </w:pPr>
      <w:r>
        <w:rPr>
          <w:sz w:val="28"/>
        </w:rPr>
        <w:t>9</w:t>
      </w:r>
      <w:r w:rsidR="00C60756">
        <w:rPr>
          <w:sz w:val="28"/>
          <w:vertAlign w:val="superscript"/>
        </w:rPr>
        <w:t>th</w:t>
      </w:r>
      <w:r>
        <w:rPr>
          <w:sz w:val="28"/>
        </w:rPr>
        <w:t>Decem</w:t>
      </w:r>
      <w:r w:rsidR="00C60756">
        <w:rPr>
          <w:sz w:val="28"/>
        </w:rPr>
        <w:t>ber</w:t>
      </w:r>
    </w:p>
    <w:p w:rsidR="00C62CF4" w:rsidRDefault="00EE2153">
      <w:pPr>
        <w:pStyle w:val="normal0"/>
        <w:spacing w:after="0" w:line="240" w:lineRule="auto"/>
      </w:pPr>
      <w:r>
        <w:rPr>
          <w:b/>
          <w:sz w:val="32"/>
        </w:rPr>
        <w:t>LVR changes st</w:t>
      </w:r>
      <w:r w:rsidR="008347CD">
        <w:rPr>
          <w:b/>
          <w:sz w:val="32"/>
        </w:rPr>
        <w:t xml:space="preserve">arting to have </w:t>
      </w:r>
      <w:r w:rsidR="001134AB">
        <w:rPr>
          <w:b/>
          <w:sz w:val="32"/>
        </w:rPr>
        <w:t>an</w:t>
      </w:r>
      <w:r w:rsidR="008347CD">
        <w:rPr>
          <w:b/>
          <w:sz w:val="32"/>
        </w:rPr>
        <w:t xml:space="preserve"> influence</w:t>
      </w:r>
    </w:p>
    <w:p w:rsidR="00C62CF4" w:rsidRDefault="00C62CF4">
      <w:pPr>
        <w:pStyle w:val="normal0"/>
        <w:spacing w:after="0" w:line="240" w:lineRule="auto"/>
      </w:pPr>
    </w:p>
    <w:p w:rsidR="00C62CF4" w:rsidRDefault="00C60756">
      <w:pPr>
        <w:pStyle w:val="normal0"/>
        <w:spacing w:after="0" w:line="240" w:lineRule="auto"/>
      </w:pPr>
      <w:r>
        <w:t xml:space="preserve">The latest monthly property value index shows that nationwide residential values for </w:t>
      </w:r>
      <w:r w:rsidR="00E61D32">
        <w:t>November have increased 9.2% over the past year, and 2.5</w:t>
      </w:r>
      <w:r>
        <w:t>% over the past three mon</w:t>
      </w:r>
      <w:r w:rsidR="00E61D32">
        <w:t>ths.  This means they are now 11</w:t>
      </w:r>
      <w:r>
        <w:t xml:space="preserve">% above the previous market peak of late 2007. </w:t>
      </w:r>
      <w:r w:rsidRPr="00DB6C42">
        <w:t>When adjusted for inflation the nationwide annua</w:t>
      </w:r>
      <w:r w:rsidR="00DB6C42" w:rsidRPr="00DB6C42">
        <w:t>l increase drops slightly to 7.7</w:t>
      </w:r>
      <w:r w:rsidRPr="00DB6C42">
        <w:t>% and values remain below the 2007 peak by 4.</w:t>
      </w:r>
      <w:r w:rsidR="00DB6C42" w:rsidRPr="00DB6C42">
        <w:t>3</w:t>
      </w:r>
      <w:r w:rsidRPr="00DB6C42">
        <w:t>%.</w:t>
      </w:r>
    </w:p>
    <w:p w:rsidR="00C62CF4" w:rsidRDefault="00C62CF4">
      <w:pPr>
        <w:pStyle w:val="normal0"/>
        <w:spacing w:after="0" w:line="240" w:lineRule="auto"/>
      </w:pPr>
    </w:p>
    <w:p w:rsidR="00C62CF4" w:rsidRDefault="00C60756">
      <w:pPr>
        <w:pStyle w:val="normal0"/>
        <w:spacing w:after="0" w:line="240" w:lineRule="auto"/>
      </w:pPr>
      <w:r>
        <w:t xml:space="preserve">The </w:t>
      </w:r>
      <w:r w:rsidR="00E61D32">
        <w:t>Auckland market has increased 15</w:t>
      </w:r>
      <w:r>
        <w:t>.</w:t>
      </w:r>
      <w:r w:rsidR="00E61D32">
        <w:t>2</w:t>
      </w:r>
      <w:r>
        <w:t>% year on year and values are 2</w:t>
      </w:r>
      <w:r w:rsidR="00E61D32">
        <w:t>5.4</w:t>
      </w:r>
      <w:r>
        <w:t>% above the previous peak</w:t>
      </w:r>
      <w:r w:rsidRPr="00DB6C42">
        <w:t>.  When adjusted for inflation values are up 13</w:t>
      </w:r>
      <w:r w:rsidR="00DB6C42" w:rsidRPr="00DB6C42">
        <w:t>.7% over the past year and are 8.1</w:t>
      </w:r>
      <w:r w:rsidRPr="00DB6C42">
        <w:t>% above the 2007 peak.</w:t>
      </w:r>
    </w:p>
    <w:p w:rsidR="00C62CF4" w:rsidRDefault="00C62CF4">
      <w:pPr>
        <w:pStyle w:val="normal0"/>
        <w:spacing w:after="0" w:line="240" w:lineRule="auto"/>
      </w:pPr>
    </w:p>
    <w:p w:rsidR="00C62CF4" w:rsidRDefault="0042110E">
      <w:pPr>
        <w:pStyle w:val="normal0"/>
        <w:spacing w:after="0" w:line="240" w:lineRule="auto"/>
      </w:pPr>
      <w:r w:rsidRPr="0042110E">
        <w:drawing>
          <wp:inline distT="0" distB="0" distL="0" distR="0">
            <wp:extent cx="5210175" cy="445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10175" cy="4457700"/>
                    </a:xfrm>
                    <a:prstGeom prst="rect">
                      <a:avLst/>
                    </a:prstGeom>
                    <a:noFill/>
                    <a:ln w="9525">
                      <a:noFill/>
                      <a:miter lim="800000"/>
                      <a:headEnd/>
                      <a:tailEnd/>
                    </a:ln>
                  </pic:spPr>
                </pic:pic>
              </a:graphicData>
            </a:graphic>
          </wp:inline>
        </w:drawing>
      </w:r>
    </w:p>
    <w:p w:rsidR="00C62CF4" w:rsidRDefault="00C60756">
      <w:pPr>
        <w:pStyle w:val="normal0"/>
        <w:spacing w:after="0" w:line="240" w:lineRule="auto"/>
      </w:pPr>
      <w:proofErr w:type="spellStart"/>
      <w:r>
        <w:t>Jonno</w:t>
      </w:r>
      <w:proofErr w:type="spellEnd"/>
      <w:r w:rsidR="001134AB">
        <w:t xml:space="preserve"> </w:t>
      </w:r>
      <w:proofErr w:type="spellStart"/>
      <w:r>
        <w:t>Ingerson</w:t>
      </w:r>
      <w:proofErr w:type="spellEnd"/>
      <w:r>
        <w:t>, QV</w:t>
      </w:r>
      <w:r w:rsidR="00DE678B">
        <w:t>.co.nz Research Director said “</w:t>
      </w:r>
      <w:r w:rsidR="00B8521E">
        <w:t>While it is still too early to see any definitive effect on values from the LVR changes, there are signs of changes in the market. There are reports of fewer potential buyers at open homes, longer marketing periods</w:t>
      </w:r>
      <w:r w:rsidR="00147DC7">
        <w:t>,</w:t>
      </w:r>
      <w:r w:rsidR="00B8521E">
        <w:t xml:space="preserve"> and fewer auctions selling on the day.</w:t>
      </w:r>
      <w:r>
        <w:t>"</w:t>
      </w:r>
    </w:p>
    <w:p w:rsidR="00B8521E" w:rsidRDefault="00B8521E">
      <w:pPr>
        <w:pStyle w:val="normal0"/>
        <w:spacing w:after="0" w:line="240" w:lineRule="auto"/>
      </w:pPr>
    </w:p>
    <w:p w:rsidR="00C62CF4" w:rsidRDefault="00C60756">
      <w:pPr>
        <w:pStyle w:val="normal0"/>
        <w:spacing w:after="0" w:line="240" w:lineRule="auto"/>
      </w:pPr>
      <w:r>
        <w:t>"</w:t>
      </w:r>
      <w:r w:rsidR="00B8521E">
        <w:t>In the last three months there has been an increase in the number of completed sales to first home buyers. Some of this activity will have been due to people trying to purchase before their pre-approval expired.</w:t>
      </w:r>
      <w:r w:rsidR="00147DC7">
        <w:t xml:space="preserve"> While there is anecdotal evidence of far fewer first hom</w:t>
      </w:r>
      <w:r w:rsidR="004A7920">
        <w:t>e buyers in the market this has yet to come through in the statistics.</w:t>
      </w:r>
      <w:r>
        <w:t>"</w:t>
      </w:r>
    </w:p>
    <w:p w:rsidR="00B8521E" w:rsidRDefault="00B8521E">
      <w:pPr>
        <w:pStyle w:val="normal0"/>
        <w:spacing w:after="0" w:line="240" w:lineRule="auto"/>
      </w:pPr>
    </w:p>
    <w:p w:rsidR="00147DC7" w:rsidRDefault="00B8521E">
      <w:pPr>
        <w:pStyle w:val="normal0"/>
        <w:spacing w:after="0" w:line="240" w:lineRule="auto"/>
      </w:pPr>
      <w:r>
        <w:lastRenderedPageBreak/>
        <w:t>"A slowdown in activity in Auckland may be due to people sitting back to assess the impact of the LVR caps on the market.</w:t>
      </w:r>
      <w:r w:rsidR="00147DC7">
        <w:t xml:space="preserve"> There remains a fundamental imbalance between supply and demand, with an increasing population and not enough houses. This should continue to fuel activity so this </w:t>
      </w:r>
      <w:r w:rsidR="004A7920">
        <w:t xml:space="preserve">current </w:t>
      </w:r>
      <w:r w:rsidR="006D17ED">
        <w:t>slowdown may be temporary."</w:t>
      </w:r>
    </w:p>
    <w:p w:rsidR="00147DC7" w:rsidRDefault="00147DC7">
      <w:pPr>
        <w:pStyle w:val="normal0"/>
        <w:spacing w:after="0" w:line="240" w:lineRule="auto"/>
      </w:pPr>
    </w:p>
    <w:p w:rsidR="00B8521E" w:rsidRDefault="00147DC7">
      <w:pPr>
        <w:pStyle w:val="normal0"/>
        <w:spacing w:after="0" w:line="240" w:lineRule="auto"/>
      </w:pPr>
      <w:r>
        <w:t>"In areas of the country outside Auckland and Canterbury</w:t>
      </w:r>
      <w:r w:rsidR="006D17ED">
        <w:t>, where</w:t>
      </w:r>
      <w:r>
        <w:t xml:space="preserve"> there is not as much of an imbalance between supply and demand, the LVR changes are likely to have a more marked impact</w:t>
      </w:r>
      <w:r w:rsidR="004A7920">
        <w:t>. The reduction in first home buyers will lessen activity and the reduced demand should see values slow down.</w:t>
      </w:r>
      <w:r>
        <w:t>"</w:t>
      </w:r>
    </w:p>
    <w:p w:rsidR="00147DC7" w:rsidRDefault="00147DC7">
      <w:pPr>
        <w:pStyle w:val="normal0"/>
        <w:spacing w:after="0" w:line="240" w:lineRule="auto"/>
      </w:pPr>
    </w:p>
    <w:p w:rsidR="00147DC7" w:rsidRDefault="00147DC7">
      <w:pPr>
        <w:pStyle w:val="normal0"/>
        <w:spacing w:after="0" w:line="240" w:lineRule="auto"/>
      </w:pPr>
      <w:r>
        <w:t>"Christmas is usually a time of the year when property market activity slows down dramatically and people use the holiday period to reconsider their intentions. It should start to become clear by March which direction the market is heading."</w:t>
      </w:r>
    </w:p>
    <w:p w:rsidR="00C62CF4" w:rsidRDefault="00C62CF4">
      <w:pPr>
        <w:pStyle w:val="normal0"/>
        <w:spacing w:after="0" w:line="240" w:lineRule="auto"/>
      </w:pPr>
    </w:p>
    <w:p w:rsidR="00C62CF4" w:rsidRDefault="00C60756">
      <w:pPr>
        <w:pStyle w:val="normal0"/>
        <w:spacing w:after="0" w:line="240" w:lineRule="auto"/>
      </w:pPr>
      <w:r>
        <w:rPr>
          <w:b/>
        </w:rPr>
        <w:t>Auckland</w:t>
      </w:r>
    </w:p>
    <w:p w:rsidR="00C62CF4" w:rsidRDefault="00C60756">
      <w:pPr>
        <w:pStyle w:val="normal0"/>
        <w:spacing w:after="0" w:line="240" w:lineRule="auto"/>
      </w:pPr>
      <w:r>
        <w:t xml:space="preserve">Values across Auckland </w:t>
      </w:r>
      <w:r w:rsidR="0002652E">
        <w:t xml:space="preserve">are still increasing, with the </w:t>
      </w:r>
      <w:proofErr w:type="spellStart"/>
      <w:r w:rsidR="0002652E">
        <w:t>supercity</w:t>
      </w:r>
      <w:proofErr w:type="spellEnd"/>
      <w:r w:rsidR="0002652E">
        <w:t xml:space="preserve"> now up 15.2</w:t>
      </w:r>
      <w:r>
        <w:t xml:space="preserve">% above last year.  </w:t>
      </w:r>
      <w:proofErr w:type="spellStart"/>
      <w:r>
        <w:t>Waitakere</w:t>
      </w:r>
      <w:proofErr w:type="spellEnd"/>
      <w:r>
        <w:t xml:space="preserve"> still</w:t>
      </w:r>
      <w:r w:rsidR="0002652E">
        <w:t xml:space="preserve"> has the </w:t>
      </w:r>
      <w:r w:rsidR="00DB6C42">
        <w:t xml:space="preserve">fastest annual increase of </w:t>
      </w:r>
      <w:r w:rsidR="0002652E">
        <w:t>19%,</w:t>
      </w:r>
      <w:r>
        <w:t xml:space="preserve"> with North Shore </w:t>
      </w:r>
      <w:r w:rsidR="0002652E">
        <w:t xml:space="preserve">the </w:t>
      </w:r>
      <w:r w:rsidR="00DB6C42">
        <w:t xml:space="preserve">next </w:t>
      </w:r>
      <w:r w:rsidR="0002652E">
        <w:t>closest at 16.8%.</w:t>
      </w:r>
    </w:p>
    <w:p w:rsidR="00C62CF4" w:rsidRDefault="00C62CF4">
      <w:pPr>
        <w:pStyle w:val="normal0"/>
        <w:spacing w:after="0" w:line="240" w:lineRule="auto"/>
      </w:pPr>
    </w:p>
    <w:p w:rsidR="004503D7" w:rsidRDefault="00C60756">
      <w:pPr>
        <w:pStyle w:val="normal0"/>
        <w:spacing w:after="0" w:line="240" w:lineRule="auto"/>
      </w:pPr>
      <w:r>
        <w:t xml:space="preserve">Over the past three months, </w:t>
      </w:r>
      <w:r w:rsidR="004503D7">
        <w:t xml:space="preserve">growth has continued across the entire city, with Rodney in the north </w:t>
      </w:r>
      <w:r w:rsidR="00DB6C42">
        <w:t>seeing the least growth at 3.5</w:t>
      </w:r>
      <w:r w:rsidR="004503D7">
        <w:t xml:space="preserve">%, and </w:t>
      </w:r>
      <w:proofErr w:type="spellStart"/>
      <w:r w:rsidR="004503D7">
        <w:t>Waitakere</w:t>
      </w:r>
      <w:proofErr w:type="spellEnd"/>
      <w:r w:rsidR="004503D7">
        <w:t xml:space="preserve"> seeing the most at 6.8%.  </w:t>
      </w:r>
      <w:proofErr w:type="spellStart"/>
      <w:r w:rsidR="004503D7">
        <w:t>Papakura</w:t>
      </w:r>
      <w:proofErr w:type="spellEnd"/>
      <w:r w:rsidR="004503D7">
        <w:t xml:space="preserve"> is next in line with 6.1% growth over the last three months, whilst North Shore is sitting </w:t>
      </w:r>
      <w:r w:rsidR="00DB6C42">
        <w:t xml:space="preserve">at 5.6%, </w:t>
      </w:r>
      <w:r w:rsidR="004503D7">
        <w:t xml:space="preserve">old Auckland City </w:t>
      </w:r>
      <w:r w:rsidR="00DB6C42">
        <w:t xml:space="preserve">at 5.3% and </w:t>
      </w:r>
      <w:proofErr w:type="spellStart"/>
      <w:r w:rsidR="004503D7">
        <w:t>Manukau</w:t>
      </w:r>
      <w:proofErr w:type="spellEnd"/>
      <w:r w:rsidR="004503D7">
        <w:t xml:space="preserve"> </w:t>
      </w:r>
      <w:r w:rsidR="00DB6C42">
        <w:t>at 5.0%</w:t>
      </w:r>
      <w:r w:rsidR="004503D7">
        <w:t>.</w:t>
      </w:r>
    </w:p>
    <w:p w:rsidR="00C62CF4" w:rsidRDefault="00C62CF4">
      <w:pPr>
        <w:pStyle w:val="normal0"/>
        <w:spacing w:after="0" w:line="240" w:lineRule="auto"/>
      </w:pPr>
    </w:p>
    <w:p w:rsidR="00AF0422" w:rsidRDefault="00C60756">
      <w:pPr>
        <w:pStyle w:val="normal0"/>
        <w:spacing w:after="0" w:line="240" w:lineRule="auto"/>
      </w:pPr>
      <w:r>
        <w:t xml:space="preserve">Within these areas, </w:t>
      </w:r>
      <w:r w:rsidR="00AF0422">
        <w:t xml:space="preserve">North Shore </w:t>
      </w:r>
      <w:proofErr w:type="spellStart"/>
      <w:r w:rsidR="00AF0422">
        <w:t>Onewa</w:t>
      </w:r>
      <w:proofErr w:type="spellEnd"/>
      <w:r w:rsidR="00AF0422">
        <w:t xml:space="preserve"> is still performing strongly having seen a 6.5% increase over the past three months, with Auckland City East and </w:t>
      </w:r>
      <w:proofErr w:type="spellStart"/>
      <w:r w:rsidR="00AF0422">
        <w:t>Manukau</w:t>
      </w:r>
      <w:proofErr w:type="spellEnd"/>
      <w:r w:rsidR="00AF0422">
        <w:t xml:space="preserve"> East the best performing areas in their regions, both seeing a 5.3% increase over the past three months.</w:t>
      </w:r>
    </w:p>
    <w:p w:rsidR="00C62CF4" w:rsidRDefault="00C62CF4">
      <w:pPr>
        <w:pStyle w:val="normal0"/>
        <w:spacing w:after="0" w:line="240" w:lineRule="auto"/>
      </w:pPr>
    </w:p>
    <w:p w:rsidR="00E312D9" w:rsidRDefault="00C60756" w:rsidP="00E312D9">
      <w:pPr>
        <w:pStyle w:val="normal0"/>
        <w:spacing w:after="0" w:line="240" w:lineRule="auto"/>
      </w:pPr>
      <w:r>
        <w:t xml:space="preserve">QV Valuer Bruce Wiggins </w:t>
      </w:r>
      <w:r w:rsidRPr="00E312D9">
        <w:t>said “</w:t>
      </w:r>
      <w:r w:rsidR="00E312D9">
        <w:t>Although there has</w:t>
      </w:r>
      <w:r w:rsidR="001134AB">
        <w:t xml:space="preserve"> not yet </w:t>
      </w:r>
      <w:r w:rsidR="00E312D9">
        <w:t xml:space="preserve">been </w:t>
      </w:r>
      <w:r w:rsidR="001134AB">
        <w:t xml:space="preserve">any </w:t>
      </w:r>
      <w:r w:rsidR="00E312D9">
        <w:t>distinct impact of the LVR changes in the Auckland market, we are starting to see some changes with open home numbers decreasing and more sales by negotiation as opposed to auction.</w:t>
      </w:r>
      <w:r w:rsidR="001134AB">
        <w:t xml:space="preserve"> </w:t>
      </w:r>
      <w:r w:rsidR="00E312D9">
        <w:t xml:space="preserve">Investors are also in the </w:t>
      </w:r>
      <w:proofErr w:type="gramStart"/>
      <w:r w:rsidR="00E312D9">
        <w:t>market,</w:t>
      </w:r>
      <w:proofErr w:type="gramEnd"/>
      <w:r w:rsidR="00E312D9">
        <w:t xml:space="preserve"> however they are only progressing on properties where they will see good returns.”</w:t>
      </w:r>
      <w:r w:rsidR="00E312D9">
        <w:tab/>
      </w:r>
    </w:p>
    <w:p w:rsidR="00C62CF4" w:rsidRDefault="00C62CF4" w:rsidP="00E312D9">
      <w:pPr>
        <w:pStyle w:val="normal0"/>
        <w:spacing w:after="0" w:line="240" w:lineRule="auto"/>
      </w:pPr>
    </w:p>
    <w:p w:rsidR="00C62CF4" w:rsidRDefault="00C60756">
      <w:pPr>
        <w:pStyle w:val="normal0"/>
        <w:spacing w:after="0" w:line="240" w:lineRule="auto"/>
      </w:pPr>
      <w:r>
        <w:rPr>
          <w:b/>
        </w:rPr>
        <w:t xml:space="preserve">Hamilton and </w:t>
      </w:r>
      <w:proofErr w:type="spellStart"/>
      <w:r>
        <w:rPr>
          <w:b/>
        </w:rPr>
        <w:t>Tauranga</w:t>
      </w:r>
      <w:proofErr w:type="spellEnd"/>
    </w:p>
    <w:p w:rsidR="00C62CF4" w:rsidRDefault="00C60756">
      <w:pPr>
        <w:pStyle w:val="normal0"/>
        <w:spacing w:after="0" w:line="240" w:lineRule="auto"/>
      </w:pPr>
      <w:r>
        <w:t xml:space="preserve">Values in Hamilton are still </w:t>
      </w:r>
      <w:r w:rsidR="00AF0422">
        <w:t xml:space="preserve">steadily </w:t>
      </w:r>
      <w:r>
        <w:t>growing</w:t>
      </w:r>
      <w:r w:rsidR="00AF0422">
        <w:t>, now up 1.8</w:t>
      </w:r>
      <w:r>
        <w:t>% ove</w:t>
      </w:r>
      <w:r w:rsidR="00AF0422">
        <w:t>r the past three months, and 5.5</w:t>
      </w:r>
      <w:r>
        <w:t>% over the past year.</w:t>
      </w:r>
    </w:p>
    <w:p w:rsidR="00C62CF4" w:rsidRDefault="00C62CF4">
      <w:pPr>
        <w:pStyle w:val="normal0"/>
        <w:spacing w:after="0" w:line="240" w:lineRule="auto"/>
      </w:pPr>
    </w:p>
    <w:p w:rsidR="00C62CF4" w:rsidRDefault="00C60756">
      <w:pPr>
        <w:pStyle w:val="normal0"/>
        <w:spacing w:after="0" w:line="240" w:lineRule="auto"/>
      </w:pPr>
      <w:r>
        <w:t>QV Valuer Richard Al</w:t>
      </w:r>
      <w:r w:rsidRPr="00325A6F">
        <w:t>len said “</w:t>
      </w:r>
      <w:r w:rsidR="00325A6F" w:rsidRPr="00325A6F">
        <w:t>The LVR changes might be taking a slight toll in the western areas of Hamilton, which traditionally attracts first home buyers, as we have</w:t>
      </w:r>
      <w:r w:rsidR="00325A6F">
        <w:t xml:space="preserve"> seen demand start to drop here</w:t>
      </w:r>
      <w:r w:rsidR="00325A6F" w:rsidRPr="00325A6F">
        <w:t>.</w:t>
      </w:r>
      <w:r w:rsidRPr="00325A6F">
        <w:t>”</w:t>
      </w:r>
    </w:p>
    <w:p w:rsidR="00C62CF4" w:rsidRDefault="00C62CF4">
      <w:pPr>
        <w:pStyle w:val="normal0"/>
        <w:spacing w:after="0" w:line="240" w:lineRule="auto"/>
      </w:pPr>
    </w:p>
    <w:p w:rsidR="000A6094" w:rsidRDefault="00C60756">
      <w:pPr>
        <w:pStyle w:val="normal0"/>
        <w:spacing w:after="0" w:line="240" w:lineRule="auto"/>
      </w:pPr>
      <w:proofErr w:type="spellStart"/>
      <w:r>
        <w:t>Tauranga</w:t>
      </w:r>
      <w:proofErr w:type="spellEnd"/>
      <w:r w:rsidR="001134AB">
        <w:t xml:space="preserve"> </w:t>
      </w:r>
      <w:r w:rsidR="00AF0422">
        <w:t>remains patchy, with values now3.5</w:t>
      </w:r>
      <w:r>
        <w:t>% a</w:t>
      </w:r>
      <w:r w:rsidR="00AF0422">
        <w:t>bove this time last year and 1.5</w:t>
      </w:r>
      <w:r>
        <w:t xml:space="preserve">% over the past three months. </w:t>
      </w:r>
    </w:p>
    <w:p w:rsidR="000A6094" w:rsidRDefault="000A6094">
      <w:pPr>
        <w:pStyle w:val="normal0"/>
        <w:spacing w:after="0" w:line="240" w:lineRule="auto"/>
      </w:pPr>
    </w:p>
    <w:p w:rsidR="00C62CF4" w:rsidRDefault="000A6094">
      <w:pPr>
        <w:pStyle w:val="normal0"/>
        <w:spacing w:after="0" w:line="240" w:lineRule="auto"/>
      </w:pPr>
      <w:r>
        <w:t>“Although interest from first home buyers is lacking, investors and holiday home buyers s</w:t>
      </w:r>
      <w:r w:rsidR="00E4054A">
        <w:t>till appear to be in the market</w:t>
      </w:r>
      <w:r>
        <w:t>”</w:t>
      </w:r>
      <w:r w:rsidR="00E4054A">
        <w:t xml:space="preserve"> said Richard Allen.</w:t>
      </w:r>
    </w:p>
    <w:p w:rsidR="00C62CF4" w:rsidRDefault="00C62CF4">
      <w:pPr>
        <w:pStyle w:val="normal0"/>
        <w:spacing w:after="0" w:line="240" w:lineRule="auto"/>
      </w:pPr>
    </w:p>
    <w:p w:rsidR="00C62CF4" w:rsidRDefault="00C60756">
      <w:pPr>
        <w:pStyle w:val="normal0"/>
        <w:spacing w:after="0" w:line="240" w:lineRule="auto"/>
      </w:pPr>
      <w:r>
        <w:rPr>
          <w:b/>
        </w:rPr>
        <w:t>Wellington</w:t>
      </w:r>
    </w:p>
    <w:p w:rsidR="00120F2C" w:rsidRDefault="00C60756">
      <w:pPr>
        <w:pStyle w:val="normal0"/>
        <w:spacing w:after="0" w:line="240" w:lineRule="auto"/>
      </w:pPr>
      <w:r>
        <w:t>Values across the Wellington area have been pretty flat</w:t>
      </w:r>
      <w:r w:rsidR="00120F2C">
        <w:t xml:space="preserve"> with only a slight increase to see the region sitting </w:t>
      </w:r>
      <w:r>
        <w:t xml:space="preserve">3% above this time last year. </w:t>
      </w:r>
    </w:p>
    <w:p w:rsidR="00120F2C" w:rsidRDefault="00120F2C">
      <w:pPr>
        <w:pStyle w:val="normal0"/>
        <w:spacing w:after="0" w:line="240" w:lineRule="auto"/>
      </w:pPr>
    </w:p>
    <w:p w:rsidR="00C62CF4" w:rsidRDefault="00120F2C">
      <w:pPr>
        <w:pStyle w:val="normal0"/>
        <w:spacing w:after="0" w:line="240" w:lineRule="auto"/>
      </w:pPr>
      <w:r>
        <w:lastRenderedPageBreak/>
        <w:t xml:space="preserve">Lower Hutt, Upper Hutt and </w:t>
      </w:r>
      <w:proofErr w:type="spellStart"/>
      <w:r>
        <w:t>Porirua</w:t>
      </w:r>
      <w:proofErr w:type="spellEnd"/>
      <w:r>
        <w:t xml:space="preserve"> continue to fluctuate, all having seen a 0.2% decline over the past three months.  Annually, these regions are hovering around the 2-3% mark.</w:t>
      </w:r>
    </w:p>
    <w:p w:rsidR="00C62CF4" w:rsidRDefault="00C62CF4">
      <w:pPr>
        <w:pStyle w:val="normal0"/>
        <w:spacing w:after="0" w:line="240" w:lineRule="auto"/>
      </w:pPr>
    </w:p>
    <w:p w:rsidR="00120F2C" w:rsidRDefault="00120F2C">
      <w:pPr>
        <w:pStyle w:val="normal0"/>
        <w:spacing w:after="0" w:line="240" w:lineRule="auto"/>
      </w:pPr>
      <w:r>
        <w:t>In the city, things aren’t much better with increases at their highest in Wellington East, which saw 1.8% growth over the past three months.</w:t>
      </w:r>
    </w:p>
    <w:p w:rsidR="00C62CF4" w:rsidRDefault="00C62CF4">
      <w:pPr>
        <w:pStyle w:val="normal0"/>
        <w:spacing w:after="0" w:line="240" w:lineRule="auto"/>
      </w:pPr>
    </w:p>
    <w:p w:rsidR="00C62CF4" w:rsidRDefault="00C60756">
      <w:pPr>
        <w:pStyle w:val="normal0"/>
        <w:spacing w:after="0" w:line="240" w:lineRule="auto"/>
      </w:pPr>
      <w:r>
        <w:t>QV Valuer</w:t>
      </w:r>
      <w:r w:rsidR="001134AB">
        <w:t xml:space="preserve"> </w:t>
      </w:r>
      <w:r w:rsidR="004850E2">
        <w:t xml:space="preserve">Pieter </w:t>
      </w:r>
      <w:proofErr w:type="spellStart"/>
      <w:r w:rsidR="004850E2">
        <w:t>Geill</w:t>
      </w:r>
      <w:proofErr w:type="spellEnd"/>
      <w:r>
        <w:t xml:space="preserve"> said “</w:t>
      </w:r>
      <w:r w:rsidR="00367710">
        <w:t>Both the Wellington and Hutt Valley markets remain pretty flat, with buyers seemingly taking a lot of caution</w:t>
      </w:r>
      <w:r>
        <w:t>.”</w:t>
      </w:r>
    </w:p>
    <w:p w:rsidR="00C62CF4" w:rsidRDefault="00C62CF4">
      <w:pPr>
        <w:pStyle w:val="normal0"/>
        <w:spacing w:after="0" w:line="240" w:lineRule="auto"/>
      </w:pPr>
    </w:p>
    <w:p w:rsidR="00C62CF4" w:rsidRDefault="00C60756">
      <w:pPr>
        <w:pStyle w:val="normal0"/>
        <w:spacing w:after="0" w:line="240" w:lineRule="auto"/>
      </w:pPr>
      <w:r>
        <w:rPr>
          <w:b/>
        </w:rPr>
        <w:t>Christchurch and Dunedin</w:t>
      </w:r>
    </w:p>
    <w:p w:rsidR="00C62CF4" w:rsidRDefault="00120F2C">
      <w:pPr>
        <w:pStyle w:val="normal0"/>
        <w:spacing w:after="0" w:line="240" w:lineRule="auto"/>
      </w:pPr>
      <w:r>
        <w:t>V</w:t>
      </w:r>
      <w:r w:rsidR="00C60756">
        <w:t xml:space="preserve">alues </w:t>
      </w:r>
      <w:r>
        <w:t>in Christchurch still continue to grow, with fluctuations throughout the different suburbs.  Values are now 12.4% above last year and 3.2</w:t>
      </w:r>
      <w:r w:rsidR="00C60756">
        <w:t xml:space="preserve">% up over the past three months.  Apart from </w:t>
      </w:r>
      <w:r>
        <w:t>Banks Peninsula, which is down 1.1</w:t>
      </w:r>
      <w:r w:rsidR="00C60756">
        <w:t xml:space="preserve">% over the past three months, all other areas have increased with the </w:t>
      </w:r>
      <w:r>
        <w:t xml:space="preserve">Central and North </w:t>
      </w:r>
      <w:r w:rsidR="00C60756">
        <w:t xml:space="preserve">area of the city seeing </w:t>
      </w:r>
      <w:r>
        <w:t>the highest increase of 3.6</w:t>
      </w:r>
      <w:r w:rsidR="00C60756">
        <w:t>% increase.</w:t>
      </w:r>
    </w:p>
    <w:p w:rsidR="00C62CF4" w:rsidRDefault="00C62CF4">
      <w:pPr>
        <w:pStyle w:val="normal0"/>
        <w:spacing w:after="0" w:line="240" w:lineRule="auto"/>
      </w:pPr>
    </w:p>
    <w:p w:rsidR="00C62CF4" w:rsidRDefault="00C60756">
      <w:pPr>
        <w:pStyle w:val="normal0"/>
        <w:spacing w:after="0" w:line="240" w:lineRule="auto"/>
      </w:pPr>
      <w:r>
        <w:t>QV Valuer Daryl Taggart said “</w:t>
      </w:r>
      <w:r w:rsidR="00367710">
        <w:t>The market</w:t>
      </w:r>
      <w:r w:rsidR="004D6EB2">
        <w:t xml:space="preserve"> remains active but the LVR changes have removed some of the hype, and this is best seen in the activity at auctions.</w:t>
      </w:r>
      <w:r>
        <w:t>”</w:t>
      </w:r>
    </w:p>
    <w:p w:rsidR="00C62CF4" w:rsidRDefault="00C62CF4">
      <w:pPr>
        <w:pStyle w:val="normal0"/>
        <w:spacing w:after="0" w:line="240" w:lineRule="auto"/>
      </w:pPr>
    </w:p>
    <w:p w:rsidR="00C62CF4" w:rsidRDefault="00C60756">
      <w:pPr>
        <w:pStyle w:val="normal0"/>
        <w:spacing w:after="0" w:line="240" w:lineRule="auto"/>
      </w:pPr>
      <w:r>
        <w:t xml:space="preserve">Dunedin remains fairly steady, with values </w:t>
      </w:r>
      <w:r w:rsidR="006236B6">
        <w:t>now 3.5</w:t>
      </w:r>
      <w:r>
        <w:t>%</w:t>
      </w:r>
      <w:r w:rsidR="006236B6">
        <w:t xml:space="preserve"> above last year having seen a 1.3</w:t>
      </w:r>
      <w:r>
        <w:t>% increase over the past three months.</w:t>
      </w:r>
    </w:p>
    <w:p w:rsidR="00C62CF4" w:rsidRDefault="00C62CF4">
      <w:pPr>
        <w:pStyle w:val="normal0"/>
        <w:spacing w:after="0" w:line="240" w:lineRule="auto"/>
      </w:pPr>
    </w:p>
    <w:p w:rsidR="00C62CF4" w:rsidRDefault="00C60756">
      <w:pPr>
        <w:pStyle w:val="normal0"/>
        <w:spacing w:after="0" w:line="240" w:lineRule="auto"/>
      </w:pPr>
      <w:r>
        <w:t>QV Valuer Duncan Jack said “</w:t>
      </w:r>
      <w:r w:rsidR="006E049A">
        <w:t>Although we are seeing an improvement in listing numbers, the LVR changes are potentially the reason behind the slight drop in first home buyers</w:t>
      </w:r>
      <w:r w:rsidR="00BD31C8">
        <w:t xml:space="preserve"> in the market</w:t>
      </w:r>
      <w:r>
        <w:t>.”</w:t>
      </w:r>
    </w:p>
    <w:p w:rsidR="00C62CF4" w:rsidRDefault="00C62CF4">
      <w:pPr>
        <w:pStyle w:val="normal0"/>
        <w:spacing w:after="0" w:line="240" w:lineRule="auto"/>
      </w:pPr>
    </w:p>
    <w:p w:rsidR="00C62CF4" w:rsidRDefault="00C60756">
      <w:pPr>
        <w:pStyle w:val="normal0"/>
        <w:spacing w:after="0" w:line="240" w:lineRule="auto"/>
      </w:pPr>
      <w:r>
        <w:rPr>
          <w:b/>
        </w:rPr>
        <w:t xml:space="preserve">Provincial </w:t>
      </w:r>
      <w:proofErr w:type="spellStart"/>
      <w:r>
        <w:rPr>
          <w:b/>
        </w:rPr>
        <w:t>centres</w:t>
      </w:r>
      <w:proofErr w:type="spellEnd"/>
    </w:p>
    <w:p w:rsidR="00C62CF4" w:rsidRDefault="00C60756">
      <w:pPr>
        <w:pStyle w:val="normal0"/>
        <w:spacing w:after="0" w:line="240" w:lineRule="auto"/>
      </w:pPr>
      <w:r>
        <w:t xml:space="preserve">Most of the provincial </w:t>
      </w:r>
      <w:proofErr w:type="spellStart"/>
      <w:r>
        <w:t>centres</w:t>
      </w:r>
      <w:proofErr w:type="spellEnd"/>
      <w:r>
        <w:t xml:space="preserve"> are still experiencing growth</w:t>
      </w:r>
      <w:r w:rsidR="006236B6">
        <w:t>, although it is limited in some areas</w:t>
      </w:r>
      <w:r>
        <w:t xml:space="preserve">.  In the North Island, </w:t>
      </w:r>
      <w:proofErr w:type="spellStart"/>
      <w:r>
        <w:t>Whangerei</w:t>
      </w:r>
      <w:proofErr w:type="spellEnd"/>
      <w:r>
        <w:t xml:space="preserve">, </w:t>
      </w:r>
      <w:r w:rsidR="009854B4">
        <w:t xml:space="preserve">Thames-Coromandel, </w:t>
      </w:r>
      <w:proofErr w:type="spellStart"/>
      <w:r>
        <w:t>Taupo</w:t>
      </w:r>
      <w:proofErr w:type="spellEnd"/>
      <w:r>
        <w:t xml:space="preserve">, </w:t>
      </w:r>
      <w:proofErr w:type="spellStart"/>
      <w:r w:rsidR="009854B4">
        <w:t>Rotorua</w:t>
      </w:r>
      <w:proofErr w:type="spellEnd"/>
      <w:r w:rsidR="009854B4">
        <w:t xml:space="preserve">, </w:t>
      </w:r>
      <w:proofErr w:type="spellStart"/>
      <w:r w:rsidR="009854B4">
        <w:t>Gisborne</w:t>
      </w:r>
      <w:r>
        <w:t>and</w:t>
      </w:r>
      <w:proofErr w:type="spellEnd"/>
      <w:r>
        <w:t xml:space="preserve"> </w:t>
      </w:r>
      <w:proofErr w:type="spellStart"/>
      <w:r>
        <w:t>P</w:t>
      </w:r>
      <w:r w:rsidR="009854B4">
        <w:t>almerston</w:t>
      </w:r>
      <w:proofErr w:type="spellEnd"/>
      <w:r w:rsidR="009854B4">
        <w:t xml:space="preserve"> North are all up </w:t>
      </w:r>
      <w:r>
        <w:t xml:space="preserve">over the past </w:t>
      </w:r>
      <w:r w:rsidR="009854B4">
        <w:t>three months</w:t>
      </w:r>
      <w:r>
        <w:t xml:space="preserve">. </w:t>
      </w:r>
      <w:proofErr w:type="spellStart"/>
      <w:r w:rsidR="009854B4">
        <w:t>Gisborne</w:t>
      </w:r>
      <w:proofErr w:type="spellEnd"/>
      <w:r w:rsidR="009854B4">
        <w:t xml:space="preserve"> has seen the highest increase of those regions, having grown 2.9%.</w:t>
      </w:r>
    </w:p>
    <w:p w:rsidR="00C62CF4" w:rsidRDefault="00C62CF4">
      <w:pPr>
        <w:pStyle w:val="normal0"/>
        <w:spacing w:after="0" w:line="240" w:lineRule="auto"/>
      </w:pPr>
    </w:p>
    <w:p w:rsidR="009854B4" w:rsidRDefault="00C60756">
      <w:pPr>
        <w:pStyle w:val="normal0"/>
        <w:spacing w:after="0" w:line="240" w:lineRule="auto"/>
      </w:pPr>
      <w:r>
        <w:t xml:space="preserve">In the South Island, </w:t>
      </w:r>
      <w:r w:rsidR="009854B4">
        <w:t xml:space="preserve">nearly all regions seem to have experienced </w:t>
      </w:r>
      <w:r>
        <w:t>growth</w:t>
      </w:r>
      <w:r w:rsidR="009854B4">
        <w:t xml:space="preserve"> over the past three months, with one of the exceptions being Queenstown Lakes, with a 0.8% decline.  Southland and Gore have seen some of the larger increases, with 4.4% and 3.9% increases respectively.    </w:t>
      </w:r>
    </w:p>
    <w:p w:rsidR="00C62CF4" w:rsidRDefault="00C62CF4">
      <w:pPr>
        <w:pStyle w:val="normal0"/>
        <w:spacing w:after="0" w:line="240" w:lineRule="auto"/>
      </w:pPr>
    </w:p>
    <w:p w:rsidR="00C62CF4" w:rsidRDefault="00C60756">
      <w:pPr>
        <w:pStyle w:val="normal0"/>
        <w:spacing w:after="0" w:line="240" w:lineRule="auto"/>
        <w:jc w:val="both"/>
      </w:pPr>
      <w:r>
        <w:rPr>
          <w:b/>
        </w:rPr>
        <w:t>For media enquiries and interviews, and for further information contact:</w:t>
      </w:r>
    </w:p>
    <w:p w:rsidR="00C62CF4" w:rsidRDefault="00C60756">
      <w:pPr>
        <w:pStyle w:val="normal0"/>
        <w:spacing w:after="0" w:line="240" w:lineRule="auto"/>
        <w:jc w:val="both"/>
      </w:pPr>
      <w:proofErr w:type="spellStart"/>
      <w:r>
        <w:t>JonnoIngerson</w:t>
      </w:r>
      <w:proofErr w:type="spellEnd"/>
    </w:p>
    <w:p w:rsidR="00C62CF4" w:rsidRDefault="00C60756">
      <w:pPr>
        <w:pStyle w:val="normal0"/>
        <w:spacing w:after="0" w:line="240" w:lineRule="auto"/>
        <w:jc w:val="both"/>
      </w:pPr>
      <w:r>
        <w:t>Research Director QV.co.nz</w:t>
      </w:r>
    </w:p>
    <w:p w:rsidR="00C62CF4" w:rsidRDefault="00C60756">
      <w:pPr>
        <w:pStyle w:val="normal0"/>
        <w:tabs>
          <w:tab w:val="left" w:pos="4820"/>
        </w:tabs>
        <w:spacing w:after="0" w:line="240" w:lineRule="auto"/>
      </w:pPr>
      <w:r>
        <w:t>Tel: 04 802 1239</w:t>
      </w:r>
      <w:r>
        <w:tab/>
      </w:r>
    </w:p>
    <w:p w:rsidR="00C62CF4" w:rsidRDefault="00C60756">
      <w:pPr>
        <w:pStyle w:val="normal0"/>
        <w:tabs>
          <w:tab w:val="left" w:pos="4962"/>
        </w:tabs>
        <w:spacing w:after="0" w:line="240" w:lineRule="auto"/>
      </w:pPr>
      <w:r>
        <w:t>Mobile: 027 454 6642</w:t>
      </w:r>
      <w:r>
        <w:tab/>
      </w:r>
    </w:p>
    <w:p w:rsidR="00C62CF4" w:rsidRDefault="00C60756">
      <w:pPr>
        <w:pStyle w:val="normal0"/>
        <w:tabs>
          <w:tab w:val="left" w:pos="4962"/>
        </w:tabs>
        <w:spacing w:after="0" w:line="240" w:lineRule="auto"/>
      </w:pPr>
      <w:r>
        <w:t xml:space="preserve">Email: </w:t>
      </w:r>
      <w:hyperlink r:id="rId5">
        <w:r>
          <w:rPr>
            <w:color w:val="0000FF"/>
            <w:u w:val="single"/>
          </w:rPr>
          <w:t>jonno.ingerson@propertyiq.co.nz</w:t>
        </w:r>
      </w:hyperlink>
      <w:r>
        <w:tab/>
      </w:r>
      <w:r>
        <w:tab/>
      </w:r>
    </w:p>
    <w:p w:rsidR="00C62CF4" w:rsidRDefault="00C62CF4">
      <w:pPr>
        <w:pStyle w:val="normal0"/>
        <w:tabs>
          <w:tab w:val="left" w:pos="4962"/>
        </w:tabs>
        <w:spacing w:after="0" w:line="240" w:lineRule="auto"/>
      </w:pPr>
    </w:p>
    <w:p w:rsidR="00C62CF4" w:rsidRDefault="00C60756">
      <w:pPr>
        <w:pStyle w:val="normal0"/>
        <w:tabs>
          <w:tab w:val="left" w:pos="4962"/>
        </w:tabs>
        <w:spacing w:after="0" w:line="240" w:lineRule="auto"/>
      </w:pPr>
      <w:r>
        <w:rPr>
          <w:b/>
        </w:rPr>
        <w:t>For further specific comment on local areas:</w:t>
      </w:r>
      <w:r>
        <w:tab/>
      </w:r>
    </w:p>
    <w:p w:rsidR="00C62CF4" w:rsidRDefault="00C60756">
      <w:pPr>
        <w:pStyle w:val="normal0"/>
        <w:tabs>
          <w:tab w:val="left" w:pos="4962"/>
        </w:tabs>
        <w:spacing w:after="0" w:line="240" w:lineRule="auto"/>
      </w:pPr>
      <w:r>
        <w:t>Auckland. Bruce Wiggins 027 291 4514</w:t>
      </w:r>
    </w:p>
    <w:p w:rsidR="00C62CF4" w:rsidRDefault="00C60756">
      <w:pPr>
        <w:pStyle w:val="normal0"/>
        <w:tabs>
          <w:tab w:val="left" w:pos="4962"/>
        </w:tabs>
        <w:spacing w:after="0" w:line="240" w:lineRule="auto"/>
      </w:pPr>
      <w:proofErr w:type="gramStart"/>
      <w:r>
        <w:t>Hamilton</w:t>
      </w:r>
      <w:r w:rsidR="00E4054A">
        <w:t xml:space="preserve"> and </w:t>
      </w:r>
      <w:proofErr w:type="spellStart"/>
      <w:r w:rsidR="00E4054A">
        <w:t>Tauranga</w:t>
      </w:r>
      <w:proofErr w:type="spellEnd"/>
      <w:r>
        <w:t>.</w:t>
      </w:r>
      <w:proofErr w:type="gramEnd"/>
      <w:r>
        <w:t xml:space="preserve"> Richard Allen </w:t>
      </w:r>
      <w:r>
        <w:rPr>
          <w:color w:val="222222"/>
          <w:highlight w:val="white"/>
        </w:rPr>
        <w:t>027 230 7290</w:t>
      </w:r>
      <w:r>
        <w:tab/>
      </w:r>
    </w:p>
    <w:p w:rsidR="00C62CF4" w:rsidRDefault="00C60756">
      <w:pPr>
        <w:pStyle w:val="normal0"/>
        <w:spacing w:after="0" w:line="240" w:lineRule="auto"/>
      </w:pPr>
      <w:r>
        <w:t xml:space="preserve">Wellington. </w:t>
      </w:r>
      <w:r w:rsidR="001134AB">
        <w:t xml:space="preserve">Pieter </w:t>
      </w:r>
      <w:proofErr w:type="spellStart"/>
      <w:r w:rsidR="00BB0877" w:rsidRPr="000834A2">
        <w:t>Geill</w:t>
      </w:r>
      <w:proofErr w:type="spellEnd"/>
      <w:r w:rsidR="00BB0877" w:rsidRPr="000834A2">
        <w:t xml:space="preserve"> 027 230 7291</w:t>
      </w:r>
    </w:p>
    <w:p w:rsidR="00C62CF4" w:rsidRDefault="00C60756">
      <w:pPr>
        <w:pStyle w:val="normal0"/>
        <w:spacing w:after="0" w:line="240" w:lineRule="auto"/>
      </w:pPr>
      <w:r>
        <w:t>Christchurch. Daryl Taggart 027 304 9815</w:t>
      </w:r>
    </w:p>
    <w:p w:rsidR="00C62CF4" w:rsidRDefault="00C60756">
      <w:pPr>
        <w:pStyle w:val="normal0"/>
        <w:spacing w:after="0" w:line="240" w:lineRule="auto"/>
      </w:pPr>
      <w:r>
        <w:t>Dunedin. Duncan Jack 027 213 7618</w:t>
      </w:r>
    </w:p>
    <w:p w:rsidR="00C62CF4" w:rsidRDefault="004A7920">
      <w:pPr>
        <w:pStyle w:val="normal0"/>
      </w:pPr>
      <w:r>
        <w:rPr>
          <w:noProof/>
          <w:lang w:val="en-NZ" w:eastAsia="en-NZ"/>
        </w:rPr>
        <w:lastRenderedPageBreak/>
        <w:drawing>
          <wp:anchor distT="0" distB="0" distL="114300" distR="114300" simplePos="0" relativeHeight="251672576" behindDoc="0" locked="0" layoutInCell="1" allowOverlap="1">
            <wp:simplePos x="0" y="0"/>
            <wp:positionH relativeFrom="column">
              <wp:posOffset>3019425</wp:posOffset>
            </wp:positionH>
            <wp:positionV relativeFrom="paragraph">
              <wp:posOffset>5210175</wp:posOffset>
            </wp:positionV>
            <wp:extent cx="2927350" cy="2238375"/>
            <wp:effectExtent l="19050" t="0" r="6350" b="0"/>
            <wp:wrapTight wrapText="bothSides">
              <wp:wrapPolygon edited="0">
                <wp:start x="-141" y="0"/>
                <wp:lineTo x="-141" y="21508"/>
                <wp:lineTo x="21647" y="21508"/>
                <wp:lineTo x="21647" y="0"/>
                <wp:lineTo x="-141" y="0"/>
              </wp:wrapPolygon>
            </wp:wrapTight>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2927350" cy="2238375"/>
                    </a:xfrm>
                    <a:prstGeom prst="rect">
                      <a:avLst/>
                    </a:prstGeom>
                    <a:noFill/>
                    <a:ln w="9525">
                      <a:noFill/>
                      <a:miter lim="800000"/>
                      <a:headEnd/>
                      <a:tailEnd/>
                    </a:ln>
                  </pic:spPr>
                </pic:pic>
              </a:graphicData>
            </a:graphic>
          </wp:anchor>
        </w:drawing>
      </w:r>
      <w:r>
        <w:rPr>
          <w:noProof/>
          <w:lang w:val="en-NZ" w:eastAsia="en-NZ"/>
        </w:rPr>
        <w:drawing>
          <wp:anchor distT="0" distB="0" distL="114300" distR="114300" simplePos="0" relativeHeight="251670528" behindDoc="0" locked="0" layoutInCell="1" allowOverlap="1">
            <wp:simplePos x="0" y="0"/>
            <wp:positionH relativeFrom="column">
              <wp:posOffset>0</wp:posOffset>
            </wp:positionH>
            <wp:positionV relativeFrom="paragraph">
              <wp:posOffset>5181600</wp:posOffset>
            </wp:positionV>
            <wp:extent cx="2971800" cy="2266950"/>
            <wp:effectExtent l="19050" t="0" r="0" b="0"/>
            <wp:wrapTight wrapText="bothSides">
              <wp:wrapPolygon edited="0">
                <wp:start x="-138" y="0"/>
                <wp:lineTo x="-138" y="21418"/>
                <wp:lineTo x="21600" y="21418"/>
                <wp:lineTo x="21600" y="0"/>
                <wp:lineTo x="-138" y="0"/>
              </wp:wrapPolygon>
            </wp:wrapTight>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971800" cy="2266950"/>
                    </a:xfrm>
                    <a:prstGeom prst="rect">
                      <a:avLst/>
                    </a:prstGeom>
                    <a:noFill/>
                    <a:ln w="9525">
                      <a:noFill/>
                      <a:miter lim="800000"/>
                      <a:headEnd/>
                      <a:tailEnd/>
                    </a:ln>
                  </pic:spPr>
                </pic:pic>
              </a:graphicData>
            </a:graphic>
          </wp:anchor>
        </w:drawing>
      </w:r>
      <w:r>
        <w:rPr>
          <w:noProof/>
          <w:lang w:val="en-NZ" w:eastAsia="en-NZ"/>
        </w:rPr>
        <w:drawing>
          <wp:anchor distT="0" distB="0" distL="114300" distR="114300" simplePos="0" relativeHeight="251668480" behindDoc="0" locked="0" layoutInCell="1" allowOverlap="1">
            <wp:simplePos x="0" y="0"/>
            <wp:positionH relativeFrom="column">
              <wp:posOffset>3019425</wp:posOffset>
            </wp:positionH>
            <wp:positionV relativeFrom="paragraph">
              <wp:posOffset>2686050</wp:posOffset>
            </wp:positionV>
            <wp:extent cx="2984500" cy="2286000"/>
            <wp:effectExtent l="19050" t="0" r="6350" b="0"/>
            <wp:wrapTight wrapText="bothSides">
              <wp:wrapPolygon edited="0">
                <wp:start x="-138" y="0"/>
                <wp:lineTo x="-138" y="21420"/>
                <wp:lineTo x="21646" y="21420"/>
                <wp:lineTo x="21646" y="0"/>
                <wp:lineTo x="-138" y="0"/>
              </wp:wrapPolygon>
            </wp:wrapTight>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984500" cy="2286000"/>
                    </a:xfrm>
                    <a:prstGeom prst="rect">
                      <a:avLst/>
                    </a:prstGeom>
                    <a:noFill/>
                    <a:ln w="9525">
                      <a:noFill/>
                      <a:miter lim="800000"/>
                      <a:headEnd/>
                      <a:tailEnd/>
                    </a:ln>
                  </pic:spPr>
                </pic:pic>
              </a:graphicData>
            </a:graphic>
          </wp:anchor>
        </w:drawing>
      </w:r>
      <w:r>
        <w:rPr>
          <w:noProof/>
          <w:lang w:val="en-NZ" w:eastAsia="en-NZ"/>
        </w:rPr>
        <w:drawing>
          <wp:anchor distT="0" distB="0" distL="114300" distR="114300" simplePos="0" relativeHeight="251662336" behindDoc="1" locked="0" layoutInCell="1" allowOverlap="1">
            <wp:simplePos x="0" y="0"/>
            <wp:positionH relativeFrom="column">
              <wp:posOffset>-3175</wp:posOffset>
            </wp:positionH>
            <wp:positionV relativeFrom="paragraph">
              <wp:posOffset>133350</wp:posOffset>
            </wp:positionV>
            <wp:extent cx="2946400" cy="2247900"/>
            <wp:effectExtent l="19050" t="0" r="6350" b="0"/>
            <wp:wrapTight wrapText="bothSides">
              <wp:wrapPolygon edited="0">
                <wp:start x="-140" y="0"/>
                <wp:lineTo x="-140" y="21417"/>
                <wp:lineTo x="21647" y="21417"/>
                <wp:lineTo x="21647" y="0"/>
                <wp:lineTo x="-14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946400" cy="2247900"/>
                    </a:xfrm>
                    <a:prstGeom prst="rect">
                      <a:avLst/>
                    </a:prstGeom>
                    <a:noFill/>
                    <a:ln w="9525">
                      <a:noFill/>
                      <a:miter lim="800000"/>
                      <a:headEnd/>
                      <a:tailEnd/>
                    </a:ln>
                  </pic:spPr>
                </pic:pic>
              </a:graphicData>
            </a:graphic>
          </wp:anchor>
        </w:drawing>
      </w:r>
      <w:r w:rsidR="00C60756">
        <w:br w:type="page"/>
      </w:r>
      <w:r w:rsidR="00D12995">
        <w:rPr>
          <w:noProof/>
          <w:lang w:val="en-NZ" w:eastAsia="en-NZ"/>
        </w:rPr>
        <w:drawing>
          <wp:anchor distT="0" distB="0" distL="114300" distR="114300" simplePos="0" relativeHeight="251666432" behindDoc="0" locked="0" layoutInCell="1" allowOverlap="1">
            <wp:simplePos x="0" y="0"/>
            <wp:positionH relativeFrom="column">
              <wp:posOffset>0</wp:posOffset>
            </wp:positionH>
            <wp:positionV relativeFrom="paragraph">
              <wp:posOffset>2705100</wp:posOffset>
            </wp:positionV>
            <wp:extent cx="2971800" cy="2266315"/>
            <wp:effectExtent l="25400" t="0" r="0" b="0"/>
            <wp:wrapTight wrapText="bothSides">
              <wp:wrapPolygon edited="0">
                <wp:start x="-185" y="0"/>
                <wp:lineTo x="-185" y="21546"/>
                <wp:lineTo x="21600" y="21546"/>
                <wp:lineTo x="21600" y="0"/>
                <wp:lineTo x="-185" y="0"/>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971800" cy="2266315"/>
                    </a:xfrm>
                    <a:prstGeom prst="rect">
                      <a:avLst/>
                    </a:prstGeom>
                    <a:noFill/>
                    <a:ln w="9525">
                      <a:noFill/>
                      <a:miter lim="800000"/>
                      <a:headEnd/>
                      <a:tailEnd/>
                    </a:ln>
                  </pic:spPr>
                </pic:pic>
              </a:graphicData>
            </a:graphic>
          </wp:anchor>
        </w:drawing>
      </w:r>
      <w:r w:rsidR="00D12995">
        <w:rPr>
          <w:noProof/>
          <w:lang w:val="en-NZ" w:eastAsia="en-NZ"/>
        </w:rPr>
        <w:drawing>
          <wp:anchor distT="0" distB="0" distL="114300" distR="114300" simplePos="0" relativeHeight="251664384" behindDoc="0" locked="0" layoutInCell="1" allowOverlap="1">
            <wp:simplePos x="0" y="0"/>
            <wp:positionH relativeFrom="column">
              <wp:posOffset>3086100</wp:posOffset>
            </wp:positionH>
            <wp:positionV relativeFrom="paragraph">
              <wp:posOffset>114300</wp:posOffset>
            </wp:positionV>
            <wp:extent cx="2971800" cy="2265680"/>
            <wp:effectExtent l="25400" t="0" r="0" b="0"/>
            <wp:wrapTight wrapText="bothSides">
              <wp:wrapPolygon edited="0">
                <wp:start x="-185" y="0"/>
                <wp:lineTo x="-185" y="21309"/>
                <wp:lineTo x="21600" y="21309"/>
                <wp:lineTo x="21600" y="0"/>
                <wp:lineTo x="-185" y="0"/>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971800" cy="2265680"/>
                    </a:xfrm>
                    <a:prstGeom prst="rect">
                      <a:avLst/>
                    </a:prstGeom>
                    <a:noFill/>
                    <a:ln w="9525">
                      <a:noFill/>
                      <a:miter lim="800000"/>
                      <a:headEnd/>
                      <a:tailEnd/>
                    </a:ln>
                  </pic:spPr>
                </pic:pic>
              </a:graphicData>
            </a:graphic>
          </wp:anchor>
        </w:drawing>
      </w:r>
    </w:p>
    <w:tbl>
      <w:tblPr>
        <w:tblW w:w="1007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60"/>
        <w:gridCol w:w="3451"/>
        <w:gridCol w:w="1559"/>
        <w:gridCol w:w="1418"/>
        <w:gridCol w:w="1276"/>
        <w:gridCol w:w="1710"/>
      </w:tblGrid>
      <w:tr w:rsidR="006F34CC" w:rsidRPr="006F34CC" w:rsidTr="004B0664">
        <w:trPr>
          <w:trHeight w:val="360"/>
        </w:trPr>
        <w:tc>
          <w:tcPr>
            <w:tcW w:w="10074" w:type="dxa"/>
            <w:gridSpan w:val="6"/>
            <w:shd w:val="clear" w:color="auto" w:fill="auto"/>
            <w:noWrap/>
            <w:vAlign w:val="bottom"/>
          </w:tcPr>
          <w:p w:rsidR="006F34CC" w:rsidRPr="006F34CC" w:rsidRDefault="006F34CC" w:rsidP="006F34CC">
            <w:pPr>
              <w:rPr>
                <w:rFonts w:ascii="Arial" w:hAnsi="Arial"/>
                <w:b/>
                <w:bCs/>
                <w:color w:val="DD0806"/>
                <w:sz w:val="20"/>
                <w:szCs w:val="20"/>
                <w:lang w:val="en-GB"/>
              </w:rPr>
            </w:pPr>
            <w:r w:rsidRPr="006F34CC">
              <w:rPr>
                <w:rFonts w:ascii="Calibri" w:hAnsi="Calibri"/>
                <w:b/>
                <w:bCs/>
                <w:color w:val="000000"/>
                <w:sz w:val="28"/>
                <w:szCs w:val="28"/>
                <w:lang w:val="en-GB"/>
              </w:rPr>
              <w:lastRenderedPageBreak/>
              <w:t xml:space="preserve">PropertyIQ Value Index - Residential Property </w:t>
            </w:r>
          </w:p>
        </w:tc>
      </w:tr>
      <w:tr w:rsidR="006F34CC" w:rsidRPr="006F34CC" w:rsidTr="004B0664">
        <w:trPr>
          <w:trHeight w:val="360"/>
        </w:trPr>
        <w:tc>
          <w:tcPr>
            <w:tcW w:w="660" w:type="dxa"/>
            <w:shd w:val="clear" w:color="auto" w:fill="auto"/>
            <w:noWrap/>
            <w:vAlign w:val="bottom"/>
          </w:tcPr>
          <w:p w:rsidR="006F34CC" w:rsidRPr="006F34CC" w:rsidRDefault="006F34CC" w:rsidP="006F34CC">
            <w:pPr>
              <w:rPr>
                <w:rFonts w:ascii="Calibri" w:hAnsi="Calibri"/>
                <w:b/>
                <w:bCs/>
                <w:color w:val="000000"/>
                <w:sz w:val="28"/>
                <w:szCs w:val="28"/>
                <w:lang w:val="en-GB"/>
              </w:rPr>
            </w:pPr>
          </w:p>
        </w:tc>
        <w:tc>
          <w:tcPr>
            <w:tcW w:w="3451" w:type="dxa"/>
            <w:shd w:val="clear" w:color="auto" w:fill="auto"/>
            <w:noWrap/>
            <w:vAlign w:val="bottom"/>
          </w:tcPr>
          <w:p w:rsidR="006F34CC" w:rsidRPr="006F34CC" w:rsidRDefault="006F34CC" w:rsidP="006F34CC">
            <w:pPr>
              <w:rPr>
                <w:rFonts w:ascii="Calibri" w:hAnsi="Calibri"/>
                <w:b/>
                <w:bCs/>
                <w:color w:val="000000"/>
                <w:sz w:val="28"/>
                <w:szCs w:val="28"/>
                <w:lang w:val="en-GB"/>
              </w:rPr>
            </w:pPr>
          </w:p>
        </w:tc>
        <w:tc>
          <w:tcPr>
            <w:tcW w:w="1559" w:type="dxa"/>
            <w:shd w:val="clear" w:color="auto" w:fill="auto"/>
            <w:noWrap/>
            <w:vAlign w:val="bottom"/>
          </w:tcPr>
          <w:p w:rsidR="006F34CC" w:rsidRPr="006F34CC" w:rsidRDefault="006F34CC" w:rsidP="006F34CC">
            <w:pPr>
              <w:rPr>
                <w:rFonts w:ascii="Calibri" w:hAnsi="Calibri"/>
                <w:b/>
                <w:bCs/>
                <w:color w:val="000000"/>
                <w:sz w:val="28"/>
                <w:szCs w:val="28"/>
                <w:lang w:val="en-GB"/>
              </w:rPr>
            </w:pPr>
          </w:p>
        </w:tc>
        <w:tc>
          <w:tcPr>
            <w:tcW w:w="1418" w:type="dxa"/>
            <w:shd w:val="clear" w:color="auto" w:fill="auto"/>
            <w:noWrap/>
            <w:vAlign w:val="bottom"/>
          </w:tcPr>
          <w:p w:rsidR="006F34CC" w:rsidRPr="006F34CC" w:rsidRDefault="006F34CC" w:rsidP="006F34CC">
            <w:pPr>
              <w:rPr>
                <w:rFonts w:ascii="Calibri" w:hAnsi="Calibri"/>
                <w:b/>
                <w:bCs/>
                <w:color w:val="000000"/>
                <w:sz w:val="28"/>
                <w:szCs w:val="28"/>
                <w:lang w:val="en-GB"/>
              </w:rPr>
            </w:pPr>
          </w:p>
        </w:tc>
        <w:tc>
          <w:tcPr>
            <w:tcW w:w="1276" w:type="dxa"/>
            <w:shd w:val="clear" w:color="auto" w:fill="auto"/>
            <w:noWrap/>
            <w:vAlign w:val="bottom"/>
          </w:tcPr>
          <w:p w:rsidR="006F34CC" w:rsidRPr="006F34CC" w:rsidRDefault="006F34CC" w:rsidP="006F34CC">
            <w:pPr>
              <w:rPr>
                <w:rFonts w:ascii="Arial" w:hAnsi="Arial"/>
                <w:color w:val="000000"/>
                <w:sz w:val="20"/>
                <w:szCs w:val="20"/>
                <w:lang w:val="en-GB"/>
              </w:rPr>
            </w:pPr>
          </w:p>
        </w:tc>
        <w:tc>
          <w:tcPr>
            <w:tcW w:w="1710" w:type="dxa"/>
            <w:shd w:val="clear" w:color="auto" w:fill="auto"/>
            <w:noWrap/>
            <w:vAlign w:val="bottom"/>
          </w:tcPr>
          <w:p w:rsidR="006F34CC" w:rsidRPr="006F34CC" w:rsidRDefault="006F34CC" w:rsidP="006F34CC">
            <w:pPr>
              <w:jc w:val="center"/>
              <w:rPr>
                <w:rFonts w:ascii="Arial" w:hAnsi="Arial"/>
                <w:b/>
                <w:bCs/>
                <w:color w:val="DD0806"/>
                <w:sz w:val="20"/>
                <w:szCs w:val="20"/>
                <w:lang w:val="en-GB"/>
              </w:rPr>
            </w:pPr>
          </w:p>
        </w:tc>
      </w:tr>
      <w:tr w:rsidR="006F34CC" w:rsidRPr="006F34CC" w:rsidTr="004B0664">
        <w:trPr>
          <w:trHeight w:val="320"/>
        </w:trPr>
        <w:tc>
          <w:tcPr>
            <w:tcW w:w="4111" w:type="dxa"/>
            <w:gridSpan w:val="2"/>
            <w:shd w:val="clear" w:color="auto" w:fill="auto"/>
            <w:noWrap/>
            <w:vAlign w:val="bottom"/>
          </w:tcPr>
          <w:p w:rsidR="006F34CC" w:rsidRPr="006F34CC" w:rsidRDefault="006F34CC" w:rsidP="006F34CC">
            <w:pPr>
              <w:rPr>
                <w:rFonts w:ascii="Calibri" w:hAnsi="Calibri"/>
                <w:color w:val="000000"/>
                <w:lang w:val="en-GB"/>
              </w:rPr>
            </w:pPr>
            <w:r w:rsidRPr="006F34CC">
              <w:rPr>
                <w:rFonts w:ascii="Calibri" w:hAnsi="Calibri"/>
                <w:color w:val="000000"/>
                <w:lang w:val="en-GB"/>
              </w:rPr>
              <w:t>Time period:  as at November 2013</w:t>
            </w:r>
          </w:p>
        </w:tc>
        <w:tc>
          <w:tcPr>
            <w:tcW w:w="1559" w:type="dxa"/>
            <w:shd w:val="clear" w:color="auto" w:fill="auto"/>
            <w:noWrap/>
            <w:vAlign w:val="bottom"/>
          </w:tcPr>
          <w:p w:rsidR="006F34CC" w:rsidRPr="006F34CC" w:rsidRDefault="006F34CC" w:rsidP="006F34CC">
            <w:pPr>
              <w:rPr>
                <w:rFonts w:ascii="Calibri" w:hAnsi="Calibri"/>
                <w:color w:val="000000"/>
                <w:lang w:val="en-GB"/>
              </w:rPr>
            </w:pPr>
          </w:p>
        </w:tc>
        <w:tc>
          <w:tcPr>
            <w:tcW w:w="1418" w:type="dxa"/>
            <w:shd w:val="clear" w:color="auto" w:fill="auto"/>
            <w:noWrap/>
            <w:vAlign w:val="bottom"/>
          </w:tcPr>
          <w:p w:rsidR="006F34CC" w:rsidRPr="006F34CC" w:rsidRDefault="006F34CC" w:rsidP="006F34CC">
            <w:pPr>
              <w:rPr>
                <w:rFonts w:ascii="Calibri" w:hAnsi="Calibri"/>
                <w:color w:val="000000"/>
                <w:lang w:val="en-GB"/>
              </w:rPr>
            </w:pPr>
          </w:p>
        </w:tc>
        <w:tc>
          <w:tcPr>
            <w:tcW w:w="1276" w:type="dxa"/>
            <w:shd w:val="clear" w:color="auto" w:fill="auto"/>
            <w:noWrap/>
            <w:vAlign w:val="bottom"/>
          </w:tcPr>
          <w:p w:rsidR="006F34CC" w:rsidRPr="006F34CC" w:rsidRDefault="006F34CC" w:rsidP="006F34CC">
            <w:pPr>
              <w:rPr>
                <w:rFonts w:ascii="Arial" w:hAnsi="Arial"/>
                <w:color w:val="000000"/>
                <w:sz w:val="20"/>
                <w:szCs w:val="20"/>
                <w:lang w:val="en-GB"/>
              </w:rPr>
            </w:pPr>
          </w:p>
        </w:tc>
        <w:tc>
          <w:tcPr>
            <w:tcW w:w="1710" w:type="dxa"/>
            <w:shd w:val="clear" w:color="auto" w:fill="auto"/>
            <w:noWrap/>
            <w:vAlign w:val="bottom"/>
          </w:tcPr>
          <w:p w:rsidR="006F34CC" w:rsidRPr="006F34CC" w:rsidRDefault="006F34CC" w:rsidP="006F34CC">
            <w:pPr>
              <w:rPr>
                <w:rFonts w:ascii="Arial" w:hAnsi="Arial"/>
                <w:color w:val="000000"/>
                <w:sz w:val="20"/>
                <w:szCs w:val="20"/>
                <w:lang w:val="en-GB"/>
              </w:rPr>
            </w:pPr>
          </w:p>
        </w:tc>
      </w:tr>
      <w:tr w:rsidR="006F34CC" w:rsidRPr="006F34CC" w:rsidTr="004B0664">
        <w:trPr>
          <w:trHeight w:val="240"/>
        </w:trPr>
        <w:tc>
          <w:tcPr>
            <w:tcW w:w="660" w:type="dxa"/>
            <w:shd w:val="clear" w:color="auto" w:fill="auto"/>
            <w:vAlign w:val="bottom"/>
          </w:tcPr>
          <w:p w:rsidR="006F34CC" w:rsidRPr="006F34CC" w:rsidRDefault="006F34CC" w:rsidP="006F34CC">
            <w:pPr>
              <w:jc w:val="center"/>
              <w:rPr>
                <w:rFonts w:ascii="Arial" w:hAnsi="Arial"/>
                <w:color w:val="000000"/>
                <w:sz w:val="20"/>
                <w:szCs w:val="20"/>
                <w:lang w:val="en-GB"/>
              </w:rPr>
            </w:pPr>
          </w:p>
        </w:tc>
        <w:tc>
          <w:tcPr>
            <w:tcW w:w="3451" w:type="dxa"/>
            <w:shd w:val="clear" w:color="auto" w:fill="auto"/>
            <w:vAlign w:val="bottom"/>
          </w:tcPr>
          <w:p w:rsidR="006F34CC" w:rsidRPr="006F34CC" w:rsidRDefault="006F34CC" w:rsidP="006F34CC">
            <w:pPr>
              <w:jc w:val="center"/>
              <w:rPr>
                <w:rFonts w:ascii="Arial" w:hAnsi="Arial"/>
                <w:color w:val="000000"/>
                <w:sz w:val="20"/>
                <w:szCs w:val="20"/>
                <w:lang w:val="en-GB"/>
              </w:rPr>
            </w:pPr>
          </w:p>
        </w:tc>
        <w:tc>
          <w:tcPr>
            <w:tcW w:w="1559" w:type="dxa"/>
            <w:shd w:val="clear" w:color="auto" w:fill="auto"/>
            <w:vAlign w:val="bottom"/>
          </w:tcPr>
          <w:p w:rsidR="006F34CC" w:rsidRPr="006F34CC" w:rsidRDefault="006F34CC" w:rsidP="006F34CC">
            <w:pPr>
              <w:jc w:val="center"/>
              <w:rPr>
                <w:rFonts w:ascii="Arial" w:hAnsi="Arial"/>
                <w:color w:val="000000"/>
                <w:sz w:val="20"/>
                <w:szCs w:val="20"/>
                <w:lang w:val="en-GB"/>
              </w:rPr>
            </w:pPr>
          </w:p>
        </w:tc>
        <w:tc>
          <w:tcPr>
            <w:tcW w:w="1418" w:type="dxa"/>
            <w:shd w:val="clear" w:color="auto" w:fill="auto"/>
            <w:vAlign w:val="bottom"/>
          </w:tcPr>
          <w:p w:rsidR="006F34CC" w:rsidRPr="006F34CC" w:rsidRDefault="006F34CC" w:rsidP="006F34CC">
            <w:pPr>
              <w:jc w:val="center"/>
              <w:rPr>
                <w:rFonts w:ascii="Arial" w:hAnsi="Arial"/>
                <w:color w:val="000000"/>
                <w:sz w:val="20"/>
                <w:szCs w:val="20"/>
                <w:lang w:val="en-GB"/>
              </w:rPr>
            </w:pPr>
          </w:p>
        </w:tc>
        <w:tc>
          <w:tcPr>
            <w:tcW w:w="1276" w:type="dxa"/>
            <w:shd w:val="clear" w:color="auto" w:fill="auto"/>
            <w:noWrap/>
            <w:vAlign w:val="bottom"/>
          </w:tcPr>
          <w:p w:rsidR="006F34CC" w:rsidRPr="006F34CC" w:rsidRDefault="006F34CC" w:rsidP="006F34CC">
            <w:pPr>
              <w:rPr>
                <w:rFonts w:ascii="Arial" w:hAnsi="Arial"/>
                <w:color w:val="000000"/>
                <w:sz w:val="20"/>
                <w:szCs w:val="20"/>
                <w:lang w:val="en-GB"/>
              </w:rPr>
            </w:pPr>
          </w:p>
        </w:tc>
        <w:tc>
          <w:tcPr>
            <w:tcW w:w="1710" w:type="dxa"/>
            <w:shd w:val="clear" w:color="auto" w:fill="auto"/>
            <w:noWrap/>
            <w:vAlign w:val="bottom"/>
          </w:tcPr>
          <w:p w:rsidR="006F34CC" w:rsidRPr="006F34CC" w:rsidRDefault="006F34CC" w:rsidP="006F34CC">
            <w:pPr>
              <w:rPr>
                <w:rFonts w:ascii="Arial" w:hAnsi="Arial"/>
                <w:color w:val="000000"/>
                <w:sz w:val="20"/>
                <w:szCs w:val="20"/>
                <w:lang w:val="en-GB"/>
              </w:rPr>
            </w:pPr>
          </w:p>
        </w:tc>
      </w:tr>
      <w:tr w:rsidR="006F34CC" w:rsidRPr="006F34CC" w:rsidTr="004B0664">
        <w:trPr>
          <w:trHeight w:val="600"/>
        </w:trPr>
        <w:tc>
          <w:tcPr>
            <w:tcW w:w="660" w:type="dxa"/>
            <w:shd w:val="clear" w:color="auto" w:fill="auto"/>
          </w:tcPr>
          <w:p w:rsidR="006F34CC" w:rsidRPr="006F34CC" w:rsidRDefault="006F34CC" w:rsidP="006F34CC">
            <w:pPr>
              <w:jc w:val="center"/>
              <w:rPr>
                <w:rFonts w:ascii="Calibri" w:hAnsi="Calibri"/>
                <w:b/>
                <w:bCs/>
                <w:color w:val="000000"/>
                <w:sz w:val="22"/>
                <w:szCs w:val="22"/>
                <w:lang w:val="en-GB"/>
              </w:rPr>
            </w:pPr>
          </w:p>
        </w:tc>
        <w:tc>
          <w:tcPr>
            <w:tcW w:w="3451" w:type="dxa"/>
            <w:shd w:val="clear" w:color="auto" w:fill="auto"/>
          </w:tcPr>
          <w:p w:rsidR="006F34CC" w:rsidRPr="006F34CC" w:rsidRDefault="006F34CC" w:rsidP="006F34CC">
            <w:pPr>
              <w:rPr>
                <w:rFonts w:ascii="Calibri" w:hAnsi="Calibri"/>
                <w:b/>
                <w:bCs/>
                <w:color w:val="000000"/>
                <w:sz w:val="22"/>
                <w:szCs w:val="22"/>
                <w:lang w:val="en-GB"/>
              </w:rPr>
            </w:pPr>
            <w:r w:rsidRPr="006F34CC">
              <w:rPr>
                <w:rFonts w:ascii="Calibri" w:hAnsi="Calibri"/>
                <w:b/>
                <w:bCs/>
                <w:color w:val="000000"/>
                <w:sz w:val="22"/>
                <w:szCs w:val="22"/>
                <w:lang w:val="en-GB"/>
              </w:rPr>
              <w:t>Territorial authority</w:t>
            </w:r>
          </w:p>
        </w:tc>
        <w:tc>
          <w:tcPr>
            <w:tcW w:w="1559" w:type="dxa"/>
            <w:shd w:val="clear" w:color="auto" w:fill="auto"/>
          </w:tcPr>
          <w:p w:rsidR="006F34CC" w:rsidRPr="006F34CC" w:rsidRDefault="006F34CC" w:rsidP="006F34CC">
            <w:pPr>
              <w:jc w:val="center"/>
              <w:rPr>
                <w:rFonts w:ascii="Calibri" w:hAnsi="Calibri"/>
                <w:b/>
                <w:bCs/>
                <w:color w:val="000000"/>
                <w:sz w:val="22"/>
                <w:szCs w:val="22"/>
                <w:lang w:val="en-GB"/>
              </w:rPr>
            </w:pPr>
            <w:r w:rsidRPr="006F34CC">
              <w:rPr>
                <w:rFonts w:ascii="Calibri" w:hAnsi="Calibri"/>
                <w:b/>
                <w:bCs/>
                <w:color w:val="000000"/>
                <w:sz w:val="22"/>
                <w:szCs w:val="22"/>
                <w:lang w:val="en-GB"/>
              </w:rPr>
              <w:t>Average current value</w:t>
            </w:r>
          </w:p>
        </w:tc>
        <w:tc>
          <w:tcPr>
            <w:tcW w:w="1418" w:type="dxa"/>
            <w:shd w:val="clear" w:color="auto" w:fill="auto"/>
          </w:tcPr>
          <w:p w:rsidR="006F34CC" w:rsidRPr="006F34CC" w:rsidRDefault="006F34CC" w:rsidP="006F34CC">
            <w:pPr>
              <w:jc w:val="center"/>
              <w:rPr>
                <w:rFonts w:ascii="Calibri" w:hAnsi="Calibri"/>
                <w:b/>
                <w:bCs/>
                <w:color w:val="000000"/>
                <w:sz w:val="22"/>
                <w:szCs w:val="22"/>
                <w:lang w:val="en-GB"/>
              </w:rPr>
            </w:pPr>
            <w:r w:rsidRPr="006F34CC">
              <w:rPr>
                <w:rFonts w:ascii="Calibri" w:hAnsi="Calibri"/>
                <w:b/>
                <w:bCs/>
                <w:color w:val="000000"/>
                <w:sz w:val="22"/>
                <w:szCs w:val="22"/>
                <w:lang w:val="en-GB"/>
              </w:rPr>
              <w:t>12 month change%</w:t>
            </w:r>
          </w:p>
        </w:tc>
        <w:tc>
          <w:tcPr>
            <w:tcW w:w="1276" w:type="dxa"/>
            <w:shd w:val="clear" w:color="auto" w:fill="auto"/>
          </w:tcPr>
          <w:p w:rsidR="006F34CC" w:rsidRPr="006F34CC" w:rsidRDefault="006F34CC" w:rsidP="006F34CC">
            <w:pPr>
              <w:jc w:val="center"/>
              <w:rPr>
                <w:rFonts w:ascii="Calibri" w:hAnsi="Calibri"/>
                <w:b/>
                <w:bCs/>
                <w:color w:val="000000"/>
                <w:sz w:val="22"/>
                <w:szCs w:val="22"/>
                <w:lang w:val="en-GB"/>
              </w:rPr>
            </w:pPr>
            <w:r w:rsidRPr="006F34CC">
              <w:rPr>
                <w:rFonts w:ascii="Calibri" w:hAnsi="Calibri"/>
                <w:b/>
                <w:bCs/>
                <w:color w:val="000000"/>
                <w:sz w:val="22"/>
                <w:szCs w:val="22"/>
                <w:lang w:val="en-GB"/>
              </w:rPr>
              <w:t>3 month change %</w:t>
            </w:r>
          </w:p>
        </w:tc>
        <w:tc>
          <w:tcPr>
            <w:tcW w:w="1710" w:type="dxa"/>
            <w:shd w:val="clear" w:color="auto" w:fill="auto"/>
          </w:tcPr>
          <w:p w:rsidR="006F34CC" w:rsidRPr="006F34CC" w:rsidRDefault="006F34CC" w:rsidP="006F34CC">
            <w:pPr>
              <w:jc w:val="center"/>
              <w:rPr>
                <w:rFonts w:ascii="Calibri" w:hAnsi="Calibri"/>
                <w:b/>
                <w:bCs/>
                <w:color w:val="000000"/>
                <w:sz w:val="22"/>
                <w:szCs w:val="22"/>
                <w:lang w:val="en-GB"/>
              </w:rPr>
            </w:pPr>
            <w:r w:rsidRPr="006F34CC">
              <w:rPr>
                <w:rFonts w:ascii="Calibri" w:hAnsi="Calibri"/>
                <w:b/>
                <w:bCs/>
                <w:color w:val="000000"/>
                <w:sz w:val="22"/>
                <w:szCs w:val="22"/>
                <w:lang w:val="en-GB"/>
              </w:rPr>
              <w:t>Since 2007 market peak change %</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Far North</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300,517</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-5.5%</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-3.2%</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-24.5%</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Whangarei</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333,681</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3.0%</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0.9%</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-15.8%</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Kaipara</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331,148</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6.8%</w:t>
            </w:r>
          </w:p>
        </w:tc>
        <w:tc>
          <w:tcPr>
            <w:tcW w:w="1276"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5.6%</w:t>
            </w:r>
          </w:p>
        </w:tc>
        <w:tc>
          <w:tcPr>
            <w:tcW w:w="1710"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-16.5%</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Auckland - Rodney</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630,365</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9.0%</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3.8%</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7.5%</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Rodney - Hibiscus Coast</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626,233</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8.2%</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3.9%</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6.6%</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Rodney - North</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634,157</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9.9%</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3.5%</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5.6%</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#A</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Auckland - North Shore</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813,154</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16.8%</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5.6%</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26.0%</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North Shore - Coastal</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934,022</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16.3%</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5.7%</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24.0%</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 xml:space="preserve">North Shore - </w:t>
            </w:r>
            <w:proofErr w:type="spellStart"/>
            <w:r w:rsidRPr="006F34CC">
              <w:rPr>
                <w:rFonts w:ascii="Calibri" w:hAnsi="Calibri"/>
                <w:color w:val="000000"/>
                <w:sz w:val="22"/>
                <w:szCs w:val="22"/>
                <w:lang w:val="en-GB"/>
              </w:rPr>
              <w:t>Onewa</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655,243</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18.3%</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6.5%</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32.1%</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North Shore - North Harbour</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779,854</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16.7%</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5.0%</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28.3%</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#A</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 xml:space="preserve">Auckland - </w:t>
            </w:r>
            <w:proofErr w:type="spellStart"/>
            <w:r w:rsidRPr="006F34CC">
              <w:rPr>
                <w:rFonts w:ascii="Calibri" w:hAnsi="Calibri"/>
                <w:color w:val="000000"/>
                <w:sz w:val="22"/>
                <w:szCs w:val="22"/>
                <w:lang w:val="en-GB"/>
              </w:rPr>
              <w:t>Waitakere</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533,865</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19.0%</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6.8%</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25.9%</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#A</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Auckland - City</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816,952</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15.5%</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5.3%</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31.2%</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Auckland City - Central</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726,728</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12.5%</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5.0%</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27.6%</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proofErr w:type="spellStart"/>
            <w:r w:rsidRPr="006F34CC">
              <w:rPr>
                <w:rFonts w:ascii="Calibri" w:hAnsi="Calibri"/>
                <w:color w:val="000000"/>
                <w:sz w:val="22"/>
                <w:szCs w:val="22"/>
                <w:lang w:val="en-GB"/>
              </w:rPr>
              <w:t>Auckland_City</w:t>
            </w:r>
            <w:proofErr w:type="spellEnd"/>
            <w:r w:rsidRPr="006F34CC">
              <w:rPr>
                <w:rFonts w:ascii="Calibri" w:hAnsi="Calibri"/>
                <w:color w:val="000000"/>
                <w:sz w:val="22"/>
                <w:szCs w:val="22"/>
                <w:lang w:val="en-GB"/>
              </w:rPr>
              <w:t xml:space="preserve"> - East</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1,017,808</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16.8%</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5.3%</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27.7%</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Auckland City - South</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726,248</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16.0%</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4.8%</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34.9%</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Auckland City - Islands</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720,907</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12.0%</w:t>
            </w:r>
          </w:p>
        </w:tc>
        <w:tc>
          <w:tcPr>
            <w:tcW w:w="1276"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4.5%</w:t>
            </w:r>
          </w:p>
        </w:tc>
        <w:tc>
          <w:tcPr>
            <w:tcW w:w="1710"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12.8%</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#A</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 xml:space="preserve">Auckland - </w:t>
            </w:r>
            <w:proofErr w:type="spellStart"/>
            <w:r w:rsidRPr="006F34CC">
              <w:rPr>
                <w:rFonts w:ascii="Calibri" w:hAnsi="Calibri"/>
                <w:color w:val="000000"/>
                <w:sz w:val="22"/>
                <w:szCs w:val="22"/>
                <w:lang w:val="en-GB"/>
              </w:rPr>
              <w:t>Manukau</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564,045</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15.0%</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5.0%</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23.2%</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proofErr w:type="spellStart"/>
            <w:r w:rsidRPr="006F34CC">
              <w:rPr>
                <w:rFonts w:ascii="Calibri" w:hAnsi="Calibri"/>
                <w:color w:val="000000"/>
                <w:sz w:val="22"/>
                <w:szCs w:val="22"/>
                <w:lang w:val="en-GB"/>
              </w:rPr>
              <w:t>Manukau</w:t>
            </w:r>
            <w:proofErr w:type="spellEnd"/>
            <w:r w:rsidRPr="006F34CC">
              <w:rPr>
                <w:rFonts w:ascii="Calibri" w:hAnsi="Calibri"/>
                <w:color w:val="000000"/>
                <w:sz w:val="22"/>
                <w:szCs w:val="22"/>
                <w:lang w:val="en-GB"/>
              </w:rPr>
              <w:t xml:space="preserve"> - East</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758,805</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15.5%</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5.3%</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27.3%</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proofErr w:type="spellStart"/>
            <w:r w:rsidRPr="006F34CC">
              <w:rPr>
                <w:rFonts w:ascii="Calibri" w:hAnsi="Calibri"/>
                <w:color w:val="000000"/>
                <w:sz w:val="22"/>
                <w:szCs w:val="22"/>
                <w:lang w:val="en-GB"/>
              </w:rPr>
              <w:t>Manukau</w:t>
            </w:r>
            <w:proofErr w:type="spellEnd"/>
            <w:r w:rsidRPr="006F34CC">
              <w:rPr>
                <w:rFonts w:ascii="Calibri" w:hAnsi="Calibri"/>
                <w:color w:val="000000"/>
                <w:sz w:val="22"/>
                <w:szCs w:val="22"/>
                <w:lang w:val="en-GB"/>
              </w:rPr>
              <w:t xml:space="preserve"> - Central</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427,294</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14.2%</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4.4%</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13.7%</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proofErr w:type="spellStart"/>
            <w:r w:rsidRPr="006F34CC">
              <w:rPr>
                <w:rFonts w:ascii="Calibri" w:hAnsi="Calibri"/>
                <w:color w:val="000000"/>
                <w:sz w:val="22"/>
                <w:szCs w:val="22"/>
                <w:lang w:val="en-GB"/>
              </w:rPr>
              <w:t>Manukau</w:t>
            </w:r>
            <w:proofErr w:type="spellEnd"/>
            <w:r w:rsidRPr="006F34CC">
              <w:rPr>
                <w:rFonts w:ascii="Calibri" w:hAnsi="Calibri"/>
                <w:color w:val="000000"/>
                <w:sz w:val="22"/>
                <w:szCs w:val="22"/>
                <w:lang w:val="en-GB"/>
              </w:rPr>
              <w:t xml:space="preserve"> - North West</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459,179</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15.7%</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5.2%</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24.3%</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#A</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 xml:space="preserve">Auckland - </w:t>
            </w:r>
            <w:proofErr w:type="spellStart"/>
            <w:r w:rsidRPr="006F34CC">
              <w:rPr>
                <w:rFonts w:ascii="Calibri" w:hAnsi="Calibri"/>
                <w:color w:val="000000"/>
                <w:sz w:val="22"/>
                <w:szCs w:val="22"/>
                <w:lang w:val="en-GB"/>
              </w:rPr>
              <w:t>Papakura</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409,843</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14.4%</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6.1%</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13.9%</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Auckland - Franklin</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433,265</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9.6%</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2.4%</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9.5%</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Thames Coromandel</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498,891</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0.3%</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1.1%</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-14.2%</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Hauraki</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245,343</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3.9%</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0.7%</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-12.1%</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Waikato</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278,887</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6.0%</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3.8%</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-7.9%</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MatamataPiako</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263,661</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1.2%</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-0.5%</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-9.6%</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Hamilton</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356,829</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5.5%</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1.8%</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-1.3%</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Hamilton - North East</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448,582</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7.0%</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2.0%</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-0.2%</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Hamilton - Central &amp; North West</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333,670</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4.5%</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0.9%</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-6.8%</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Hamilton - South East</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329,169</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4.8%</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2.1%</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-5.8%</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Hamilton - South West</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315,561</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3.6%</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1.8%</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-7.8%</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Waipa</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326,425</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3.0%</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-0.1%</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-0.8%</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Otorohanga</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c>
          <w:tcPr>
            <w:tcW w:w="1276"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c>
          <w:tcPr>
            <w:tcW w:w="1710"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South Waikato</w:t>
            </w:r>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130,174</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-2.4%</w:t>
            </w:r>
          </w:p>
        </w:tc>
        <w:tc>
          <w:tcPr>
            <w:tcW w:w="1276"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0.3%</w:t>
            </w:r>
          </w:p>
        </w:tc>
        <w:tc>
          <w:tcPr>
            <w:tcW w:w="1710"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-20.2%</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Waitomo</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c>
          <w:tcPr>
            <w:tcW w:w="1276"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c>
          <w:tcPr>
            <w:tcW w:w="1710"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Taupo</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351,215</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1.2%</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2.2%</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-12.3%</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Western BOP</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397,338</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-0.9%</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-0.7%</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-11.8%</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Tauranga</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438,540</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3.5%</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1.5%</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-8.9%</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Rotorua</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274,366</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0.6%</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0.4%</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-6.6%</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Whakatane</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293,170</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-2.1%</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-1.0%</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-15.7%</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Kawerau</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c>
          <w:tcPr>
            <w:tcW w:w="1276"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c>
          <w:tcPr>
            <w:tcW w:w="1710"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Opotiki</w:t>
            </w:r>
            <w:proofErr w:type="spellEnd"/>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203,405</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-6.5%</w:t>
            </w:r>
          </w:p>
        </w:tc>
        <w:tc>
          <w:tcPr>
            <w:tcW w:w="1276"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-4.1%</w:t>
            </w:r>
          </w:p>
        </w:tc>
        <w:tc>
          <w:tcPr>
            <w:tcW w:w="1710"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-28.4%</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Gisborne</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235,917</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3.4%</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2.9%</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-20.7%</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Wairoa</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c>
          <w:tcPr>
            <w:tcW w:w="1276"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c>
          <w:tcPr>
            <w:tcW w:w="1710"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Hastings</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300,855</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2.9%</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-0.5%</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-3.5%</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Napier</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322,922</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2.1%</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0.3%</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-5.1%</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 xml:space="preserve">Central </w:t>
            </w:r>
            <w:proofErr w:type="spellStart"/>
            <w:r w:rsidRPr="006F34CC">
              <w:rPr>
                <w:rFonts w:ascii="Calibri" w:hAnsi="Calibri"/>
                <w:color w:val="000000"/>
                <w:sz w:val="22"/>
                <w:szCs w:val="22"/>
                <w:lang w:val="en-GB"/>
              </w:rPr>
              <w:t>Hawkes</w:t>
            </w:r>
            <w:proofErr w:type="spellEnd"/>
            <w:r w:rsidRPr="006F34CC">
              <w:rPr>
                <w:rFonts w:ascii="Calibri" w:hAnsi="Calibri"/>
                <w:color w:val="000000"/>
                <w:sz w:val="22"/>
                <w:szCs w:val="22"/>
                <w:lang w:val="en-GB"/>
              </w:rPr>
              <w:t xml:space="preserve"> Bay</w:t>
            </w:r>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197,613</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-6.3%</w:t>
            </w:r>
          </w:p>
        </w:tc>
        <w:tc>
          <w:tcPr>
            <w:tcW w:w="1276"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1.4%</w:t>
            </w:r>
          </w:p>
        </w:tc>
        <w:tc>
          <w:tcPr>
            <w:tcW w:w="1710"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-25.4%</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New Plymouth</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343,184</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5.9%</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2.1%</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3.8%</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Stratford</w:t>
            </w:r>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199,605</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1.4%</w:t>
            </w:r>
          </w:p>
        </w:tc>
        <w:tc>
          <w:tcPr>
            <w:tcW w:w="1276"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4.1%</w:t>
            </w:r>
          </w:p>
        </w:tc>
        <w:tc>
          <w:tcPr>
            <w:tcW w:w="1710"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-8.7%</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 xml:space="preserve">South </w:t>
            </w:r>
            <w:proofErr w:type="spellStart"/>
            <w:r w:rsidRPr="006F34CC">
              <w:rPr>
                <w:rFonts w:ascii="Calibri" w:hAnsi="Calibri"/>
                <w:color w:val="000000"/>
                <w:sz w:val="22"/>
                <w:szCs w:val="22"/>
                <w:lang w:val="en-GB"/>
              </w:rPr>
              <w:t>Taranaki</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188,265</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0.9%</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4.4%</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-4.8%</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Ruapehu</w:t>
            </w:r>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140,618</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-3.1%</w:t>
            </w:r>
          </w:p>
        </w:tc>
        <w:tc>
          <w:tcPr>
            <w:tcW w:w="1276"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0.1%</w:t>
            </w:r>
          </w:p>
        </w:tc>
        <w:tc>
          <w:tcPr>
            <w:tcW w:w="1710"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-22.0%</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Wanganui</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188,971</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-1.0%</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0.5%</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-15.7%</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Rangitikei</w:t>
            </w:r>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148,392</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2.6%</w:t>
            </w:r>
          </w:p>
        </w:tc>
        <w:tc>
          <w:tcPr>
            <w:tcW w:w="1276"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2.1%</w:t>
            </w:r>
          </w:p>
        </w:tc>
        <w:tc>
          <w:tcPr>
            <w:tcW w:w="1710"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-18.0%</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Manawatu</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237,219</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3.8%</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-1.3%</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-6.7%</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Palmerston</w:t>
            </w:r>
            <w:proofErr w:type="spellEnd"/>
            <w:r w:rsidRPr="006F34CC">
              <w:rPr>
                <w:rFonts w:ascii="Calibri" w:hAnsi="Calibri"/>
                <w:color w:val="000000"/>
                <w:sz w:val="22"/>
                <w:szCs w:val="22"/>
                <w:lang w:val="en-GB"/>
              </w:rPr>
              <w:t xml:space="preserve"> North</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287,683</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2.4%</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0.6%</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-3.6%</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Tararua</w:t>
            </w:r>
            <w:proofErr w:type="spellEnd"/>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153,221</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1.4%</w:t>
            </w:r>
          </w:p>
        </w:tc>
        <w:tc>
          <w:tcPr>
            <w:tcW w:w="1276"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-1.6%</w:t>
            </w:r>
          </w:p>
        </w:tc>
        <w:tc>
          <w:tcPr>
            <w:tcW w:w="1710"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-13.1%</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Horowhenua</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203,201</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3.6%</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1.7%</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-14.6%</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Kapiti</w:t>
            </w:r>
            <w:proofErr w:type="spellEnd"/>
            <w:r w:rsidRPr="006F34CC">
              <w:rPr>
                <w:rFonts w:ascii="Calibri" w:hAnsi="Calibri"/>
                <w:color w:val="000000"/>
                <w:sz w:val="22"/>
                <w:szCs w:val="22"/>
                <w:lang w:val="en-GB"/>
              </w:rPr>
              <w:t xml:space="preserve"> Coast</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366,853</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2.2%</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0.3%</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-4.2%</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Porirua</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375,347</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1.9%</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-0.2%</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-1.7%</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Upper Hutt</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335,828</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3.2%</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-0.2%</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-4.4%</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Hutt</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371,398</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2.7%</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-0.2%</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-5.4%</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Wellington</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529,888</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3.1%</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1.0%</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-0.5%</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Wellington - Central &amp; South</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537,462</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3.2%</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0.8%</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-4.1%</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Wellington - East</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570,607</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2.7%</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1.8%</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-1.0%</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Wellington - North</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465,017</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2.8%</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1.0%</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-0.2%</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Wellington - West</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609,708</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3.9%</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0.4%</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0.4%</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Masterton</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240,726</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0.5%</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1.4%</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-15.8%</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Carterton</w:t>
            </w:r>
            <w:proofErr w:type="spellEnd"/>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249,188</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2.1%</w:t>
            </w:r>
          </w:p>
        </w:tc>
        <w:tc>
          <w:tcPr>
            <w:tcW w:w="1276"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-2.9%</w:t>
            </w:r>
          </w:p>
        </w:tc>
        <w:tc>
          <w:tcPr>
            <w:tcW w:w="1710"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-10.6%</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 xml:space="preserve">South </w:t>
            </w:r>
            <w:proofErr w:type="spellStart"/>
            <w:r w:rsidRPr="006F34CC">
              <w:rPr>
                <w:rFonts w:ascii="Calibri" w:hAnsi="Calibri"/>
                <w:color w:val="000000"/>
                <w:sz w:val="22"/>
                <w:szCs w:val="22"/>
                <w:lang w:val="en-GB"/>
              </w:rPr>
              <w:t>Wairarapa</w:t>
            </w:r>
            <w:proofErr w:type="spellEnd"/>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293,496</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3.4%</w:t>
            </w:r>
          </w:p>
        </w:tc>
        <w:tc>
          <w:tcPr>
            <w:tcW w:w="1276"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1.5%</w:t>
            </w:r>
          </w:p>
        </w:tc>
        <w:tc>
          <w:tcPr>
            <w:tcW w:w="1710"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-13.2%</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Tasman</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409,159</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3.3%</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1.8%</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1.9%</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Nelson</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399,827</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3.6%</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0.7%</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4.4%</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Marlborough</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345,206</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2.1%</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-1.2%</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-11.5%</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Kaikoura</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c>
          <w:tcPr>
            <w:tcW w:w="1276"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c>
          <w:tcPr>
            <w:tcW w:w="1710"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N/A</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Buller</w:t>
            </w:r>
            <w:proofErr w:type="spellEnd"/>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213,817</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-4.8%</w:t>
            </w:r>
          </w:p>
        </w:tc>
        <w:tc>
          <w:tcPr>
            <w:tcW w:w="1276"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-4.4%</w:t>
            </w:r>
          </w:p>
        </w:tc>
        <w:tc>
          <w:tcPr>
            <w:tcW w:w="1710"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4.1%</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Grey</w:t>
            </w:r>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219,012</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-0.2%</w:t>
            </w:r>
          </w:p>
        </w:tc>
        <w:tc>
          <w:tcPr>
            <w:tcW w:w="1276"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0.6%</w:t>
            </w:r>
          </w:p>
        </w:tc>
        <w:tc>
          <w:tcPr>
            <w:tcW w:w="1710"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-10.4%</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Westland</w:t>
            </w:r>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227,982</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2.2%</w:t>
            </w:r>
          </w:p>
        </w:tc>
        <w:tc>
          <w:tcPr>
            <w:tcW w:w="1276"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0.0%</w:t>
            </w:r>
          </w:p>
        </w:tc>
        <w:tc>
          <w:tcPr>
            <w:tcW w:w="1710"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-5.0%</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Hurunui</w:t>
            </w:r>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336,659</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5.0%</w:t>
            </w:r>
          </w:p>
        </w:tc>
        <w:tc>
          <w:tcPr>
            <w:tcW w:w="1276"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0.8%</w:t>
            </w:r>
          </w:p>
        </w:tc>
        <w:tc>
          <w:tcPr>
            <w:tcW w:w="1710"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7.7%</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Waimakariri</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394,012</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8.4%</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1.6%</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23.0%</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lastRenderedPageBreak/>
              <w:t>#</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Christchurch</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450,049</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12.4%</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3.2%</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18.6%</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Christchurch - East</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341,194</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10.8%</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2.3%</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10.2%</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Christchurch - Hills</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616,392</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9.8%</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0.9%</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11.4%</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Christchurch - Central &amp; North</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521,717</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13.2%</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3.6%</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17.8%</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Christchurch - Southwest</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423,049</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14.4%</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4.0%</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24.6%</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Christchurch - Banks Peninsula</w:t>
            </w:r>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486,248</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3.1%</w:t>
            </w:r>
          </w:p>
        </w:tc>
        <w:tc>
          <w:tcPr>
            <w:tcW w:w="1276"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-1.1%</w:t>
            </w:r>
          </w:p>
        </w:tc>
        <w:tc>
          <w:tcPr>
            <w:tcW w:w="1710"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1.2%</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Selwyn</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486,612</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11.7%</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2.7%</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30.5%</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Ashburton</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310,411</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8.1%</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2.2%</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10.9%</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Timaru</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277,227</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6.2%</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1.7%</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10.5%</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MacKenzie</w:t>
            </w:r>
            <w:proofErr w:type="spellEnd"/>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290,124</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9.2%</w:t>
            </w:r>
          </w:p>
        </w:tc>
        <w:tc>
          <w:tcPr>
            <w:tcW w:w="1276"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2.6%</w:t>
            </w:r>
          </w:p>
        </w:tc>
        <w:tc>
          <w:tcPr>
            <w:tcW w:w="1710"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1.3%</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Waimate</w:t>
            </w:r>
            <w:proofErr w:type="spellEnd"/>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191,084</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10.1%</w:t>
            </w:r>
          </w:p>
        </w:tc>
        <w:tc>
          <w:tcPr>
            <w:tcW w:w="1276"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0.7%</w:t>
            </w:r>
          </w:p>
        </w:tc>
        <w:tc>
          <w:tcPr>
            <w:tcW w:w="1710"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1.3%</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roofErr w:type="spellStart"/>
            <w:r w:rsidRPr="006F34CC">
              <w:rPr>
                <w:rFonts w:ascii="Calibri" w:hAnsi="Calibri"/>
                <w:color w:val="000000"/>
                <w:sz w:val="22"/>
                <w:szCs w:val="22"/>
                <w:lang w:val="en-GB"/>
              </w:rPr>
              <w:t>Waitaki</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213,053</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-1.4%</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1.6%</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-6.7%</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 xml:space="preserve">Central </w:t>
            </w:r>
            <w:proofErr w:type="spellStart"/>
            <w:r w:rsidRPr="006F34CC">
              <w:rPr>
                <w:rFonts w:ascii="Calibri" w:hAnsi="Calibri"/>
                <w:color w:val="000000"/>
                <w:sz w:val="22"/>
                <w:szCs w:val="22"/>
                <w:lang w:val="en-GB"/>
              </w:rPr>
              <w:t>Otago</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305,358</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3.1%</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0.6%</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-3.7%</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Queenstown Lakes</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638,630</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4.0%</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-0.8%</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-7.1%</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Dunedin</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288,993</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3.5%</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1.3%</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1.0%</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Dunedin - Central &amp; North</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300,967</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5.0%</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2.2%</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-0.2%</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Dunedin - Peninsular &amp; Coastal</w:t>
            </w:r>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258,949</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-0.3%</w:t>
            </w:r>
          </w:p>
        </w:tc>
        <w:tc>
          <w:tcPr>
            <w:tcW w:w="1276" w:type="dxa"/>
            <w:shd w:val="clear" w:color="auto" w:fill="auto"/>
            <w:noWrap/>
            <w:vAlign w:val="bottom"/>
          </w:tcPr>
          <w:p w:rsidR="006F34CC" w:rsidRPr="006F34CC" w:rsidRDefault="006F34CC" w:rsidP="006F34CC">
            <w:pPr>
              <w:jc w:val="right"/>
              <w:rPr>
                <w:rFonts w:ascii="Calibri" w:hAnsi="Calibri"/>
                <w:i/>
                <w:iCs/>
                <w:color w:val="000000"/>
                <w:sz w:val="22"/>
                <w:szCs w:val="22"/>
                <w:lang w:val="en-GB"/>
              </w:rPr>
            </w:pPr>
            <w:r w:rsidRPr="006F34CC">
              <w:rPr>
                <w:rFonts w:ascii="Calibri" w:hAnsi="Calibri"/>
                <w:i/>
                <w:iCs/>
                <w:color w:val="000000"/>
                <w:sz w:val="22"/>
                <w:szCs w:val="22"/>
                <w:lang w:val="en-GB"/>
              </w:rPr>
              <w:t>-3.0%</w:t>
            </w:r>
          </w:p>
        </w:tc>
        <w:tc>
          <w:tcPr>
            <w:tcW w:w="1710" w:type="dxa"/>
            <w:shd w:val="clear" w:color="auto" w:fill="auto"/>
            <w:noWrap/>
            <w:vAlign w:val="bottom"/>
          </w:tcPr>
          <w:p w:rsidR="006F34CC" w:rsidRPr="006F34CC" w:rsidRDefault="006F34CC" w:rsidP="006F34CC">
            <w:pPr>
              <w:jc w:val="right"/>
              <w:rPr>
                <w:rFonts w:ascii="Calibri" w:hAnsi="Calibri"/>
                <w:i/>
                <w:iCs/>
                <w:color w:val="000000"/>
                <w:sz w:val="22"/>
                <w:szCs w:val="22"/>
                <w:lang w:val="en-GB"/>
              </w:rPr>
            </w:pPr>
            <w:r w:rsidRPr="006F34CC">
              <w:rPr>
                <w:rFonts w:ascii="Calibri" w:hAnsi="Calibri"/>
                <w:i/>
                <w:iCs/>
                <w:color w:val="000000"/>
                <w:sz w:val="22"/>
                <w:szCs w:val="22"/>
                <w:lang w:val="en-GB"/>
              </w:rPr>
              <w:t>-4.3%</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Dunedin - South</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274,118</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1.6%</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0.8%</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-4.0%</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noWrap/>
            <w:vAlign w:val="bottom"/>
          </w:tcPr>
          <w:p w:rsidR="006F34CC" w:rsidRPr="006F34CC" w:rsidRDefault="006F34CC" w:rsidP="00DB6C42">
            <w:pPr>
              <w:ind w:firstLineChars="200" w:firstLine="440"/>
              <w:rPr>
                <w:rFonts w:ascii="Calibri" w:hAnsi="Calibri"/>
                <w:color w:val="000000"/>
                <w:sz w:val="22"/>
                <w:szCs w:val="22"/>
                <w:lang w:val="en-GB"/>
              </w:rPr>
            </w:pPr>
            <w:r w:rsidRPr="006F34CC">
              <w:rPr>
                <w:rFonts w:ascii="Calibri" w:hAnsi="Calibri"/>
                <w:color w:val="000000"/>
                <w:sz w:val="22"/>
                <w:szCs w:val="22"/>
                <w:lang w:val="en-GB"/>
              </w:rPr>
              <w:t xml:space="preserve">Dunedin - </w:t>
            </w:r>
            <w:proofErr w:type="spellStart"/>
            <w:r w:rsidRPr="006F34CC">
              <w:rPr>
                <w:rFonts w:ascii="Calibri" w:hAnsi="Calibri"/>
                <w:color w:val="000000"/>
                <w:sz w:val="22"/>
                <w:szCs w:val="22"/>
                <w:lang w:val="en-GB"/>
              </w:rPr>
              <w:t>Taieri</w:t>
            </w:r>
            <w:proofErr w:type="spellEnd"/>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299,464</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4.0%</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1.6%</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1.9%</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Clutha</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167,416</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4.8%</w:t>
            </w:r>
          </w:p>
        </w:tc>
        <w:tc>
          <w:tcPr>
            <w:tcW w:w="1276"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4.5%</w:t>
            </w:r>
          </w:p>
        </w:tc>
        <w:tc>
          <w:tcPr>
            <w:tcW w:w="1710"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-7.6%</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Southland</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207,937</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2.8%</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4.4%</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-9.7%</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Gore</w:t>
            </w:r>
          </w:p>
        </w:tc>
        <w:tc>
          <w:tcPr>
            <w:tcW w:w="1559"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181,754</w:t>
            </w:r>
          </w:p>
        </w:tc>
        <w:tc>
          <w:tcPr>
            <w:tcW w:w="1418" w:type="dxa"/>
            <w:shd w:val="clear" w:color="auto" w:fill="auto"/>
            <w:noWrap/>
            <w:vAlign w:val="bottom"/>
          </w:tcPr>
          <w:p w:rsidR="006F34CC" w:rsidRPr="006F34CC" w:rsidRDefault="006F34CC" w:rsidP="006F34CC">
            <w:pPr>
              <w:jc w:val="right"/>
              <w:rPr>
                <w:rFonts w:ascii="Calibri" w:hAnsi="Calibri"/>
                <w:i/>
                <w:iCs/>
                <w:sz w:val="22"/>
                <w:szCs w:val="22"/>
                <w:lang w:val="en-GB"/>
              </w:rPr>
            </w:pPr>
            <w:r w:rsidRPr="006F34CC">
              <w:rPr>
                <w:rFonts w:ascii="Calibri" w:hAnsi="Calibri"/>
                <w:i/>
                <w:iCs/>
                <w:sz w:val="22"/>
                <w:szCs w:val="22"/>
                <w:lang w:val="en-GB"/>
              </w:rPr>
              <w:t>2.8%</w:t>
            </w:r>
          </w:p>
        </w:tc>
        <w:tc>
          <w:tcPr>
            <w:tcW w:w="1276" w:type="dxa"/>
            <w:shd w:val="clear" w:color="auto" w:fill="auto"/>
            <w:noWrap/>
            <w:vAlign w:val="bottom"/>
          </w:tcPr>
          <w:p w:rsidR="006F34CC" w:rsidRPr="006F34CC" w:rsidRDefault="006F34CC" w:rsidP="006F34CC">
            <w:pPr>
              <w:jc w:val="right"/>
              <w:rPr>
                <w:rFonts w:ascii="Calibri" w:hAnsi="Calibri"/>
                <w:i/>
                <w:iCs/>
                <w:color w:val="000000"/>
                <w:sz w:val="22"/>
                <w:szCs w:val="22"/>
                <w:lang w:val="en-GB"/>
              </w:rPr>
            </w:pPr>
            <w:r w:rsidRPr="006F34CC">
              <w:rPr>
                <w:rFonts w:ascii="Calibri" w:hAnsi="Calibri"/>
                <w:i/>
                <w:iCs/>
                <w:color w:val="000000"/>
                <w:sz w:val="22"/>
                <w:szCs w:val="22"/>
                <w:lang w:val="en-GB"/>
              </w:rPr>
              <w:t>3.9%</w:t>
            </w:r>
          </w:p>
        </w:tc>
        <w:tc>
          <w:tcPr>
            <w:tcW w:w="1710" w:type="dxa"/>
            <w:shd w:val="clear" w:color="auto" w:fill="auto"/>
            <w:noWrap/>
            <w:vAlign w:val="bottom"/>
          </w:tcPr>
          <w:p w:rsidR="006F34CC" w:rsidRPr="006F34CC" w:rsidRDefault="006F34CC" w:rsidP="006F34CC">
            <w:pPr>
              <w:jc w:val="right"/>
              <w:rPr>
                <w:rFonts w:ascii="Calibri" w:hAnsi="Calibri"/>
                <w:i/>
                <w:iCs/>
                <w:color w:val="000000"/>
                <w:sz w:val="22"/>
                <w:szCs w:val="22"/>
                <w:lang w:val="en-GB"/>
              </w:rPr>
            </w:pPr>
            <w:r w:rsidRPr="006F34CC">
              <w:rPr>
                <w:rFonts w:ascii="Calibri" w:hAnsi="Calibri"/>
                <w:i/>
                <w:iCs/>
                <w:color w:val="000000"/>
                <w:sz w:val="22"/>
                <w:szCs w:val="22"/>
                <w:lang w:val="en-GB"/>
              </w:rPr>
              <w:t>3.4%</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Invercargill</w:t>
            </w:r>
          </w:p>
        </w:tc>
        <w:tc>
          <w:tcPr>
            <w:tcW w:w="1559"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205,273</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0.1%</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0.4%</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-6.9%</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1559" w:type="dxa"/>
            <w:shd w:val="clear" w:color="auto" w:fill="auto"/>
            <w:noWrap/>
            <w:vAlign w:val="bottom"/>
          </w:tcPr>
          <w:p w:rsidR="006F34CC" w:rsidRPr="006F34CC" w:rsidRDefault="006F34CC" w:rsidP="006F34CC">
            <w:pPr>
              <w:rPr>
                <w:rFonts w:ascii="Calibri" w:hAnsi="Calibri"/>
                <w:sz w:val="22"/>
                <w:szCs w:val="22"/>
                <w:lang w:val="en-GB"/>
              </w:rPr>
            </w:pPr>
          </w:p>
        </w:tc>
        <w:tc>
          <w:tcPr>
            <w:tcW w:w="1418" w:type="dxa"/>
            <w:shd w:val="clear" w:color="auto" w:fill="auto"/>
            <w:vAlign w:val="bottom"/>
          </w:tcPr>
          <w:p w:rsidR="006F34CC" w:rsidRPr="006F34CC" w:rsidRDefault="006F34CC" w:rsidP="006F34CC">
            <w:pPr>
              <w:jc w:val="right"/>
              <w:rPr>
                <w:rFonts w:ascii="Calibri" w:hAnsi="Calibri"/>
                <w:color w:val="000000"/>
                <w:sz w:val="22"/>
                <w:szCs w:val="22"/>
                <w:lang w:val="en-GB"/>
              </w:rPr>
            </w:pPr>
          </w:p>
        </w:tc>
        <w:tc>
          <w:tcPr>
            <w:tcW w:w="1276" w:type="dxa"/>
            <w:shd w:val="clear" w:color="auto" w:fill="auto"/>
            <w:noWrap/>
            <w:vAlign w:val="bottom"/>
          </w:tcPr>
          <w:p w:rsidR="006F34CC" w:rsidRPr="006F34CC" w:rsidRDefault="006F34CC" w:rsidP="006F34CC">
            <w:pPr>
              <w:rPr>
                <w:rFonts w:ascii="Calibri" w:hAnsi="Calibri"/>
                <w:color w:val="000000"/>
                <w:sz w:val="22"/>
                <w:szCs w:val="22"/>
                <w:lang w:val="en-GB"/>
              </w:rPr>
            </w:pPr>
          </w:p>
        </w:tc>
        <w:tc>
          <w:tcPr>
            <w:tcW w:w="1710" w:type="dxa"/>
            <w:shd w:val="clear" w:color="auto" w:fill="auto"/>
            <w:noWrap/>
            <w:vAlign w:val="bottom"/>
          </w:tcPr>
          <w:p w:rsidR="006F34CC" w:rsidRPr="006F34CC" w:rsidRDefault="006F34CC" w:rsidP="006F34CC">
            <w:pPr>
              <w:rPr>
                <w:rFonts w:ascii="Calibri" w:hAnsi="Calibri"/>
                <w:color w:val="000000"/>
                <w:sz w:val="22"/>
                <w:szCs w:val="22"/>
                <w:lang w:val="en-GB"/>
              </w:rPr>
            </w:pP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Auckland Area</w:t>
            </w:r>
          </w:p>
        </w:tc>
        <w:tc>
          <w:tcPr>
            <w:tcW w:w="1559" w:type="dxa"/>
            <w:shd w:val="clear" w:color="auto" w:fill="C0C0C0"/>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 xml:space="preserve"> 685,350 </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15.2%</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5.1%</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25.4%</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Wellington Area</w:t>
            </w:r>
          </w:p>
        </w:tc>
        <w:tc>
          <w:tcPr>
            <w:tcW w:w="1559" w:type="dxa"/>
            <w:shd w:val="clear" w:color="auto" w:fill="C0C0C0"/>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 xml:space="preserve"> 448,325 </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3.0%</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0.6%</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-1.6%</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w:t>
            </w:r>
          </w:p>
        </w:tc>
        <w:tc>
          <w:tcPr>
            <w:tcW w:w="3451" w:type="dxa"/>
            <w:shd w:val="clear" w:color="auto" w:fill="auto"/>
            <w:vAlign w:val="bottom"/>
          </w:tcPr>
          <w:p w:rsidR="006F34CC" w:rsidRPr="006F34CC" w:rsidRDefault="006F34CC" w:rsidP="006F34CC">
            <w:pPr>
              <w:rPr>
                <w:rFonts w:ascii="Calibri" w:hAnsi="Calibri"/>
                <w:color w:val="000000"/>
                <w:sz w:val="22"/>
                <w:szCs w:val="22"/>
                <w:lang w:val="en-GB"/>
              </w:rPr>
            </w:pPr>
            <w:r w:rsidRPr="006F34CC">
              <w:rPr>
                <w:rFonts w:ascii="Calibri" w:hAnsi="Calibri"/>
                <w:color w:val="000000"/>
                <w:sz w:val="22"/>
                <w:szCs w:val="22"/>
                <w:lang w:val="en-GB"/>
              </w:rPr>
              <w:t>Main Urban Areas</w:t>
            </w:r>
          </w:p>
        </w:tc>
        <w:tc>
          <w:tcPr>
            <w:tcW w:w="1559" w:type="dxa"/>
            <w:shd w:val="clear" w:color="auto" w:fill="C0C0C0"/>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 xml:space="preserve"> 534,852 </w:t>
            </w:r>
          </w:p>
        </w:tc>
        <w:tc>
          <w:tcPr>
            <w:tcW w:w="1418" w:type="dxa"/>
            <w:shd w:val="clear" w:color="auto" w:fill="auto"/>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11.5%</w:t>
            </w:r>
          </w:p>
        </w:tc>
        <w:tc>
          <w:tcPr>
            <w:tcW w:w="1276"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3.6%</w:t>
            </w:r>
          </w:p>
        </w:tc>
        <w:tc>
          <w:tcPr>
            <w:tcW w:w="1710" w:type="dxa"/>
            <w:shd w:val="clear" w:color="auto" w:fill="auto"/>
            <w:noWrap/>
            <w:vAlign w:val="bottom"/>
          </w:tcPr>
          <w:p w:rsidR="006F34CC" w:rsidRPr="006F34CC" w:rsidRDefault="006F34CC" w:rsidP="006F34CC">
            <w:pPr>
              <w:jc w:val="right"/>
              <w:rPr>
                <w:rFonts w:ascii="Calibri" w:hAnsi="Calibri"/>
                <w:color w:val="000000"/>
                <w:sz w:val="22"/>
                <w:szCs w:val="22"/>
                <w:lang w:val="en-GB"/>
              </w:rPr>
            </w:pPr>
            <w:r w:rsidRPr="006F34CC">
              <w:rPr>
                <w:rFonts w:ascii="Calibri" w:hAnsi="Calibri"/>
                <w:color w:val="000000"/>
                <w:sz w:val="22"/>
                <w:szCs w:val="22"/>
                <w:lang w:val="en-GB"/>
              </w:rPr>
              <w:t>16.4%</w:t>
            </w:r>
          </w:p>
        </w:tc>
      </w:tr>
      <w:tr w:rsidR="006F34CC" w:rsidRPr="006F34CC" w:rsidTr="004B0664">
        <w:trPr>
          <w:trHeight w:val="300"/>
        </w:trPr>
        <w:tc>
          <w:tcPr>
            <w:tcW w:w="660" w:type="dxa"/>
            <w:shd w:val="clear" w:color="auto" w:fill="auto"/>
            <w:vAlign w:val="bottom"/>
          </w:tcPr>
          <w:p w:rsidR="006F34CC" w:rsidRPr="006F34CC" w:rsidRDefault="006F34CC" w:rsidP="006F34CC">
            <w:pPr>
              <w:rPr>
                <w:rFonts w:ascii="Calibri" w:hAnsi="Calibri"/>
                <w:color w:val="000000"/>
                <w:sz w:val="22"/>
                <w:szCs w:val="22"/>
                <w:lang w:val="en-GB"/>
              </w:rPr>
            </w:pPr>
          </w:p>
        </w:tc>
        <w:tc>
          <w:tcPr>
            <w:tcW w:w="3451" w:type="dxa"/>
            <w:shd w:val="clear" w:color="auto" w:fill="auto"/>
            <w:vAlign w:val="bottom"/>
          </w:tcPr>
          <w:p w:rsidR="006F34CC" w:rsidRPr="006F34CC" w:rsidRDefault="006F34CC" w:rsidP="006F34CC">
            <w:pPr>
              <w:rPr>
                <w:rFonts w:ascii="Calibri" w:hAnsi="Calibri"/>
                <w:b/>
                <w:bCs/>
                <w:color w:val="000000"/>
                <w:sz w:val="22"/>
                <w:szCs w:val="22"/>
                <w:lang w:val="en-GB"/>
              </w:rPr>
            </w:pPr>
            <w:r w:rsidRPr="006F34CC">
              <w:rPr>
                <w:rFonts w:ascii="Calibri" w:hAnsi="Calibri"/>
                <w:b/>
                <w:bCs/>
                <w:color w:val="000000"/>
                <w:sz w:val="22"/>
                <w:szCs w:val="22"/>
                <w:lang w:val="en-GB"/>
              </w:rPr>
              <w:t>New Zealand</w:t>
            </w:r>
          </w:p>
        </w:tc>
        <w:tc>
          <w:tcPr>
            <w:tcW w:w="1559" w:type="dxa"/>
            <w:shd w:val="clear" w:color="auto" w:fill="C0C0C0"/>
            <w:noWrap/>
            <w:vAlign w:val="bottom"/>
          </w:tcPr>
          <w:p w:rsidR="006F34CC" w:rsidRPr="006F34CC" w:rsidRDefault="006F34CC" w:rsidP="006F34CC">
            <w:pPr>
              <w:jc w:val="right"/>
              <w:rPr>
                <w:rFonts w:ascii="Calibri" w:hAnsi="Calibri"/>
                <w:sz w:val="22"/>
                <w:szCs w:val="22"/>
                <w:lang w:val="en-GB"/>
              </w:rPr>
            </w:pPr>
            <w:r w:rsidRPr="006F34CC">
              <w:rPr>
                <w:rFonts w:ascii="Calibri" w:hAnsi="Calibri"/>
                <w:sz w:val="22"/>
                <w:szCs w:val="22"/>
                <w:lang w:val="en-GB"/>
              </w:rPr>
              <w:t xml:space="preserve"> 460,067 </w:t>
            </w:r>
          </w:p>
        </w:tc>
        <w:tc>
          <w:tcPr>
            <w:tcW w:w="1418" w:type="dxa"/>
            <w:shd w:val="clear" w:color="auto" w:fill="auto"/>
            <w:noWrap/>
            <w:vAlign w:val="bottom"/>
          </w:tcPr>
          <w:p w:rsidR="006F34CC" w:rsidRPr="006F34CC" w:rsidRDefault="006F34CC" w:rsidP="006F34CC">
            <w:pPr>
              <w:jc w:val="right"/>
              <w:rPr>
                <w:rFonts w:ascii="Calibri" w:hAnsi="Calibri"/>
                <w:b/>
                <w:bCs/>
                <w:sz w:val="22"/>
                <w:szCs w:val="22"/>
                <w:lang w:val="en-GB"/>
              </w:rPr>
            </w:pPr>
            <w:r w:rsidRPr="006F34CC">
              <w:rPr>
                <w:rFonts w:ascii="Calibri" w:hAnsi="Calibri"/>
                <w:b/>
                <w:bCs/>
                <w:sz w:val="22"/>
                <w:szCs w:val="22"/>
                <w:lang w:val="en-GB"/>
              </w:rPr>
              <w:t>9.2%</w:t>
            </w:r>
          </w:p>
        </w:tc>
        <w:tc>
          <w:tcPr>
            <w:tcW w:w="1276" w:type="dxa"/>
            <w:shd w:val="clear" w:color="auto" w:fill="auto"/>
            <w:noWrap/>
            <w:vAlign w:val="bottom"/>
          </w:tcPr>
          <w:p w:rsidR="006F34CC" w:rsidRPr="006F34CC" w:rsidRDefault="006F34CC" w:rsidP="006F34CC">
            <w:pPr>
              <w:jc w:val="right"/>
              <w:rPr>
                <w:rFonts w:ascii="Calibri" w:hAnsi="Calibri"/>
                <w:b/>
                <w:bCs/>
                <w:color w:val="000000"/>
                <w:sz w:val="22"/>
                <w:szCs w:val="22"/>
                <w:lang w:val="en-GB"/>
              </w:rPr>
            </w:pPr>
            <w:r w:rsidRPr="006F34CC">
              <w:rPr>
                <w:rFonts w:ascii="Calibri" w:hAnsi="Calibri"/>
                <w:b/>
                <w:bCs/>
                <w:color w:val="000000"/>
                <w:sz w:val="22"/>
                <w:szCs w:val="22"/>
                <w:lang w:val="en-GB"/>
              </w:rPr>
              <w:t>2.5%</w:t>
            </w:r>
          </w:p>
        </w:tc>
        <w:tc>
          <w:tcPr>
            <w:tcW w:w="1710" w:type="dxa"/>
            <w:shd w:val="clear" w:color="auto" w:fill="auto"/>
            <w:noWrap/>
            <w:vAlign w:val="bottom"/>
          </w:tcPr>
          <w:p w:rsidR="006F34CC" w:rsidRPr="006F34CC" w:rsidRDefault="006F34CC" w:rsidP="006F34CC">
            <w:pPr>
              <w:jc w:val="right"/>
              <w:rPr>
                <w:rFonts w:ascii="Calibri" w:hAnsi="Calibri"/>
                <w:b/>
                <w:bCs/>
                <w:color w:val="000000"/>
                <w:sz w:val="22"/>
                <w:szCs w:val="22"/>
                <w:lang w:val="en-GB"/>
              </w:rPr>
            </w:pPr>
            <w:r w:rsidRPr="006F34CC">
              <w:rPr>
                <w:rFonts w:ascii="Calibri" w:hAnsi="Calibri"/>
                <w:b/>
                <w:bCs/>
                <w:color w:val="000000"/>
                <w:sz w:val="22"/>
                <w:szCs w:val="22"/>
                <w:lang w:val="en-GB"/>
              </w:rPr>
              <w:t>11.0%</w:t>
            </w:r>
          </w:p>
        </w:tc>
      </w:tr>
      <w:tr w:rsidR="004B0664" w:rsidRPr="006F34CC" w:rsidTr="0096678D">
        <w:trPr>
          <w:trHeight w:val="240"/>
        </w:trPr>
        <w:tc>
          <w:tcPr>
            <w:tcW w:w="10074" w:type="dxa"/>
            <w:gridSpan w:val="6"/>
            <w:shd w:val="clear" w:color="auto" w:fill="auto"/>
            <w:vAlign w:val="bottom"/>
          </w:tcPr>
          <w:p w:rsidR="004B0664" w:rsidRPr="006F34CC" w:rsidRDefault="004B0664" w:rsidP="006F34CC">
            <w:pPr>
              <w:rPr>
                <w:rFonts w:ascii="Arial" w:hAnsi="Arial"/>
                <w:color w:val="000000"/>
                <w:sz w:val="20"/>
                <w:szCs w:val="20"/>
                <w:lang w:val="en-GB"/>
              </w:rPr>
            </w:pPr>
          </w:p>
        </w:tc>
      </w:tr>
      <w:tr w:rsidR="004B0664" w:rsidRPr="006F34CC" w:rsidTr="001D6340">
        <w:trPr>
          <w:trHeight w:val="240"/>
        </w:trPr>
        <w:tc>
          <w:tcPr>
            <w:tcW w:w="10074" w:type="dxa"/>
            <w:gridSpan w:val="6"/>
            <w:shd w:val="clear" w:color="auto" w:fill="auto"/>
          </w:tcPr>
          <w:p w:rsidR="004B0664" w:rsidRPr="006F34CC" w:rsidRDefault="004B0664" w:rsidP="006F34CC">
            <w:pPr>
              <w:rPr>
                <w:rFonts w:ascii="Arial" w:hAnsi="Arial"/>
                <w:color w:val="000000"/>
                <w:sz w:val="20"/>
                <w:szCs w:val="20"/>
                <w:lang w:val="en-GB"/>
              </w:rPr>
            </w:pPr>
            <w:r w:rsidRPr="006F34CC">
              <w:rPr>
                <w:rFonts w:ascii="Arial" w:hAnsi="Arial"/>
                <w:b/>
                <w:bCs/>
                <w:color w:val="000000"/>
                <w:sz w:val="20"/>
                <w:szCs w:val="20"/>
                <w:lang w:val="en-GB"/>
              </w:rPr>
              <w:t>Notes on the above data:</w:t>
            </w:r>
          </w:p>
        </w:tc>
      </w:tr>
      <w:tr w:rsidR="006F34CC" w:rsidRPr="006F34CC" w:rsidTr="004B0664">
        <w:trPr>
          <w:trHeight w:val="760"/>
        </w:trPr>
        <w:tc>
          <w:tcPr>
            <w:tcW w:w="10074" w:type="dxa"/>
            <w:gridSpan w:val="6"/>
            <w:shd w:val="clear" w:color="auto" w:fill="auto"/>
          </w:tcPr>
          <w:p w:rsidR="006F34CC" w:rsidRPr="006F34CC" w:rsidRDefault="006F34CC" w:rsidP="006F34CC">
            <w:pPr>
              <w:rPr>
                <w:rFonts w:ascii="Arial" w:hAnsi="Arial"/>
                <w:color w:val="000000"/>
                <w:sz w:val="20"/>
                <w:szCs w:val="20"/>
                <w:lang w:val="en-GB"/>
              </w:rPr>
            </w:pPr>
            <w:r w:rsidRPr="006F34CC">
              <w:rPr>
                <w:rFonts w:ascii="Arial" w:hAnsi="Arial"/>
                <w:color w:val="000000"/>
                <w:sz w:val="20"/>
                <w:szCs w:val="20"/>
                <w:lang w:val="en-GB"/>
              </w:rPr>
              <w:t xml:space="preserve">1. The information included in the above table is based on the monthly property value index. This index is calculated based on the sales data entered into </w:t>
            </w:r>
            <w:proofErr w:type="spellStart"/>
            <w:r w:rsidRPr="006F34CC">
              <w:rPr>
                <w:rFonts w:ascii="Arial" w:hAnsi="Arial"/>
                <w:color w:val="000000"/>
                <w:sz w:val="20"/>
                <w:szCs w:val="20"/>
                <w:lang w:val="en-GB"/>
              </w:rPr>
              <w:t>PropertyIQ's</w:t>
            </w:r>
            <w:proofErr w:type="spellEnd"/>
            <w:r w:rsidRPr="006F34CC">
              <w:rPr>
                <w:rFonts w:ascii="Arial" w:hAnsi="Arial"/>
                <w:color w:val="000000"/>
                <w:sz w:val="20"/>
                <w:szCs w:val="20"/>
                <w:lang w:val="en-GB"/>
              </w:rPr>
              <w:t xml:space="preserve"> system in the previous 3 month period. For example, information for the period ending June will be calculated based on sales entered between April 1 and June 30.</w:t>
            </w:r>
          </w:p>
        </w:tc>
      </w:tr>
      <w:tr w:rsidR="006F34CC" w:rsidRPr="006F34CC" w:rsidTr="004B0664">
        <w:trPr>
          <w:trHeight w:val="760"/>
        </w:trPr>
        <w:tc>
          <w:tcPr>
            <w:tcW w:w="10074" w:type="dxa"/>
            <w:gridSpan w:val="6"/>
            <w:shd w:val="clear" w:color="auto" w:fill="auto"/>
          </w:tcPr>
          <w:p w:rsidR="006F34CC" w:rsidRPr="006F34CC" w:rsidRDefault="006F34CC" w:rsidP="006F34CC">
            <w:pPr>
              <w:rPr>
                <w:rFonts w:ascii="Arial" w:hAnsi="Arial"/>
                <w:color w:val="000000"/>
                <w:sz w:val="20"/>
                <w:szCs w:val="20"/>
                <w:lang w:val="en-GB"/>
              </w:rPr>
            </w:pPr>
            <w:r w:rsidRPr="006F34CC">
              <w:rPr>
                <w:rFonts w:ascii="Arial" w:hAnsi="Arial"/>
                <w:color w:val="000000"/>
                <w:sz w:val="20"/>
                <w:szCs w:val="20"/>
                <w:lang w:val="en-GB"/>
              </w:rPr>
              <w:t xml:space="preserve">2. The average current value is the average (mean) value of all developed residential properties in the area based on the latest index. It is not an average or median sales price, as both of </w:t>
            </w:r>
            <w:proofErr w:type="gramStart"/>
            <w:r w:rsidRPr="006F34CC">
              <w:rPr>
                <w:rFonts w:ascii="Arial" w:hAnsi="Arial"/>
                <w:color w:val="000000"/>
                <w:sz w:val="20"/>
                <w:szCs w:val="20"/>
                <w:lang w:val="en-GB"/>
              </w:rPr>
              <w:t>those only measure</w:t>
            </w:r>
            <w:proofErr w:type="gramEnd"/>
            <w:r w:rsidRPr="006F34CC">
              <w:rPr>
                <w:rFonts w:ascii="Arial" w:hAnsi="Arial"/>
                <w:color w:val="000000"/>
                <w:sz w:val="20"/>
                <w:szCs w:val="20"/>
                <w:lang w:val="en-GB"/>
              </w:rPr>
              <w:t xml:space="preserve"> what happens to have sold in the period.</w:t>
            </w:r>
          </w:p>
        </w:tc>
      </w:tr>
      <w:tr w:rsidR="006F34CC" w:rsidRPr="006F34CC" w:rsidTr="004B0664">
        <w:trPr>
          <w:trHeight w:val="540"/>
        </w:trPr>
        <w:tc>
          <w:tcPr>
            <w:tcW w:w="10074" w:type="dxa"/>
            <w:gridSpan w:val="6"/>
            <w:shd w:val="clear" w:color="auto" w:fill="auto"/>
          </w:tcPr>
          <w:p w:rsidR="006F34CC" w:rsidRPr="006F34CC" w:rsidRDefault="006F34CC" w:rsidP="006F34CC">
            <w:pPr>
              <w:rPr>
                <w:rFonts w:ascii="Arial" w:hAnsi="Arial"/>
                <w:color w:val="000000"/>
                <w:sz w:val="20"/>
                <w:szCs w:val="20"/>
                <w:lang w:val="en-GB"/>
              </w:rPr>
            </w:pPr>
            <w:r w:rsidRPr="006F34CC">
              <w:rPr>
                <w:rFonts w:ascii="Arial" w:hAnsi="Arial"/>
                <w:color w:val="000000"/>
                <w:sz w:val="20"/>
                <w:szCs w:val="20"/>
                <w:lang w:val="en-GB"/>
              </w:rPr>
              <w:t>3.  The percentage change over three months, twelve months and since the 2007 market peak are based on the change in the property value index between that time and the current.</w:t>
            </w:r>
          </w:p>
        </w:tc>
      </w:tr>
      <w:tr w:rsidR="006F34CC" w:rsidRPr="006F34CC" w:rsidTr="004B0664">
        <w:trPr>
          <w:trHeight w:val="840"/>
        </w:trPr>
        <w:tc>
          <w:tcPr>
            <w:tcW w:w="10074" w:type="dxa"/>
            <w:gridSpan w:val="6"/>
            <w:shd w:val="clear" w:color="auto" w:fill="auto"/>
          </w:tcPr>
          <w:p w:rsidR="006F34CC" w:rsidRPr="006F34CC" w:rsidRDefault="006F34CC" w:rsidP="006F34CC">
            <w:pPr>
              <w:rPr>
                <w:rFonts w:ascii="Arial" w:hAnsi="Arial"/>
                <w:color w:val="000000"/>
                <w:sz w:val="20"/>
                <w:szCs w:val="20"/>
                <w:lang w:val="en-GB"/>
              </w:rPr>
            </w:pPr>
            <w:r w:rsidRPr="006F34CC">
              <w:rPr>
                <w:rFonts w:ascii="Arial" w:hAnsi="Arial"/>
                <w:color w:val="000000"/>
                <w:sz w:val="20"/>
                <w:szCs w:val="20"/>
                <w:lang w:val="en-GB"/>
              </w:rPr>
              <w:t>4. Any of the statistical data shown in italics are calculated based on a sample set of data that is less than the recommended minimum. These results should be used with caution. Those showing N/A had too few sales to generate an index</w:t>
            </w:r>
          </w:p>
        </w:tc>
      </w:tr>
    </w:tbl>
    <w:p w:rsidR="00C62CF4" w:rsidRDefault="00C62CF4">
      <w:pPr>
        <w:pStyle w:val="normal0"/>
        <w:spacing w:after="0" w:line="240" w:lineRule="auto"/>
      </w:pPr>
    </w:p>
    <w:p w:rsidR="00C62CF4" w:rsidRDefault="00C60756">
      <w:pPr>
        <w:pStyle w:val="normal0"/>
        <w:spacing w:after="0" w:line="240" w:lineRule="auto"/>
      </w:pPr>
      <w:r>
        <w:rPr>
          <w:rFonts w:ascii="Arial" w:eastAsia="Arial" w:hAnsi="Arial" w:cs="Arial"/>
          <w:sz w:val="20"/>
          <w:highlight w:val="white"/>
        </w:rPr>
        <w:t xml:space="preserve">With the </w:t>
      </w:r>
      <w:proofErr w:type="spellStart"/>
      <w:r>
        <w:rPr>
          <w:rFonts w:ascii="Arial" w:eastAsia="Arial" w:hAnsi="Arial" w:cs="Arial"/>
          <w:sz w:val="20"/>
          <w:highlight w:val="white"/>
        </w:rPr>
        <w:t>relaunch</w:t>
      </w:r>
      <w:proofErr w:type="spellEnd"/>
      <w:r>
        <w:rPr>
          <w:rFonts w:ascii="Arial" w:eastAsia="Arial" w:hAnsi="Arial" w:cs="Arial"/>
          <w:sz w:val="20"/>
          <w:highlight w:val="white"/>
        </w:rPr>
        <w:t xml:space="preserve"> of </w:t>
      </w:r>
      <w:hyperlink r:id="rId12">
        <w:r>
          <w:rPr>
            <w:rFonts w:ascii="Arial" w:eastAsia="Arial" w:hAnsi="Arial" w:cs="Arial"/>
            <w:sz w:val="20"/>
            <w:highlight w:val="white"/>
            <w:u w:val="single"/>
          </w:rPr>
          <w:t>QV.co.nz</w:t>
        </w:r>
      </w:hyperlink>
      <w:r>
        <w:rPr>
          <w:rFonts w:ascii="Arial" w:eastAsia="Arial" w:hAnsi="Arial" w:cs="Arial"/>
          <w:sz w:val="20"/>
          <w:highlight w:val="white"/>
        </w:rPr>
        <w:t xml:space="preserve"> in July came a new way we calculated the statistics for Auckland Area.  Auckland Area is now calculated based on the super city, covering the entire Auckland region.  You can see all the historical data for Auckland Area and how it has tracked over time by using our </w:t>
      </w:r>
      <w:hyperlink r:id="rId13">
        <w:r>
          <w:rPr>
            <w:rFonts w:ascii="Arial" w:eastAsia="Arial" w:hAnsi="Arial" w:cs="Arial"/>
            <w:sz w:val="20"/>
            <w:highlight w:val="white"/>
            <w:u w:val="single"/>
          </w:rPr>
          <w:t>Monthly Residential Value Index</w:t>
        </w:r>
      </w:hyperlink>
      <w:r>
        <w:rPr>
          <w:rFonts w:ascii="Arial" w:eastAsia="Arial" w:hAnsi="Arial" w:cs="Arial"/>
          <w:sz w:val="20"/>
          <w:highlight w:val="white"/>
        </w:rPr>
        <w:t> tool on </w:t>
      </w:r>
      <w:hyperlink r:id="rId14">
        <w:r>
          <w:rPr>
            <w:rFonts w:ascii="Arial" w:eastAsia="Arial" w:hAnsi="Arial" w:cs="Arial"/>
            <w:sz w:val="20"/>
            <w:highlight w:val="white"/>
            <w:u w:val="single"/>
          </w:rPr>
          <w:t>QV.co.nz</w:t>
        </w:r>
      </w:hyperlink>
      <w:r>
        <w:rPr>
          <w:rFonts w:ascii="Arial" w:eastAsia="Arial" w:hAnsi="Arial" w:cs="Arial"/>
          <w:sz w:val="20"/>
          <w:highlight w:val="white"/>
        </w:rPr>
        <w:t>.</w:t>
      </w:r>
    </w:p>
    <w:sectPr w:rsidR="00C62CF4" w:rsidSect="006F34CC">
      <w:pgSz w:w="11899" w:h="16838"/>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useFELayout/>
  </w:compat>
  <w:rsids>
    <w:rsidRoot w:val="00C62CF4"/>
    <w:rsid w:val="0002652E"/>
    <w:rsid w:val="000A6094"/>
    <w:rsid w:val="001134AB"/>
    <w:rsid w:val="00120F2C"/>
    <w:rsid w:val="00147DC7"/>
    <w:rsid w:val="00325A6F"/>
    <w:rsid w:val="00367710"/>
    <w:rsid w:val="0042110E"/>
    <w:rsid w:val="004247A8"/>
    <w:rsid w:val="004503D7"/>
    <w:rsid w:val="004850E2"/>
    <w:rsid w:val="00493875"/>
    <w:rsid w:val="004A7920"/>
    <w:rsid w:val="004B0664"/>
    <w:rsid w:val="004D6EB2"/>
    <w:rsid w:val="00503777"/>
    <w:rsid w:val="00583FEC"/>
    <w:rsid w:val="006236B6"/>
    <w:rsid w:val="006D17ED"/>
    <w:rsid w:val="006E049A"/>
    <w:rsid w:val="006F34CC"/>
    <w:rsid w:val="007469B8"/>
    <w:rsid w:val="008347CD"/>
    <w:rsid w:val="0091075D"/>
    <w:rsid w:val="009253F6"/>
    <w:rsid w:val="00970F28"/>
    <w:rsid w:val="009854B4"/>
    <w:rsid w:val="00AF0422"/>
    <w:rsid w:val="00B8521E"/>
    <w:rsid w:val="00BB0877"/>
    <w:rsid w:val="00BD31C8"/>
    <w:rsid w:val="00C60756"/>
    <w:rsid w:val="00C62CF4"/>
    <w:rsid w:val="00D12995"/>
    <w:rsid w:val="00DB6C42"/>
    <w:rsid w:val="00DE678B"/>
    <w:rsid w:val="00E17446"/>
    <w:rsid w:val="00E312D9"/>
    <w:rsid w:val="00E37E80"/>
    <w:rsid w:val="00E4054A"/>
    <w:rsid w:val="00E61D32"/>
    <w:rsid w:val="00EE2153"/>
    <w:rsid w:val="00F0489D"/>
    <w:rsid w:val="00F7278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9D"/>
  </w:style>
  <w:style w:type="paragraph" w:styleId="Heading1">
    <w:name w:val="heading 1"/>
    <w:basedOn w:val="normal0"/>
    <w:next w:val="normal0"/>
    <w:rsid w:val="00C62CF4"/>
    <w:pPr>
      <w:spacing w:before="480" w:after="120"/>
      <w:contextualSpacing/>
      <w:outlineLvl w:val="0"/>
    </w:pPr>
    <w:rPr>
      <w:b/>
      <w:sz w:val="48"/>
    </w:rPr>
  </w:style>
  <w:style w:type="paragraph" w:styleId="Heading2">
    <w:name w:val="heading 2"/>
    <w:basedOn w:val="normal0"/>
    <w:next w:val="normal0"/>
    <w:rsid w:val="00C62CF4"/>
    <w:pPr>
      <w:spacing w:after="0" w:line="240" w:lineRule="auto"/>
      <w:outlineLvl w:val="1"/>
    </w:pPr>
    <w:rPr>
      <w:rFonts w:ascii="Times New Roman" w:eastAsia="Times New Roman" w:hAnsi="Times New Roman" w:cs="Times New Roman"/>
      <w:b/>
      <w:sz w:val="24"/>
    </w:rPr>
  </w:style>
  <w:style w:type="paragraph" w:styleId="Heading3">
    <w:name w:val="heading 3"/>
    <w:basedOn w:val="normal0"/>
    <w:next w:val="normal0"/>
    <w:rsid w:val="00C62CF4"/>
    <w:pPr>
      <w:spacing w:after="0" w:line="240" w:lineRule="auto"/>
      <w:outlineLvl w:val="2"/>
    </w:pPr>
    <w:rPr>
      <w:rFonts w:ascii="Times New Roman" w:eastAsia="Times New Roman" w:hAnsi="Times New Roman" w:cs="Times New Roman"/>
      <w:b/>
      <w:sz w:val="28"/>
    </w:rPr>
  </w:style>
  <w:style w:type="paragraph" w:styleId="Heading4">
    <w:name w:val="heading 4"/>
    <w:basedOn w:val="normal0"/>
    <w:next w:val="normal0"/>
    <w:rsid w:val="00C62CF4"/>
    <w:pPr>
      <w:spacing w:before="240" w:after="40"/>
      <w:contextualSpacing/>
      <w:outlineLvl w:val="3"/>
    </w:pPr>
    <w:rPr>
      <w:b/>
      <w:sz w:val="24"/>
    </w:rPr>
  </w:style>
  <w:style w:type="paragraph" w:styleId="Heading5">
    <w:name w:val="heading 5"/>
    <w:basedOn w:val="normal0"/>
    <w:next w:val="normal0"/>
    <w:rsid w:val="00C62CF4"/>
    <w:pPr>
      <w:spacing w:before="220" w:after="40"/>
      <w:contextualSpacing/>
      <w:outlineLvl w:val="4"/>
    </w:pPr>
    <w:rPr>
      <w:b/>
    </w:rPr>
  </w:style>
  <w:style w:type="paragraph" w:styleId="Heading6">
    <w:name w:val="heading 6"/>
    <w:basedOn w:val="normal0"/>
    <w:next w:val="normal0"/>
    <w:rsid w:val="00C62CF4"/>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62CF4"/>
    <w:pPr>
      <w:spacing w:line="276" w:lineRule="auto"/>
    </w:pPr>
    <w:rPr>
      <w:rFonts w:ascii="Calibri" w:eastAsia="Calibri" w:hAnsi="Calibri" w:cs="Calibri"/>
      <w:color w:val="000000"/>
      <w:sz w:val="22"/>
    </w:rPr>
  </w:style>
  <w:style w:type="paragraph" w:styleId="Title">
    <w:name w:val="Title"/>
    <w:basedOn w:val="normal0"/>
    <w:next w:val="normal0"/>
    <w:rsid w:val="00C62CF4"/>
    <w:pPr>
      <w:spacing w:before="480" w:after="120"/>
      <w:contextualSpacing/>
    </w:pPr>
    <w:rPr>
      <w:b/>
      <w:sz w:val="72"/>
    </w:rPr>
  </w:style>
  <w:style w:type="paragraph" w:styleId="Subtitle">
    <w:name w:val="Subtitle"/>
    <w:basedOn w:val="normal0"/>
    <w:next w:val="normal0"/>
    <w:rsid w:val="00C62CF4"/>
    <w:pPr>
      <w:spacing w:before="360" w:after="80"/>
      <w:contextualSpacing/>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EE2153"/>
    <w:rPr>
      <w:sz w:val="18"/>
      <w:szCs w:val="18"/>
    </w:rPr>
  </w:style>
  <w:style w:type="paragraph" w:styleId="CommentText">
    <w:name w:val="annotation text"/>
    <w:basedOn w:val="Normal"/>
    <w:link w:val="CommentTextChar"/>
    <w:uiPriority w:val="99"/>
    <w:semiHidden/>
    <w:unhideWhenUsed/>
    <w:rsid w:val="00EE2153"/>
  </w:style>
  <w:style w:type="character" w:customStyle="1" w:styleId="CommentTextChar">
    <w:name w:val="Comment Text Char"/>
    <w:basedOn w:val="DefaultParagraphFont"/>
    <w:link w:val="CommentText"/>
    <w:uiPriority w:val="99"/>
    <w:semiHidden/>
    <w:rsid w:val="00EE2153"/>
  </w:style>
  <w:style w:type="paragraph" w:styleId="CommentSubject">
    <w:name w:val="annotation subject"/>
    <w:basedOn w:val="CommentText"/>
    <w:next w:val="CommentText"/>
    <w:link w:val="CommentSubjectChar"/>
    <w:uiPriority w:val="99"/>
    <w:semiHidden/>
    <w:unhideWhenUsed/>
    <w:rsid w:val="00EE2153"/>
    <w:rPr>
      <w:b/>
      <w:bCs/>
      <w:sz w:val="20"/>
      <w:szCs w:val="20"/>
    </w:rPr>
  </w:style>
  <w:style w:type="character" w:customStyle="1" w:styleId="CommentSubjectChar">
    <w:name w:val="Comment Subject Char"/>
    <w:basedOn w:val="CommentTextChar"/>
    <w:link w:val="CommentSubject"/>
    <w:uiPriority w:val="99"/>
    <w:semiHidden/>
    <w:rsid w:val="00EE2153"/>
    <w:rPr>
      <w:b/>
      <w:bCs/>
      <w:sz w:val="20"/>
      <w:szCs w:val="20"/>
    </w:rPr>
  </w:style>
  <w:style w:type="paragraph" w:styleId="BalloonText">
    <w:name w:val="Balloon Text"/>
    <w:basedOn w:val="Normal"/>
    <w:link w:val="BalloonTextChar"/>
    <w:uiPriority w:val="99"/>
    <w:semiHidden/>
    <w:unhideWhenUsed/>
    <w:rsid w:val="00EE21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E215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076660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qv.co.nz/n/resources/phoenix-54"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qv.co.n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mailto:jonno.ingerson@propertyiq.co.nz" TargetMode="Externa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image" Target="media/image1.emf"/><Relationship Id="rId9" Type="http://schemas.openxmlformats.org/officeDocument/2006/relationships/image" Target="media/image5.png"/><Relationship Id="rId14" Type="http://schemas.openxmlformats.org/officeDocument/2006/relationships/hyperlink" Target="http://qv.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QV.co.nz release - October 2013.docx</vt:lpstr>
    </vt:vector>
  </TitlesOfParts>
  <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QV.co.nz release - October 2013.docx</dc:title>
  <dc:creator>Jonno Ingerson</dc:creator>
  <cp:lastModifiedBy>thomasona</cp:lastModifiedBy>
  <cp:revision>8</cp:revision>
  <dcterms:created xsi:type="dcterms:W3CDTF">2013-12-08T21:55:00Z</dcterms:created>
  <dcterms:modified xsi:type="dcterms:W3CDTF">2013-12-08T22:56:00Z</dcterms:modified>
</cp:coreProperties>
</file>