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5D" w:rsidRPr="0088688B" w:rsidRDefault="00B60E5D" w:rsidP="00C3622A">
      <w:pPr>
        <w:pStyle w:val="Heading3"/>
        <w:jc w:val="both"/>
        <w:rPr>
          <w:rFonts w:ascii="Calibri" w:hAnsi="Calibri"/>
          <w:szCs w:val="28"/>
        </w:rPr>
      </w:pPr>
      <w:r w:rsidRPr="0088688B">
        <w:rPr>
          <w:rFonts w:ascii="Calibri" w:hAnsi="Calibri"/>
          <w:szCs w:val="28"/>
        </w:rPr>
        <w:t>Media release</w:t>
      </w:r>
    </w:p>
    <w:p w:rsidR="00B60E5D" w:rsidRPr="0088688B" w:rsidRDefault="003132E2" w:rsidP="0088688B">
      <w:pPr>
        <w:jc w:val="both"/>
        <w:rPr>
          <w:sz w:val="28"/>
          <w:szCs w:val="28"/>
        </w:rPr>
      </w:pPr>
      <w:r>
        <w:rPr>
          <w:sz w:val="28"/>
          <w:szCs w:val="28"/>
        </w:rPr>
        <w:t>1</w:t>
      </w:r>
      <w:r w:rsidR="00083345">
        <w:rPr>
          <w:sz w:val="28"/>
          <w:szCs w:val="28"/>
        </w:rPr>
        <w:t>0</w:t>
      </w:r>
      <w:r w:rsidR="00B60E5D" w:rsidRPr="0088688B">
        <w:rPr>
          <w:sz w:val="28"/>
          <w:szCs w:val="28"/>
          <w:vertAlign w:val="superscript"/>
        </w:rPr>
        <w:t>th</w:t>
      </w:r>
      <w:r w:rsidR="00B60E5D" w:rsidRPr="0088688B">
        <w:rPr>
          <w:sz w:val="28"/>
          <w:szCs w:val="28"/>
        </w:rPr>
        <w:t xml:space="preserve"> </w:t>
      </w:r>
      <w:r w:rsidR="00083345">
        <w:rPr>
          <w:sz w:val="28"/>
          <w:szCs w:val="28"/>
        </w:rPr>
        <w:t>January</w:t>
      </w:r>
    </w:p>
    <w:p w:rsidR="00B60E5D" w:rsidRDefault="00030C0C" w:rsidP="0088688B">
      <w:pPr>
        <w:jc w:val="both"/>
        <w:rPr>
          <w:b/>
          <w:sz w:val="32"/>
        </w:rPr>
      </w:pPr>
      <w:r>
        <w:rPr>
          <w:b/>
          <w:sz w:val="32"/>
        </w:rPr>
        <w:t>Nationwide values driven by Auckland</w:t>
      </w:r>
      <w:r w:rsidR="003132E2">
        <w:rPr>
          <w:b/>
          <w:sz w:val="32"/>
        </w:rPr>
        <w:t xml:space="preserve"> </w:t>
      </w:r>
    </w:p>
    <w:p w:rsidR="008C0C0F" w:rsidRPr="000C4DDD" w:rsidRDefault="00774807" w:rsidP="008C0C0F">
      <w:pPr>
        <w:spacing w:after="0" w:line="240" w:lineRule="auto"/>
      </w:pPr>
      <w:r>
        <w:t xml:space="preserve">Nationwide residential property values increased further in December according to the latest </w:t>
      </w:r>
      <w:r w:rsidR="002111DB">
        <w:t>monthly property value index</w:t>
      </w:r>
      <w:r w:rsidR="001C3538">
        <w:t xml:space="preserve">. </w:t>
      </w:r>
      <w:r w:rsidR="00877CB9">
        <w:t xml:space="preserve">Values </w:t>
      </w:r>
      <w:r w:rsidR="001B6C3F">
        <w:t xml:space="preserve">are up </w:t>
      </w:r>
      <w:r w:rsidR="00784973">
        <w:t>1.</w:t>
      </w:r>
      <w:r>
        <w:t>5</w:t>
      </w:r>
      <w:r w:rsidR="00784973">
        <w:t xml:space="preserve">% </w:t>
      </w:r>
      <w:r w:rsidR="001B6C3F">
        <w:t xml:space="preserve">over </w:t>
      </w:r>
      <w:r w:rsidR="00784973">
        <w:t>the past three months</w:t>
      </w:r>
      <w:r w:rsidR="001C3538">
        <w:t xml:space="preserve">, </w:t>
      </w:r>
      <w:r w:rsidR="00D11FC4">
        <w:t>5.7</w:t>
      </w:r>
      <w:r w:rsidR="00784973">
        <w:t xml:space="preserve">% </w:t>
      </w:r>
      <w:r w:rsidR="001C3538">
        <w:t xml:space="preserve">up </w:t>
      </w:r>
      <w:r w:rsidR="00784973">
        <w:t>over the past year</w:t>
      </w:r>
      <w:r w:rsidR="001C3538">
        <w:t xml:space="preserve">, and </w:t>
      </w:r>
      <w:r>
        <w:t>2.0</w:t>
      </w:r>
      <w:r w:rsidR="00D11FC4">
        <w:t xml:space="preserve">% above the </w:t>
      </w:r>
      <w:r w:rsidR="00B9580C">
        <w:t>previous market peak of late 2007.</w:t>
      </w:r>
    </w:p>
    <w:p w:rsidR="00B60E5D" w:rsidRDefault="00B57313" w:rsidP="007537D5">
      <w:pPr>
        <w:spacing w:after="0" w:line="240" w:lineRule="auto"/>
        <w:rPr>
          <w:noProof/>
          <w:lang w:eastAsia="en-NZ"/>
        </w:rPr>
      </w:pPr>
      <w:r>
        <w:rPr>
          <w:noProof/>
          <w:lang w:eastAsia="en-NZ"/>
        </w:rPr>
        <w:drawing>
          <wp:inline distT="0" distB="0" distL="0" distR="0">
            <wp:extent cx="5153025" cy="467677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53025" cy="4676775"/>
                    </a:xfrm>
                    <a:prstGeom prst="rect">
                      <a:avLst/>
                    </a:prstGeom>
                    <a:noFill/>
                    <a:ln w="9525">
                      <a:noFill/>
                      <a:miter lim="800000"/>
                      <a:headEnd/>
                      <a:tailEnd/>
                    </a:ln>
                  </pic:spPr>
                </pic:pic>
              </a:graphicData>
            </a:graphic>
          </wp:inline>
        </w:drawing>
      </w:r>
    </w:p>
    <w:p w:rsidR="00F51D7D" w:rsidRPr="000C4DDD" w:rsidRDefault="00F51D7D" w:rsidP="007537D5">
      <w:pPr>
        <w:spacing w:after="0" w:line="240" w:lineRule="auto"/>
      </w:pPr>
    </w:p>
    <w:p w:rsidR="00774807" w:rsidRDefault="00CD62BB" w:rsidP="003B26B2">
      <w:pPr>
        <w:pStyle w:val="NoSpacing"/>
      </w:pPr>
      <w:r w:rsidRPr="005541AA">
        <w:t>Jonno Ingerson, QV.co.nz Research Director said “</w:t>
      </w:r>
      <w:r w:rsidR="00EF71B2">
        <w:t>Looking back over 2012 t</w:t>
      </w:r>
      <w:r w:rsidR="00774807">
        <w:t>he increase in national values</w:t>
      </w:r>
      <w:r w:rsidR="00EF71B2">
        <w:t xml:space="preserve"> was</w:t>
      </w:r>
      <w:r w:rsidR="00774807">
        <w:t xml:space="preserve"> predominantly driven by Auckland and to a lesser extent Christchurch.</w:t>
      </w:r>
      <w:r w:rsidR="00EF71B2">
        <w:t xml:space="preserve"> These were also the only two areas to have consistently increased while the rest of the country</w:t>
      </w:r>
      <w:r w:rsidR="00CA7AAB">
        <w:t xml:space="preserve"> varied throughout the year.”</w:t>
      </w:r>
    </w:p>
    <w:p w:rsidR="00EF71B2" w:rsidRDefault="00EF71B2" w:rsidP="003B26B2">
      <w:pPr>
        <w:pStyle w:val="NoSpacing"/>
      </w:pPr>
    </w:p>
    <w:p w:rsidR="006024F1" w:rsidRDefault="006024F1" w:rsidP="003B26B2">
      <w:pPr>
        <w:pStyle w:val="NoSpacing"/>
      </w:pPr>
      <w:r>
        <w:t>“</w:t>
      </w:r>
      <w:r w:rsidR="002A3E69">
        <w:t>The year began with the number of sales in January</w:t>
      </w:r>
      <w:r w:rsidR="00455377">
        <w:t xml:space="preserve"> </w:t>
      </w:r>
      <w:r w:rsidR="002A3E69">
        <w:t>29% higher than the previous year</w:t>
      </w:r>
      <w:r w:rsidR="00455377">
        <w:t>,</w:t>
      </w:r>
      <w:r w:rsidR="002A3E69">
        <w:t xml:space="preserve"> the highest January since 2008. The </w:t>
      </w:r>
      <w:r w:rsidR="00455377">
        <w:t xml:space="preserve">trend continued throughout the </w:t>
      </w:r>
      <w:r w:rsidR="002A3E69">
        <w:t xml:space="preserve">year with most months 20% to 30% higher than 2011 and </w:t>
      </w:r>
      <w:r>
        <w:t>higher than any year since 2007”.</w:t>
      </w:r>
    </w:p>
    <w:p w:rsidR="006024F1" w:rsidRDefault="006024F1" w:rsidP="003B26B2">
      <w:pPr>
        <w:pStyle w:val="NoSpacing"/>
      </w:pPr>
    </w:p>
    <w:p w:rsidR="002A3E69" w:rsidRDefault="006024F1" w:rsidP="003B26B2">
      <w:pPr>
        <w:pStyle w:val="NoSpacing"/>
      </w:pPr>
      <w:r w:rsidRPr="0066579E">
        <w:t>“</w:t>
      </w:r>
      <w:r w:rsidR="000D085F" w:rsidRPr="0066579E">
        <w:t>However</w:t>
      </w:r>
      <w:r w:rsidR="00455377" w:rsidRPr="0066579E">
        <w:t>,</w:t>
      </w:r>
      <w:r w:rsidR="000D085F" w:rsidRPr="0066579E">
        <w:t xml:space="preserve"> to put that in context</w:t>
      </w:r>
      <w:r w:rsidR="0066579E">
        <w:t>, after the 2007 peak</w:t>
      </w:r>
      <w:r w:rsidR="000D085F" w:rsidRPr="0066579E">
        <w:t xml:space="preserve"> sales volumes </w:t>
      </w:r>
      <w:r w:rsidR="0066579E">
        <w:t xml:space="preserve">were particularly low, so although volumes are </w:t>
      </w:r>
      <w:r w:rsidR="00513B8B">
        <w:t xml:space="preserve">now </w:t>
      </w:r>
      <w:r w:rsidR="0066579E">
        <w:t>up from 2008 they are</w:t>
      </w:r>
      <w:r w:rsidR="000D085F" w:rsidRPr="0066579E">
        <w:t xml:space="preserve"> still 30% to 40% lower than during th</w:t>
      </w:r>
      <w:r w:rsidR="00513B8B">
        <w:t xml:space="preserve">at </w:t>
      </w:r>
      <w:r w:rsidR="000D085F" w:rsidRPr="0066579E">
        <w:t>2003 to 2007</w:t>
      </w:r>
      <w:r w:rsidR="00513B8B">
        <w:t xml:space="preserve"> period when the market was flourishing</w:t>
      </w:r>
      <w:r w:rsidR="000D085F" w:rsidRPr="0066579E">
        <w:t>.</w:t>
      </w:r>
      <w:r w:rsidR="00385C3A">
        <w:t xml:space="preserve"> Furthermore</w:t>
      </w:r>
      <w:r w:rsidR="00455377">
        <w:t>,</w:t>
      </w:r>
      <w:r w:rsidR="00385C3A">
        <w:t xml:space="preserve"> the increase in sales volumes was largely in the main centres, especially Auckland, </w:t>
      </w:r>
      <w:r w:rsidR="00455377">
        <w:t xml:space="preserve">as </w:t>
      </w:r>
      <w:r w:rsidR="00385C3A">
        <w:t>sales numbers in the s</w:t>
      </w:r>
      <w:r>
        <w:t>maller centres remained subdued” said Jonno Ingerson.</w:t>
      </w:r>
    </w:p>
    <w:p w:rsidR="000D085F" w:rsidRDefault="000D085F" w:rsidP="003B26B2">
      <w:pPr>
        <w:pStyle w:val="NoSpacing"/>
      </w:pPr>
    </w:p>
    <w:p w:rsidR="000D085F" w:rsidRDefault="006024F1" w:rsidP="003B26B2">
      <w:pPr>
        <w:pStyle w:val="NoSpacing"/>
      </w:pPr>
      <w:r>
        <w:t>“</w:t>
      </w:r>
      <w:r w:rsidR="00F31B63">
        <w:t>One of the defining features of 2012 was the low number of properties on the market. Many willing buyers found it hard to find suitable properties and this to some extent constrained sales volumes.</w:t>
      </w:r>
      <w:r w:rsidR="00385C3A">
        <w:t xml:space="preserve"> As has been the case for the past several years, quality properties in desirable areas tend</w:t>
      </w:r>
      <w:r w:rsidR="00644104">
        <w:t>ed</w:t>
      </w:r>
      <w:r w:rsidR="00385C3A">
        <w:t xml:space="preserve"> to sell quickly for good prices, while properties with perceived flaws either s</w:t>
      </w:r>
      <w:r w:rsidR="00644104">
        <w:t>a</w:t>
      </w:r>
      <w:r w:rsidR="00385C3A">
        <w:t xml:space="preserve">t on the </w:t>
      </w:r>
      <w:r>
        <w:t>market or need</w:t>
      </w:r>
      <w:r w:rsidR="00644104">
        <w:t>ed</w:t>
      </w:r>
      <w:r>
        <w:t xml:space="preserve"> to be discounted” Jonno Ingerson said.</w:t>
      </w:r>
    </w:p>
    <w:p w:rsidR="00385C3A" w:rsidRDefault="00385C3A" w:rsidP="003B26B2">
      <w:pPr>
        <w:pStyle w:val="NoSpacing"/>
      </w:pPr>
    </w:p>
    <w:p w:rsidR="00490CE8" w:rsidRPr="00385C3A" w:rsidRDefault="00385C3A" w:rsidP="003B26B2">
      <w:pPr>
        <w:pStyle w:val="NoSpacing"/>
        <w:rPr>
          <w:b/>
        </w:rPr>
      </w:pPr>
      <w:r w:rsidRPr="00385C3A">
        <w:rPr>
          <w:b/>
        </w:rPr>
        <w:t>Main centre comparison</w:t>
      </w:r>
    </w:p>
    <w:p w:rsidR="003B26B2" w:rsidRPr="005541AA" w:rsidRDefault="00A41EBA" w:rsidP="003B26B2">
      <w:pPr>
        <w:pStyle w:val="NoSpacing"/>
      </w:pPr>
      <w:r w:rsidRPr="00A41EBA">
        <w:rPr>
          <w:noProof/>
          <w:lang w:eastAsia="en-NZ"/>
        </w:rPr>
        <w:drawing>
          <wp:inline distT="0" distB="0" distL="0" distR="0">
            <wp:extent cx="3856005" cy="5467350"/>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856005" cy="5467350"/>
                    </a:xfrm>
                    <a:prstGeom prst="rect">
                      <a:avLst/>
                    </a:prstGeom>
                    <a:noFill/>
                    <a:ln w="9525">
                      <a:noFill/>
                      <a:miter lim="800000"/>
                      <a:headEnd/>
                      <a:tailEnd/>
                    </a:ln>
                  </pic:spPr>
                </pic:pic>
              </a:graphicData>
            </a:graphic>
          </wp:inline>
        </w:drawing>
      </w:r>
    </w:p>
    <w:p w:rsidR="006024F1" w:rsidRDefault="00385C3A" w:rsidP="003B26B2">
      <w:pPr>
        <w:pStyle w:val="NoSpacing"/>
      </w:pPr>
      <w:r>
        <w:t>When comparing the main centres, it is clear that the national increase of 5.7%</w:t>
      </w:r>
      <w:r w:rsidR="00FE48B0">
        <w:t xml:space="preserve"> over the past year does not represent increasing value across </w:t>
      </w:r>
      <w:r w:rsidR="00A725F3">
        <w:t xml:space="preserve">most of the </w:t>
      </w:r>
      <w:r w:rsidR="00FE48B0">
        <w:t>country, but rather increases in Auckland.</w:t>
      </w:r>
      <w:r>
        <w:t xml:space="preserve"> North Shore, Waitakere and Manukau all increased by 8% to 9% and old Auckland City increased 11%.</w:t>
      </w:r>
    </w:p>
    <w:p w:rsidR="006024F1" w:rsidRDefault="006024F1" w:rsidP="003B26B2">
      <w:pPr>
        <w:pStyle w:val="NoSpacing"/>
      </w:pPr>
    </w:p>
    <w:p w:rsidR="006024F1" w:rsidRDefault="006024F1" w:rsidP="003B26B2">
      <w:pPr>
        <w:pStyle w:val="NoSpacing"/>
      </w:pPr>
      <w:r>
        <w:t xml:space="preserve">Across most of Auckland values are now well above the previous market peak of 2007, </w:t>
      </w:r>
      <w:r w:rsidR="009F0628">
        <w:t>with old Auckland City 14.7% up. When adjusted for inflation this makes values in old Auckland City equal to the 2007 peak.</w:t>
      </w:r>
    </w:p>
    <w:p w:rsidR="00DD231F" w:rsidRDefault="00DD231F" w:rsidP="003B26B2">
      <w:pPr>
        <w:pStyle w:val="NoSpacing"/>
      </w:pPr>
    </w:p>
    <w:p w:rsidR="00FE48B0" w:rsidRDefault="00DD231F" w:rsidP="003B26B2">
      <w:pPr>
        <w:pStyle w:val="NoSpacing"/>
      </w:pPr>
      <w:r>
        <w:lastRenderedPageBreak/>
        <w:t xml:space="preserve">Values in Christchurch also increased slightly more than the national average, </w:t>
      </w:r>
      <w:r w:rsidR="00FE48B0">
        <w:t>driven by the post earthquake demand for undamaged houses.</w:t>
      </w:r>
      <w:r w:rsidR="009F0628">
        <w:t xml:space="preserve"> The areas surrounding Christchurch were about equal to Auckland in their value growth.</w:t>
      </w:r>
    </w:p>
    <w:p w:rsidR="00FE48B0" w:rsidRDefault="00FE48B0" w:rsidP="003B26B2">
      <w:pPr>
        <w:pStyle w:val="NoSpacing"/>
      </w:pPr>
    </w:p>
    <w:p w:rsidR="00FE48B0" w:rsidRDefault="00FE48B0" w:rsidP="003B26B2">
      <w:pPr>
        <w:pStyle w:val="NoSpacing"/>
      </w:pPr>
      <w:r>
        <w:t xml:space="preserve">The general trend for </w:t>
      </w:r>
      <w:r w:rsidR="00DD231F">
        <w:t>rest of the main centres</w:t>
      </w:r>
      <w:r>
        <w:t xml:space="preserve"> was a flat start to the year, growth</w:t>
      </w:r>
      <w:r w:rsidR="003D61AE">
        <w:t xml:space="preserve"> around</w:t>
      </w:r>
      <w:r>
        <w:t xml:space="preserve"> mid-year then a faltering finish. As a result</w:t>
      </w:r>
      <w:r w:rsidR="003D61AE">
        <w:t>,</w:t>
      </w:r>
      <w:r>
        <w:t xml:space="preserve"> most were </w:t>
      </w:r>
      <w:r w:rsidR="003D61AE">
        <w:t xml:space="preserve">little </w:t>
      </w:r>
      <w:r>
        <w:t xml:space="preserve">more than flat, with Dunedin increasing the most at 2.9% </w:t>
      </w:r>
      <w:r w:rsidR="003D61AE">
        <w:t xml:space="preserve">and </w:t>
      </w:r>
      <w:r>
        <w:t>Tauranga end</w:t>
      </w:r>
      <w:r w:rsidR="003D61AE">
        <w:t>ing</w:t>
      </w:r>
      <w:r>
        <w:t xml:space="preserve"> the year 0.3% down.</w:t>
      </w:r>
    </w:p>
    <w:p w:rsidR="00FE48B0" w:rsidRDefault="00FE48B0" w:rsidP="003B26B2">
      <w:pPr>
        <w:pStyle w:val="NoSpacing"/>
      </w:pPr>
    </w:p>
    <w:p w:rsidR="00566A54" w:rsidRPr="000C4DDD" w:rsidRDefault="00566A54" w:rsidP="007537D5">
      <w:pPr>
        <w:spacing w:after="0" w:line="240" w:lineRule="auto"/>
        <w:rPr>
          <w:b/>
        </w:rPr>
      </w:pPr>
      <w:r w:rsidRPr="000C4DDD">
        <w:rPr>
          <w:b/>
        </w:rPr>
        <w:t>Provincial centres</w:t>
      </w:r>
    </w:p>
    <w:p w:rsidR="00744E12" w:rsidRDefault="00744E12" w:rsidP="007537D5">
      <w:pPr>
        <w:spacing w:after="0" w:line="240" w:lineRule="auto"/>
      </w:pPr>
      <w:r>
        <w:t xml:space="preserve">Over the course of 2012 most of the provincial centres increased slightly in value, </w:t>
      </w:r>
      <w:r w:rsidR="004C2778">
        <w:t xml:space="preserve">with all </w:t>
      </w:r>
      <w:r>
        <w:t xml:space="preserve">certainly well below the national figure of 5.7%. Palmerston North increased the most at 3.6%, followed by Queenstown Lakes at 2.9%. Whangarei dropped slightly in value while </w:t>
      </w:r>
      <w:proofErr w:type="spellStart"/>
      <w:r>
        <w:t>Gisborne</w:t>
      </w:r>
      <w:proofErr w:type="spellEnd"/>
      <w:r>
        <w:t xml:space="preserve"> slid for much of the year to end the year 5.3% down.</w:t>
      </w:r>
    </w:p>
    <w:p w:rsidR="00744E12" w:rsidRDefault="00744E12" w:rsidP="007537D5">
      <w:pPr>
        <w:spacing w:after="0" w:line="240" w:lineRule="auto"/>
      </w:pPr>
    </w:p>
    <w:p w:rsidR="00744E12" w:rsidRDefault="00744E12" w:rsidP="007537D5">
      <w:pPr>
        <w:spacing w:after="0" w:line="240" w:lineRule="auto"/>
      </w:pPr>
      <w:r>
        <w:t>There were no consistent trends throughout the year, however</w:t>
      </w:r>
      <w:r w:rsidR="00F444A6">
        <w:t>,</w:t>
      </w:r>
      <w:r>
        <w:t xml:space="preserve"> several of the provincial centres showed signs of value increase in the middle to latter part of the year. </w:t>
      </w:r>
      <w:r w:rsidR="00A951FC">
        <w:t>However, like the main centres this faltered in the last few months of the year.</w:t>
      </w:r>
    </w:p>
    <w:p w:rsidR="009002DB" w:rsidRDefault="009002DB" w:rsidP="007537D5">
      <w:pPr>
        <w:spacing w:after="0" w:line="240" w:lineRule="auto"/>
      </w:pPr>
    </w:p>
    <w:p w:rsidR="009002DB" w:rsidRDefault="009002DB" w:rsidP="007537D5">
      <w:pPr>
        <w:spacing w:after="0" w:line="240" w:lineRule="auto"/>
      </w:pPr>
      <w:r>
        <w:t xml:space="preserve">Sales volumes also picked up in most of the provincial centres compared to 2011 but generally remained well below peak volumes seen in 2003 to 2006. The major exceptions </w:t>
      </w:r>
      <w:r w:rsidR="00367093">
        <w:t xml:space="preserve">were </w:t>
      </w:r>
      <w:r>
        <w:t>Queenstown Lakes and Nelson where sales volumes are very close to previous peak levels.</w:t>
      </w:r>
    </w:p>
    <w:p w:rsidR="00744E12" w:rsidRDefault="00744E12" w:rsidP="007537D5">
      <w:pPr>
        <w:spacing w:after="0" w:line="240" w:lineRule="auto"/>
      </w:pPr>
    </w:p>
    <w:p w:rsidR="001B7F73" w:rsidRDefault="00B57313" w:rsidP="007537D5">
      <w:pPr>
        <w:spacing w:after="0" w:line="240" w:lineRule="auto"/>
      </w:pPr>
      <w:r w:rsidRPr="00B57313">
        <w:rPr>
          <w:noProof/>
          <w:lang w:eastAsia="en-NZ"/>
        </w:rPr>
        <w:drawing>
          <wp:inline distT="0" distB="0" distL="0" distR="0">
            <wp:extent cx="3400425" cy="3499397"/>
            <wp:effectExtent l="19050" t="0" r="952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400425" cy="3499397"/>
                    </a:xfrm>
                    <a:prstGeom prst="rect">
                      <a:avLst/>
                    </a:prstGeom>
                    <a:noFill/>
                    <a:ln w="9525">
                      <a:noFill/>
                      <a:miter lim="800000"/>
                      <a:headEnd/>
                      <a:tailEnd/>
                    </a:ln>
                  </pic:spPr>
                </pic:pic>
              </a:graphicData>
            </a:graphic>
          </wp:inline>
        </w:drawing>
      </w:r>
      <w:r w:rsidR="00A951FC">
        <w:t xml:space="preserve"> </w:t>
      </w:r>
    </w:p>
    <w:p w:rsidR="009002DB" w:rsidRDefault="009002DB" w:rsidP="007537D5">
      <w:pPr>
        <w:spacing w:after="0" w:line="240" w:lineRule="auto"/>
      </w:pPr>
    </w:p>
    <w:p w:rsidR="009002DB" w:rsidRPr="009002DB" w:rsidRDefault="009002DB" w:rsidP="007537D5">
      <w:pPr>
        <w:spacing w:after="0" w:line="240" w:lineRule="auto"/>
        <w:rPr>
          <w:b/>
        </w:rPr>
      </w:pPr>
      <w:r w:rsidRPr="009002DB">
        <w:rPr>
          <w:b/>
        </w:rPr>
        <w:t>The outlook for 2013</w:t>
      </w:r>
    </w:p>
    <w:p w:rsidR="009002DB" w:rsidRDefault="009002DB" w:rsidP="007537D5">
      <w:pPr>
        <w:spacing w:after="0" w:line="240" w:lineRule="auto"/>
      </w:pPr>
    </w:p>
    <w:p w:rsidR="009002DB" w:rsidRDefault="009002DB" w:rsidP="007537D5">
      <w:pPr>
        <w:spacing w:after="0" w:line="240" w:lineRule="auto"/>
      </w:pPr>
      <w:r>
        <w:t xml:space="preserve">The year has begun with supply still constrained due to a low number of new listings. In Auckland </w:t>
      </w:r>
      <w:r w:rsidR="001B2F68">
        <w:t xml:space="preserve">in particular people </w:t>
      </w:r>
      <w:r w:rsidR="00496A68">
        <w:t>are in a vicious cycle where they won’t put their properties on the market until they find a new house, but they can’t find a new house as there are few on the market</w:t>
      </w:r>
      <w:r w:rsidR="001B2F68">
        <w:t>. With supply low and strong competition for quality properties many would-be buyers are missing out so their houses are not yet on the market. This dynamic would need to change in order for the number of sales to pick up.</w:t>
      </w:r>
    </w:p>
    <w:p w:rsidR="001B2F68" w:rsidRDefault="001B2F68" w:rsidP="007537D5">
      <w:pPr>
        <w:spacing w:after="0" w:line="240" w:lineRule="auto"/>
      </w:pPr>
    </w:p>
    <w:p w:rsidR="001B2F68" w:rsidRDefault="00EC3BA7" w:rsidP="007537D5">
      <w:pPr>
        <w:spacing w:after="0" w:line="240" w:lineRule="auto"/>
      </w:pPr>
      <w:r>
        <w:t>With Auckland likely to continue to get more internal and external migration than other parts of the country the demand for housing is not likely to ease in the short term. Values in Auckland are likely to keep rising</w:t>
      </w:r>
      <w:r w:rsidR="00012A60">
        <w:t>,</w:t>
      </w:r>
      <w:r>
        <w:t xml:space="preserve"> particular</w:t>
      </w:r>
      <w:r w:rsidR="00012A60">
        <w:t>ly</w:t>
      </w:r>
      <w:r>
        <w:t xml:space="preserve"> in the middle value range. We have already seen values </w:t>
      </w:r>
      <w:r w:rsidR="00CC0324">
        <w:t xml:space="preserve">in many of the more expensive suburbs ($900k+ average value) </w:t>
      </w:r>
      <w:r>
        <w:t>begin to level off</w:t>
      </w:r>
      <w:r w:rsidR="00CC0324">
        <w:t>.</w:t>
      </w:r>
    </w:p>
    <w:p w:rsidR="00CC0324" w:rsidRDefault="00CC0324" w:rsidP="007537D5">
      <w:pPr>
        <w:spacing w:after="0" w:line="240" w:lineRule="auto"/>
      </w:pPr>
    </w:p>
    <w:p w:rsidR="00CC0324" w:rsidRDefault="00CC0324" w:rsidP="007537D5">
      <w:pPr>
        <w:spacing w:after="0" w:line="240" w:lineRule="auto"/>
      </w:pPr>
      <w:r>
        <w:t>The Wellington area has suffered in the last few years from a lack of confidence in the housing market, at least in part relating to uncertainty for some around public service restructuring. It is unlikely that mood will change in Wellington in the short term so values are likely to stay relatively flat.</w:t>
      </w:r>
    </w:p>
    <w:p w:rsidR="00CC0324" w:rsidRDefault="00CC0324" w:rsidP="007537D5">
      <w:pPr>
        <w:spacing w:after="0" w:line="240" w:lineRule="auto"/>
      </w:pPr>
    </w:p>
    <w:p w:rsidR="00CC0324" w:rsidRDefault="00CC0324" w:rsidP="007537D5">
      <w:pPr>
        <w:spacing w:after="0" w:line="240" w:lineRule="auto"/>
      </w:pPr>
      <w:r>
        <w:t>Values in Christchurch and the surrounding areas are likely to keep growing as demand continues to outstrip supply.</w:t>
      </w:r>
    </w:p>
    <w:p w:rsidR="00CC0324" w:rsidRDefault="00CC0324" w:rsidP="007537D5">
      <w:pPr>
        <w:spacing w:after="0" w:line="240" w:lineRule="auto"/>
      </w:pPr>
    </w:p>
    <w:p w:rsidR="00CC0324" w:rsidRDefault="00CC0324" w:rsidP="007537D5">
      <w:pPr>
        <w:spacing w:after="0" w:line="240" w:lineRule="auto"/>
      </w:pPr>
      <w:r>
        <w:t xml:space="preserve">The rest of the country </w:t>
      </w:r>
      <w:r w:rsidR="00A073BC">
        <w:t>looks</w:t>
      </w:r>
      <w:r>
        <w:t xml:space="preserve"> to remain variable in response to local economic conditions, but in most areas values will remain relatively flat.</w:t>
      </w:r>
    </w:p>
    <w:p w:rsidR="00CC0324" w:rsidRDefault="00CC0324" w:rsidP="007537D5">
      <w:pPr>
        <w:spacing w:after="0" w:line="240" w:lineRule="auto"/>
      </w:pPr>
    </w:p>
    <w:p w:rsidR="00CC0324" w:rsidRDefault="00CC0324" w:rsidP="007537D5">
      <w:pPr>
        <w:spacing w:after="0" w:line="240" w:lineRule="auto"/>
      </w:pPr>
      <w:r>
        <w:t>The housing market does ebb and flow in response to consumer confidence. In the last few years we have seen a change in confidence in the New Year, either positive or negative, and this has flowed into the property market. Changes in consumer confidence are hard to predict but by the end of February we should have a clearer idea of where the market is heading in 2013.</w:t>
      </w:r>
    </w:p>
    <w:p w:rsidR="001B2F68" w:rsidRDefault="001B2F68" w:rsidP="007537D5">
      <w:pPr>
        <w:spacing w:after="0" w:line="240" w:lineRule="auto"/>
      </w:pPr>
    </w:p>
    <w:p w:rsidR="00442230" w:rsidRDefault="00442230" w:rsidP="00C82F35">
      <w:pPr>
        <w:spacing w:after="0" w:line="240" w:lineRule="auto"/>
        <w:jc w:val="both"/>
        <w:rPr>
          <w:b/>
          <w:bCs/>
          <w:lang w:val="en-GB"/>
        </w:rPr>
      </w:pPr>
      <w:r w:rsidRPr="00F53C93">
        <w:rPr>
          <w:b/>
          <w:bCs/>
          <w:lang w:val="en-GB"/>
        </w:rPr>
        <w:t xml:space="preserve">For </w:t>
      </w:r>
      <w:r w:rsidR="0056099F">
        <w:rPr>
          <w:b/>
          <w:bCs/>
          <w:lang w:val="en-GB"/>
        </w:rPr>
        <w:t>media enquiries and interview</w:t>
      </w:r>
      <w:r w:rsidR="00F57C27">
        <w:rPr>
          <w:b/>
          <w:bCs/>
          <w:lang w:val="en-GB"/>
        </w:rPr>
        <w:t>s</w:t>
      </w:r>
      <w:r w:rsidR="0056099F">
        <w:rPr>
          <w:b/>
          <w:bCs/>
          <w:lang w:val="en-GB"/>
        </w:rPr>
        <w:t xml:space="preserve">, and for </w:t>
      </w:r>
      <w:r w:rsidRPr="00F53C93">
        <w:rPr>
          <w:b/>
          <w:bCs/>
          <w:lang w:val="en-GB"/>
        </w:rPr>
        <w:t>further information contact:</w:t>
      </w:r>
    </w:p>
    <w:p w:rsidR="00426631" w:rsidRDefault="00331715" w:rsidP="00C82F35">
      <w:pPr>
        <w:spacing w:after="0" w:line="240" w:lineRule="auto"/>
        <w:jc w:val="both"/>
        <w:rPr>
          <w:lang w:val="en-GB"/>
        </w:rPr>
      </w:pPr>
      <w:proofErr w:type="spellStart"/>
      <w:r>
        <w:rPr>
          <w:lang w:val="en-GB"/>
        </w:rPr>
        <w:t>Jonno</w:t>
      </w:r>
      <w:proofErr w:type="spellEnd"/>
      <w:r>
        <w:rPr>
          <w:lang w:val="en-GB"/>
        </w:rPr>
        <w:t xml:space="preserve"> </w:t>
      </w:r>
      <w:proofErr w:type="spellStart"/>
      <w:r>
        <w:rPr>
          <w:lang w:val="en-GB"/>
        </w:rPr>
        <w:t>Ingerson</w:t>
      </w:r>
      <w:proofErr w:type="spellEnd"/>
    </w:p>
    <w:p w:rsidR="007537D5" w:rsidRPr="00F53C93" w:rsidRDefault="004D57C7" w:rsidP="00C82F35">
      <w:pPr>
        <w:spacing w:after="0" w:line="240" w:lineRule="auto"/>
        <w:jc w:val="both"/>
        <w:rPr>
          <w:b/>
          <w:bCs/>
          <w:lang w:val="en-GB"/>
        </w:rPr>
      </w:pPr>
      <w:r>
        <w:rPr>
          <w:lang w:val="en-GB"/>
        </w:rPr>
        <w:t>Research Director QV.co.nz</w:t>
      </w:r>
    </w:p>
    <w:p w:rsidR="007537D5" w:rsidRPr="004D57C7" w:rsidRDefault="004D57C7" w:rsidP="007537D5">
      <w:pPr>
        <w:tabs>
          <w:tab w:val="left" w:pos="4820"/>
        </w:tabs>
        <w:spacing w:after="0" w:line="240" w:lineRule="auto"/>
        <w:rPr>
          <w:b/>
        </w:rPr>
      </w:pPr>
      <w:r>
        <w:rPr>
          <w:lang w:val="en-GB"/>
        </w:rPr>
        <w:t>Tel: 04 802 1239</w:t>
      </w:r>
      <w:r w:rsidR="007537D5">
        <w:tab/>
      </w:r>
    </w:p>
    <w:p w:rsidR="007537D5" w:rsidRDefault="004D57C7" w:rsidP="007537D5">
      <w:pPr>
        <w:tabs>
          <w:tab w:val="left" w:pos="4962"/>
        </w:tabs>
        <w:spacing w:after="0" w:line="240" w:lineRule="auto"/>
      </w:pPr>
      <w:r>
        <w:rPr>
          <w:lang w:val="en-GB"/>
        </w:rPr>
        <w:t>Mobile: 027 454 6642</w:t>
      </w:r>
      <w:r w:rsidR="007537D5">
        <w:tab/>
      </w:r>
    </w:p>
    <w:p w:rsidR="007537D5" w:rsidRDefault="004D57C7" w:rsidP="007537D5">
      <w:pPr>
        <w:tabs>
          <w:tab w:val="left" w:pos="4962"/>
        </w:tabs>
        <w:spacing w:after="0" w:line="240" w:lineRule="auto"/>
      </w:pPr>
      <w:r>
        <w:rPr>
          <w:lang w:val="en-GB"/>
        </w:rPr>
        <w:t xml:space="preserve">Email: </w:t>
      </w:r>
      <w:hyperlink r:id="rId8" w:history="1">
        <w:r w:rsidRPr="00C53BBF">
          <w:rPr>
            <w:rStyle w:val="Hyperlink"/>
            <w:lang w:val="en-GB"/>
          </w:rPr>
          <w:t>jonno.ingerson@propertyiq.co.nz</w:t>
        </w:r>
      </w:hyperlink>
      <w:r w:rsidR="007537D5">
        <w:rPr>
          <w:lang w:val="en-GB"/>
        </w:rPr>
        <w:tab/>
      </w:r>
    </w:p>
    <w:p w:rsidR="00264FBE" w:rsidRDefault="00264FBE">
      <w:pPr>
        <w:spacing w:after="0" w:line="240" w:lineRule="auto"/>
      </w:pPr>
      <w:r>
        <w:br w:type="page"/>
      </w:r>
    </w:p>
    <w:tbl>
      <w:tblPr>
        <w:tblW w:w="9808" w:type="dxa"/>
        <w:tblLayout w:type="fixed"/>
        <w:tblCellMar>
          <w:left w:w="30" w:type="dxa"/>
          <w:right w:w="30" w:type="dxa"/>
        </w:tblCellMar>
        <w:tblLook w:val="0000"/>
      </w:tblPr>
      <w:tblGrid>
        <w:gridCol w:w="465"/>
        <w:gridCol w:w="3673"/>
        <w:gridCol w:w="1415"/>
        <w:gridCol w:w="1417"/>
        <w:gridCol w:w="1417"/>
        <w:gridCol w:w="1421"/>
      </w:tblGrid>
      <w:tr w:rsidR="00CC0324" w:rsidRPr="00CC0324" w:rsidTr="00620617">
        <w:trPr>
          <w:trHeight w:val="362"/>
        </w:trPr>
        <w:tc>
          <w:tcPr>
            <w:tcW w:w="9808" w:type="dxa"/>
            <w:gridSpan w:val="6"/>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ascii="Arial" w:hAnsi="Arial" w:cs="Arial"/>
                <w:color w:val="000000"/>
                <w:sz w:val="20"/>
                <w:szCs w:val="20"/>
                <w:lang w:val="en-US" w:eastAsia="en-NZ"/>
              </w:rPr>
            </w:pPr>
            <w:r w:rsidRPr="00CC0324">
              <w:rPr>
                <w:rFonts w:cs="Calibri"/>
                <w:b/>
                <w:bCs/>
                <w:color w:val="000000"/>
                <w:sz w:val="28"/>
                <w:szCs w:val="28"/>
                <w:lang w:val="en-US" w:eastAsia="en-NZ"/>
              </w:rPr>
              <w:lastRenderedPageBreak/>
              <w:t>Residential Property - Monthly price index</w:t>
            </w:r>
          </w:p>
        </w:tc>
      </w:tr>
      <w:tr w:rsidR="00CC0324" w:rsidRPr="00CC0324" w:rsidTr="00620617">
        <w:trPr>
          <w:trHeight w:val="305"/>
        </w:trPr>
        <w:tc>
          <w:tcPr>
            <w:tcW w:w="9808" w:type="dxa"/>
            <w:gridSpan w:val="6"/>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ascii="Arial" w:hAnsi="Arial" w:cs="Arial"/>
                <w:color w:val="000000"/>
                <w:sz w:val="20"/>
                <w:szCs w:val="20"/>
                <w:lang w:val="en-US" w:eastAsia="en-NZ"/>
              </w:rPr>
            </w:pPr>
            <w:r w:rsidRPr="00CC0324">
              <w:rPr>
                <w:rFonts w:cs="Calibri"/>
                <w:color w:val="000000"/>
                <w:sz w:val="24"/>
                <w:szCs w:val="24"/>
                <w:lang w:val="en-US" w:eastAsia="en-NZ"/>
              </w:rPr>
              <w:t>Time period: as at December 2012</w:t>
            </w:r>
          </w:p>
        </w:tc>
      </w:tr>
      <w:tr w:rsidR="00CC0324" w:rsidRPr="00CC0324" w:rsidTr="00620617">
        <w:trPr>
          <w:trHeight w:val="245"/>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center"/>
              <w:rPr>
                <w:rFonts w:ascii="Arial" w:hAnsi="Arial" w:cs="Arial"/>
                <w:color w:val="000000"/>
                <w:sz w:val="20"/>
                <w:szCs w:val="2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center"/>
              <w:rPr>
                <w:rFonts w:ascii="Arial" w:hAnsi="Arial" w:cs="Arial"/>
                <w:color w:val="000000"/>
                <w:sz w:val="20"/>
                <w:szCs w:val="20"/>
                <w:lang w:val="en-US" w:eastAsia="en-NZ"/>
              </w:rPr>
            </w:pP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center"/>
              <w:rPr>
                <w:rFonts w:ascii="Arial" w:hAnsi="Arial" w:cs="Arial"/>
                <w:color w:val="000000"/>
                <w:sz w:val="20"/>
                <w:szCs w:val="20"/>
                <w:lang w:val="en-US" w:eastAsia="en-NZ"/>
              </w:rPr>
            </w:pP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center"/>
              <w:rPr>
                <w:rFonts w:ascii="Arial" w:hAnsi="Arial" w:cs="Arial"/>
                <w:color w:val="000000"/>
                <w:sz w:val="20"/>
                <w:szCs w:val="20"/>
                <w:lang w:val="en-US" w:eastAsia="en-NZ"/>
              </w:rPr>
            </w:pP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ascii="Arial" w:hAnsi="Arial" w:cs="Arial"/>
                <w:color w:val="000000"/>
                <w:sz w:val="20"/>
                <w:szCs w:val="20"/>
                <w:lang w:val="en-US" w:eastAsia="en-NZ"/>
              </w:rPr>
            </w:pP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ascii="Arial" w:hAnsi="Arial" w:cs="Arial"/>
                <w:color w:val="000000"/>
                <w:sz w:val="20"/>
                <w:szCs w:val="20"/>
                <w:lang w:val="en-US" w:eastAsia="en-NZ"/>
              </w:rPr>
            </w:pPr>
          </w:p>
        </w:tc>
      </w:tr>
      <w:tr w:rsidR="00CC0324" w:rsidRPr="00CC0324" w:rsidTr="00620617">
        <w:trPr>
          <w:trHeight w:val="581"/>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center"/>
              <w:rPr>
                <w:rFonts w:cs="Calibri"/>
                <w:b/>
                <w:bCs/>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b/>
                <w:bCs/>
                <w:color w:val="000000"/>
                <w:lang w:val="en-US" w:eastAsia="en-NZ"/>
              </w:rPr>
            </w:pPr>
            <w:r w:rsidRPr="00CC0324">
              <w:rPr>
                <w:rFonts w:cs="Calibri"/>
                <w:b/>
                <w:bCs/>
                <w:color w:val="000000"/>
                <w:lang w:val="en-US" w:eastAsia="en-NZ"/>
              </w:rPr>
              <w:t>Territorial authority</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center"/>
              <w:rPr>
                <w:rFonts w:cs="Calibri"/>
                <w:b/>
                <w:bCs/>
                <w:color w:val="000000"/>
                <w:lang w:val="en-US" w:eastAsia="en-NZ"/>
              </w:rPr>
            </w:pPr>
            <w:r w:rsidRPr="00CC0324">
              <w:rPr>
                <w:rFonts w:cs="Calibri"/>
                <w:b/>
                <w:bCs/>
                <w:color w:val="000000"/>
                <w:lang w:val="en-US" w:eastAsia="en-NZ"/>
              </w:rPr>
              <w:t>Average current value</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center"/>
              <w:rPr>
                <w:rFonts w:cs="Calibri"/>
                <w:b/>
                <w:bCs/>
                <w:color w:val="000000"/>
                <w:lang w:val="en-US" w:eastAsia="en-NZ"/>
              </w:rPr>
            </w:pPr>
            <w:r w:rsidRPr="00CC0324">
              <w:rPr>
                <w:rFonts w:cs="Calibri"/>
                <w:b/>
                <w:bCs/>
                <w:color w:val="000000"/>
                <w:lang w:val="en-US" w:eastAsia="en-NZ"/>
              </w:rPr>
              <w:t>12 month change%</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center"/>
              <w:rPr>
                <w:rFonts w:cs="Calibri"/>
                <w:b/>
                <w:bCs/>
                <w:color w:val="000000"/>
                <w:lang w:val="en-US" w:eastAsia="en-NZ"/>
              </w:rPr>
            </w:pPr>
            <w:r w:rsidRPr="00CC0324">
              <w:rPr>
                <w:rFonts w:cs="Calibri"/>
                <w:b/>
                <w:bCs/>
                <w:color w:val="000000"/>
                <w:lang w:val="en-US" w:eastAsia="en-NZ"/>
              </w:rPr>
              <w:t>3 month change %</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center"/>
              <w:rPr>
                <w:rFonts w:cs="Calibri"/>
                <w:b/>
                <w:bCs/>
                <w:color w:val="000000"/>
                <w:lang w:val="en-US" w:eastAsia="en-NZ"/>
              </w:rPr>
            </w:pPr>
            <w:r w:rsidRPr="00CC0324">
              <w:rPr>
                <w:rFonts w:cs="Calibri"/>
                <w:b/>
                <w:bCs/>
                <w:color w:val="000000"/>
                <w:lang w:val="en-US" w:eastAsia="en-NZ"/>
              </w:rPr>
              <w:t>Since 2007 market peak change %</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Far North</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317,887</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2.5%</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1.0%</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-22.0%</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proofErr w:type="spellStart"/>
            <w:r w:rsidRPr="00CC0324">
              <w:rPr>
                <w:rFonts w:cs="Calibri"/>
                <w:color w:val="000000"/>
                <w:lang w:val="en-US" w:eastAsia="en-NZ"/>
              </w:rPr>
              <w:t>Whangarei</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326,051</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-0.7%</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1.4%</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-17.6%</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proofErr w:type="spellStart"/>
            <w:r w:rsidRPr="00CC0324">
              <w:rPr>
                <w:rFonts w:cs="Calibri"/>
                <w:color w:val="000000"/>
                <w:lang w:val="en-US" w:eastAsia="en-NZ"/>
              </w:rPr>
              <w:t>Kaipara</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307,421</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-4.3%</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-1.3%</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-23.3%</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Auckland - Rodney</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580,608</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5.0%</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2.1%</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-1.9%</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Hibiscus Coast</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579,506</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6.1%</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2.4%</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-1.3%</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Rodney (North)</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580,799</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3.6%</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1.5%</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-3.3%</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#A</w:t>
            </w: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Auckland - North Shore</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703,580</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9.0%</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3.6%</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9.7%</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Coastal North Shore</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807,757</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8.1%</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3.2%</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7.2%</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xml:space="preserve">     North Shore </w:t>
            </w:r>
            <w:proofErr w:type="spellStart"/>
            <w:r w:rsidRPr="00CC0324">
              <w:rPr>
                <w:rFonts w:cs="Calibri"/>
                <w:color w:val="000000"/>
                <w:lang w:val="en-US" w:eastAsia="en-NZ"/>
              </w:rPr>
              <w:t>Onewa</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562,274</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11.3%</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4.3%</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13.4%</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xml:space="preserve">     North </w:t>
            </w:r>
            <w:proofErr w:type="spellStart"/>
            <w:r w:rsidRPr="00CC0324">
              <w:rPr>
                <w:rFonts w:cs="Calibri"/>
                <w:color w:val="000000"/>
                <w:lang w:val="en-US" w:eastAsia="en-NZ"/>
              </w:rPr>
              <w:t>Harbour</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676,689</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8.4%</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3.2%</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11.4%</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#A</w:t>
            </w: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xml:space="preserve">Auckland - </w:t>
            </w:r>
            <w:proofErr w:type="spellStart"/>
            <w:r w:rsidRPr="00CC0324">
              <w:rPr>
                <w:rFonts w:cs="Calibri"/>
                <w:color w:val="000000"/>
                <w:lang w:val="en-US" w:eastAsia="en-NZ"/>
              </w:rPr>
              <w:t>Waitakere</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453,636</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8.6%</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3.2%</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6.5%</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#A</w:t>
            </w: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Auckland - City</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715,408</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11.0%</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3.1%</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14.7%</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Auckland City (Central)</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647,449</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11.7%</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2.2%</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13.7%</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Auckland City (East)</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885,621</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8.4%</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3.2%</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11.1%</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Auckland City (South)</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633,684</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13.5%</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3.8%</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17.7%</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Islands</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653,648</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8.1%</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3.3%</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2.2%</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#A</w:t>
            </w: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xml:space="preserve">Auckland - </w:t>
            </w:r>
            <w:proofErr w:type="spellStart"/>
            <w:r w:rsidRPr="00CC0324">
              <w:rPr>
                <w:rFonts w:cs="Calibri"/>
                <w:color w:val="000000"/>
                <w:lang w:val="en-US" w:eastAsia="en-NZ"/>
              </w:rPr>
              <w:t>Manukau</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494,573</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8.7%</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2.8%</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7.6%</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w:t>
            </w:r>
            <w:proofErr w:type="spellStart"/>
            <w:r w:rsidRPr="00CC0324">
              <w:rPr>
                <w:rFonts w:cs="Calibri"/>
                <w:color w:val="000000"/>
                <w:lang w:val="en-US" w:eastAsia="en-NZ"/>
              </w:rPr>
              <w:t>Manukau</w:t>
            </w:r>
            <w:proofErr w:type="spellEnd"/>
            <w:r w:rsidRPr="00CC0324">
              <w:rPr>
                <w:rFonts w:cs="Calibri"/>
                <w:color w:val="000000"/>
                <w:lang w:val="en-US" w:eastAsia="en-NZ"/>
              </w:rPr>
              <w:t xml:space="preserve"> East</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665,119</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9.7%</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3.5%</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11.6%</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w:t>
            </w:r>
            <w:proofErr w:type="spellStart"/>
            <w:r w:rsidRPr="00CC0324">
              <w:rPr>
                <w:rFonts w:cs="Calibri"/>
                <w:color w:val="000000"/>
                <w:lang w:val="en-US" w:eastAsia="en-NZ"/>
              </w:rPr>
              <w:t>Manukau</w:t>
            </w:r>
            <w:proofErr w:type="spellEnd"/>
            <w:r w:rsidRPr="00CC0324">
              <w:rPr>
                <w:rFonts w:cs="Calibri"/>
                <w:color w:val="000000"/>
                <w:lang w:val="en-US" w:eastAsia="en-NZ"/>
              </w:rPr>
              <w:t xml:space="preserve"> Central</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375,009</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7.4%</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1.7%</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-0.2%</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w:t>
            </w:r>
            <w:proofErr w:type="spellStart"/>
            <w:r w:rsidRPr="00CC0324">
              <w:rPr>
                <w:rFonts w:cs="Calibri"/>
                <w:color w:val="000000"/>
                <w:lang w:val="en-US" w:eastAsia="en-NZ"/>
              </w:rPr>
              <w:t>Manukau</w:t>
            </w:r>
            <w:proofErr w:type="spellEnd"/>
            <w:r w:rsidRPr="00CC0324">
              <w:rPr>
                <w:rFonts w:cs="Calibri"/>
                <w:color w:val="000000"/>
                <w:lang w:val="en-US" w:eastAsia="en-NZ"/>
              </w:rPr>
              <w:t xml:space="preserve"> North West</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400,735</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9.0%</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3.0%</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8.5%</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#A</w:t>
            </w: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xml:space="preserve">Auckland - </w:t>
            </w:r>
            <w:proofErr w:type="spellStart"/>
            <w:r w:rsidRPr="00CC0324">
              <w:rPr>
                <w:rFonts w:cs="Calibri"/>
                <w:color w:val="000000"/>
                <w:lang w:val="en-US" w:eastAsia="en-NZ"/>
              </w:rPr>
              <w:t>Papakura</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360,476</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7.0%</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2.2%</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0.2%</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Auckland - Franklin</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401,980</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6.6%</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2.8%</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-0.9%</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Thames Coromandel</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497,632</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1.5%</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2.3%</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-15.0%</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Hauraki</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239,452</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-0.1%</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-1.4%</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-16.1%</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Waikato</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264,524</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2.1%</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1.9%</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-18.4%</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proofErr w:type="spellStart"/>
            <w:r w:rsidRPr="00CC0324">
              <w:rPr>
                <w:rFonts w:cs="Calibri"/>
                <w:color w:val="000000"/>
                <w:lang w:val="en-US" w:eastAsia="en-NZ"/>
              </w:rPr>
              <w:t>Matamata</w:t>
            </w:r>
            <w:proofErr w:type="spellEnd"/>
            <w:r w:rsidRPr="00CC0324">
              <w:rPr>
                <w:rFonts w:cs="Calibri"/>
                <w:color w:val="000000"/>
                <w:lang w:val="en-US" w:eastAsia="en-NZ"/>
              </w:rPr>
              <w:t xml:space="preserve"> </w:t>
            </w:r>
            <w:proofErr w:type="spellStart"/>
            <w:r w:rsidRPr="00CC0324">
              <w:rPr>
                <w:rFonts w:cs="Calibri"/>
                <w:color w:val="000000"/>
                <w:lang w:val="en-US" w:eastAsia="en-NZ"/>
              </w:rPr>
              <w:t>Piako</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263,408</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0.5%</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0.9%</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-12.0%</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w:t>
            </w: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Hamilton</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340,344</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3.3%</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0.3%</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-8.1%</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Hamilton North East</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421,783</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3.2%</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-0.3%</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-6.2%</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Central City/North West</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320,302</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2.8%</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0.7%</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-10.5%</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Hamilton South East</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316,448</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3.2%</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0.3%</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-9.5%</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Hamilton South West</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306,315</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3.3%</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0.3%</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-10.5%</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proofErr w:type="spellStart"/>
            <w:r w:rsidRPr="00CC0324">
              <w:rPr>
                <w:rFonts w:cs="Calibri"/>
                <w:color w:val="000000"/>
                <w:lang w:val="en-US" w:eastAsia="en-NZ"/>
              </w:rPr>
              <w:t>Waipa</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317,480</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3.6%</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1.5%</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-6.1%</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proofErr w:type="spellStart"/>
            <w:r w:rsidRPr="00CC0324">
              <w:rPr>
                <w:rFonts w:cs="Calibri"/>
                <w:color w:val="000000"/>
                <w:lang w:val="en-US" w:eastAsia="en-NZ"/>
              </w:rPr>
              <w:t>Otorohanga</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ascii="Arial" w:hAnsi="Arial" w:cs="Arial"/>
                <w:color w:val="000000"/>
                <w:sz w:val="20"/>
                <w:szCs w:val="20"/>
                <w:lang w:val="en-US" w:eastAsia="en-NZ"/>
              </w:rPr>
            </w:pPr>
            <w:r w:rsidRPr="00CC0324">
              <w:rPr>
                <w:rFonts w:ascii="Arial" w:hAnsi="Arial" w:cs="Arial"/>
                <w:color w:val="000000"/>
                <w:sz w:val="20"/>
                <w:szCs w:val="20"/>
                <w:lang w:val="en-US" w:eastAsia="en-NZ"/>
              </w:rPr>
              <w:t>N/A</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ascii="Arial" w:hAnsi="Arial" w:cs="Arial"/>
                <w:color w:val="000000"/>
                <w:sz w:val="20"/>
                <w:szCs w:val="20"/>
                <w:lang w:val="en-US" w:eastAsia="en-NZ"/>
              </w:rPr>
            </w:pPr>
            <w:r w:rsidRPr="00CC0324">
              <w:rPr>
                <w:rFonts w:ascii="Arial" w:hAnsi="Arial" w:cs="Arial"/>
                <w:color w:val="000000"/>
                <w:sz w:val="20"/>
                <w:szCs w:val="20"/>
                <w:lang w:val="en-US" w:eastAsia="en-NZ"/>
              </w:rPr>
              <w:t>N/A</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ascii="Arial" w:hAnsi="Arial" w:cs="Arial"/>
                <w:color w:val="000000"/>
                <w:sz w:val="20"/>
                <w:szCs w:val="20"/>
                <w:lang w:val="en-US" w:eastAsia="en-NZ"/>
              </w:rPr>
            </w:pPr>
            <w:r w:rsidRPr="00CC0324">
              <w:rPr>
                <w:rFonts w:ascii="Arial" w:hAnsi="Arial" w:cs="Arial"/>
                <w:color w:val="000000"/>
                <w:sz w:val="20"/>
                <w:szCs w:val="20"/>
                <w:lang w:val="en-US" w:eastAsia="en-NZ"/>
              </w:rPr>
              <w:t>N/A</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ascii="Arial" w:hAnsi="Arial" w:cs="Arial"/>
                <w:color w:val="000000"/>
                <w:sz w:val="20"/>
                <w:szCs w:val="20"/>
                <w:lang w:val="en-US" w:eastAsia="en-NZ"/>
              </w:rPr>
            </w:pPr>
            <w:r w:rsidRPr="00CC0324">
              <w:rPr>
                <w:rFonts w:ascii="Arial" w:hAnsi="Arial" w:cs="Arial"/>
                <w:color w:val="000000"/>
                <w:sz w:val="20"/>
                <w:szCs w:val="20"/>
                <w:lang w:val="en-US" w:eastAsia="en-NZ"/>
              </w:rPr>
              <w:t>N/A</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South Waikato</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135,667</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0.9%</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0.2%</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-16.9%</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proofErr w:type="spellStart"/>
            <w:r w:rsidRPr="00CC0324">
              <w:rPr>
                <w:rFonts w:cs="Calibri"/>
                <w:color w:val="000000"/>
                <w:lang w:val="en-US" w:eastAsia="en-NZ"/>
              </w:rPr>
              <w:t>Waitomo</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146,364</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-2.5%</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2.7%</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-33.9%</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proofErr w:type="spellStart"/>
            <w:r w:rsidRPr="00CC0324">
              <w:rPr>
                <w:rFonts w:cs="Calibri"/>
                <w:color w:val="000000"/>
                <w:lang w:val="en-US" w:eastAsia="en-NZ"/>
              </w:rPr>
              <w:t>Taupo</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352,160</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1.5%</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2.2%</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-13.2%</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Western BOP</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399,575</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0.7%</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1.5%</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-12.2%</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w:t>
            </w: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proofErr w:type="spellStart"/>
            <w:r w:rsidRPr="00CC0324">
              <w:rPr>
                <w:rFonts w:cs="Calibri"/>
                <w:color w:val="000000"/>
                <w:lang w:val="en-US" w:eastAsia="en-NZ"/>
              </w:rPr>
              <w:t>Tauranga</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424,882</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-0.3%</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-1.2%</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-11.5%</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proofErr w:type="spellStart"/>
            <w:r w:rsidRPr="00CC0324">
              <w:rPr>
                <w:rFonts w:cs="Calibri"/>
                <w:color w:val="000000"/>
                <w:lang w:val="en-US" w:eastAsia="en-NZ"/>
              </w:rPr>
              <w:t>Rotorua</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269,546</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1.9%</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-1.4%</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-13.2%</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proofErr w:type="spellStart"/>
            <w:r w:rsidRPr="00CC0324">
              <w:rPr>
                <w:rFonts w:cs="Calibri"/>
                <w:color w:val="000000"/>
                <w:lang w:val="en-US" w:eastAsia="en-NZ"/>
              </w:rPr>
              <w:t>Whakatane</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295,839</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-0.6%</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-0.6%</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-14.8%</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proofErr w:type="spellStart"/>
            <w:r w:rsidRPr="00CC0324">
              <w:rPr>
                <w:rFonts w:cs="Calibri"/>
                <w:color w:val="000000"/>
                <w:lang w:val="en-US" w:eastAsia="en-NZ"/>
              </w:rPr>
              <w:t>Kawerau</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ascii="Arial" w:hAnsi="Arial" w:cs="Arial"/>
                <w:color w:val="000000"/>
                <w:sz w:val="20"/>
                <w:szCs w:val="20"/>
                <w:lang w:val="en-US" w:eastAsia="en-NZ"/>
              </w:rPr>
            </w:pPr>
            <w:r w:rsidRPr="00CC0324">
              <w:rPr>
                <w:rFonts w:ascii="Arial" w:hAnsi="Arial" w:cs="Arial"/>
                <w:color w:val="000000"/>
                <w:sz w:val="20"/>
                <w:szCs w:val="20"/>
                <w:lang w:val="en-US" w:eastAsia="en-NZ"/>
              </w:rPr>
              <w:t>N/A</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ascii="Arial" w:hAnsi="Arial" w:cs="Arial"/>
                <w:color w:val="000000"/>
                <w:sz w:val="20"/>
                <w:szCs w:val="20"/>
                <w:lang w:val="en-US" w:eastAsia="en-NZ"/>
              </w:rPr>
            </w:pPr>
            <w:r w:rsidRPr="00CC0324">
              <w:rPr>
                <w:rFonts w:ascii="Arial" w:hAnsi="Arial" w:cs="Arial"/>
                <w:color w:val="000000"/>
                <w:sz w:val="20"/>
                <w:szCs w:val="20"/>
                <w:lang w:val="en-US" w:eastAsia="en-NZ"/>
              </w:rPr>
              <w:t>N/A</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ascii="Arial" w:hAnsi="Arial" w:cs="Arial"/>
                <w:color w:val="000000"/>
                <w:sz w:val="20"/>
                <w:szCs w:val="20"/>
                <w:lang w:val="en-US" w:eastAsia="en-NZ"/>
              </w:rPr>
            </w:pPr>
            <w:r w:rsidRPr="00CC0324">
              <w:rPr>
                <w:rFonts w:ascii="Arial" w:hAnsi="Arial" w:cs="Arial"/>
                <w:color w:val="000000"/>
                <w:sz w:val="20"/>
                <w:szCs w:val="20"/>
                <w:lang w:val="en-US" w:eastAsia="en-NZ"/>
              </w:rPr>
              <w:t>N/A</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ascii="Arial" w:hAnsi="Arial" w:cs="Arial"/>
                <w:color w:val="000000"/>
                <w:sz w:val="20"/>
                <w:szCs w:val="20"/>
                <w:lang w:val="en-US" w:eastAsia="en-NZ"/>
              </w:rPr>
            </w:pPr>
            <w:r w:rsidRPr="00CC0324">
              <w:rPr>
                <w:rFonts w:ascii="Arial" w:hAnsi="Arial" w:cs="Arial"/>
                <w:color w:val="000000"/>
                <w:sz w:val="20"/>
                <w:szCs w:val="20"/>
                <w:lang w:val="en-US" w:eastAsia="en-NZ"/>
              </w:rPr>
              <w:t>N/A</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proofErr w:type="spellStart"/>
            <w:r w:rsidRPr="00CC0324">
              <w:rPr>
                <w:rFonts w:cs="Calibri"/>
                <w:color w:val="000000"/>
                <w:lang w:val="en-US" w:eastAsia="en-NZ"/>
              </w:rPr>
              <w:t>Opotiki</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ascii="Arial" w:hAnsi="Arial" w:cs="Arial"/>
                <w:color w:val="000000"/>
                <w:sz w:val="20"/>
                <w:szCs w:val="20"/>
                <w:lang w:val="en-US" w:eastAsia="en-NZ"/>
              </w:rPr>
            </w:pPr>
            <w:r w:rsidRPr="00CC0324">
              <w:rPr>
                <w:rFonts w:ascii="Arial" w:hAnsi="Arial" w:cs="Arial"/>
                <w:color w:val="000000"/>
                <w:sz w:val="20"/>
                <w:szCs w:val="20"/>
                <w:lang w:val="en-US" w:eastAsia="en-NZ"/>
              </w:rPr>
              <w:t>N/A</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ascii="Arial" w:hAnsi="Arial" w:cs="Arial"/>
                <w:color w:val="000000"/>
                <w:sz w:val="20"/>
                <w:szCs w:val="20"/>
                <w:lang w:val="en-US" w:eastAsia="en-NZ"/>
              </w:rPr>
            </w:pPr>
            <w:r w:rsidRPr="00CC0324">
              <w:rPr>
                <w:rFonts w:ascii="Arial" w:hAnsi="Arial" w:cs="Arial"/>
                <w:color w:val="000000"/>
                <w:sz w:val="20"/>
                <w:szCs w:val="20"/>
                <w:lang w:val="en-US" w:eastAsia="en-NZ"/>
              </w:rPr>
              <w:t>N/A</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ascii="Arial" w:hAnsi="Arial" w:cs="Arial"/>
                <w:color w:val="000000"/>
                <w:sz w:val="20"/>
                <w:szCs w:val="20"/>
                <w:lang w:val="en-US" w:eastAsia="en-NZ"/>
              </w:rPr>
            </w:pPr>
            <w:r w:rsidRPr="00CC0324">
              <w:rPr>
                <w:rFonts w:ascii="Arial" w:hAnsi="Arial" w:cs="Arial"/>
                <w:color w:val="000000"/>
                <w:sz w:val="20"/>
                <w:szCs w:val="20"/>
                <w:lang w:val="en-US" w:eastAsia="en-NZ"/>
              </w:rPr>
              <w:t>N/A</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ascii="Arial" w:hAnsi="Arial" w:cs="Arial"/>
                <w:color w:val="000000"/>
                <w:sz w:val="20"/>
                <w:szCs w:val="20"/>
                <w:lang w:val="en-US" w:eastAsia="en-NZ"/>
              </w:rPr>
            </w:pPr>
            <w:r w:rsidRPr="00CC0324">
              <w:rPr>
                <w:rFonts w:ascii="Arial" w:hAnsi="Arial" w:cs="Arial"/>
                <w:color w:val="000000"/>
                <w:sz w:val="20"/>
                <w:szCs w:val="20"/>
                <w:lang w:val="en-US" w:eastAsia="en-NZ"/>
              </w:rPr>
              <w:t>N/A</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proofErr w:type="spellStart"/>
            <w:r w:rsidRPr="00CC0324">
              <w:rPr>
                <w:rFonts w:cs="Calibri"/>
                <w:color w:val="000000"/>
                <w:lang w:val="en-US" w:eastAsia="en-NZ"/>
              </w:rPr>
              <w:t>Gisborne</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222,216</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-5.3%</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-2.8%</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-26.5%</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proofErr w:type="spellStart"/>
            <w:r w:rsidRPr="00CC0324">
              <w:rPr>
                <w:rFonts w:cs="Calibri"/>
                <w:color w:val="000000"/>
                <w:lang w:val="en-US" w:eastAsia="en-NZ"/>
              </w:rPr>
              <w:t>Wairoa</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149,141</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-5.3%</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-5.4%</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-42.4%</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Hastings</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292,391</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1.5%</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0.2%</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-6.9%</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w:t>
            </w: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Napier</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316,864</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0.5%</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0.4%</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-7.2%</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xml:space="preserve">Central </w:t>
            </w:r>
            <w:proofErr w:type="spellStart"/>
            <w:r w:rsidRPr="00CC0324">
              <w:rPr>
                <w:rFonts w:cs="Calibri"/>
                <w:color w:val="000000"/>
                <w:lang w:val="en-US" w:eastAsia="en-NZ"/>
              </w:rPr>
              <w:t>Hawkes</w:t>
            </w:r>
            <w:proofErr w:type="spellEnd"/>
            <w:r w:rsidRPr="00CC0324">
              <w:rPr>
                <w:rFonts w:cs="Calibri"/>
                <w:color w:val="000000"/>
                <w:lang w:val="en-US" w:eastAsia="en-NZ"/>
              </w:rPr>
              <w:t xml:space="preserve"> Bay</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209,729</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-1.0%</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-1.1%</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-21.7%</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New Plymouth</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322,119</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1.9%</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-0.2%</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-3.7%</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Stratford</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192,389</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-1.3%</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-4.7%</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-11.5%</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xml:space="preserve">South </w:t>
            </w:r>
            <w:proofErr w:type="spellStart"/>
            <w:r w:rsidRPr="00CC0324">
              <w:rPr>
                <w:rFonts w:cs="Calibri"/>
                <w:color w:val="000000"/>
                <w:lang w:val="en-US" w:eastAsia="en-NZ"/>
              </w:rPr>
              <w:t>Taranaki</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184,582</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1.5%</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2.8%</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-7.1%</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proofErr w:type="spellStart"/>
            <w:r w:rsidRPr="00CC0324">
              <w:rPr>
                <w:rFonts w:cs="Calibri"/>
                <w:color w:val="000000"/>
                <w:lang w:val="en-US" w:eastAsia="en-NZ"/>
              </w:rPr>
              <w:t>Ruapehu</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143,108</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-0.1%</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-3.7%</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-21.1%</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Wanganui</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191,416</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1.0%</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1.4%</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-12.7%</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Rangitikei</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149,045</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0.7%</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-1.7%</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-17.1%</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proofErr w:type="spellStart"/>
            <w:r w:rsidRPr="00CC0324">
              <w:rPr>
                <w:rFonts w:cs="Calibri"/>
                <w:color w:val="000000"/>
                <w:lang w:val="en-US" w:eastAsia="en-NZ"/>
              </w:rPr>
              <w:t>Manawatu</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231,044</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1.4%</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1.0%</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-9.0%</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w:t>
            </w: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proofErr w:type="spellStart"/>
            <w:r w:rsidRPr="00CC0324">
              <w:rPr>
                <w:rFonts w:cs="Calibri"/>
                <w:color w:val="000000"/>
                <w:lang w:val="en-US" w:eastAsia="en-NZ"/>
              </w:rPr>
              <w:t>Palmerston</w:t>
            </w:r>
            <w:proofErr w:type="spellEnd"/>
            <w:r w:rsidRPr="00CC0324">
              <w:rPr>
                <w:rFonts w:cs="Calibri"/>
                <w:color w:val="000000"/>
                <w:lang w:val="en-US" w:eastAsia="en-NZ"/>
              </w:rPr>
              <w:t xml:space="preserve"> North</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283,290</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3.6%</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1.2%</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-5.7%</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proofErr w:type="spellStart"/>
            <w:r w:rsidRPr="00CC0324">
              <w:rPr>
                <w:rFonts w:cs="Calibri"/>
                <w:color w:val="000000"/>
                <w:lang w:val="en-US" w:eastAsia="en-NZ"/>
              </w:rPr>
              <w:t>Tararua</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149,326</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-3.9%</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-0.1%</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-14.3%</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proofErr w:type="spellStart"/>
            <w:r w:rsidRPr="00CC0324">
              <w:rPr>
                <w:rFonts w:cs="Calibri"/>
                <w:color w:val="000000"/>
                <w:lang w:val="en-US" w:eastAsia="en-NZ"/>
              </w:rPr>
              <w:t>Horowhenua</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197,163</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-3.7%</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1.3%</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-17.5%</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proofErr w:type="spellStart"/>
            <w:r w:rsidRPr="00CC0324">
              <w:rPr>
                <w:rFonts w:cs="Calibri"/>
                <w:color w:val="000000"/>
                <w:lang w:val="en-US" w:eastAsia="en-NZ"/>
              </w:rPr>
              <w:t>Kapiti</w:t>
            </w:r>
            <w:proofErr w:type="spellEnd"/>
            <w:r w:rsidRPr="00CC0324">
              <w:rPr>
                <w:rFonts w:cs="Calibri"/>
                <w:color w:val="000000"/>
                <w:lang w:val="en-US" w:eastAsia="en-NZ"/>
              </w:rPr>
              <w:t xml:space="preserve"> Coast</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359,842</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1.5%</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0.8%</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-6.2%</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#W</w:t>
            </w: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proofErr w:type="spellStart"/>
            <w:r w:rsidRPr="00CC0324">
              <w:rPr>
                <w:rFonts w:cs="Calibri"/>
                <w:color w:val="000000"/>
                <w:lang w:val="en-US" w:eastAsia="en-NZ"/>
              </w:rPr>
              <w:t>Porirua</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369,516</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2.3%</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-0.1%</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-3.5%</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#W</w:t>
            </w: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Upper Hutt</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325,023</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0.5%</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-0.7%</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-8.5%</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#W</w:t>
            </w: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Hutt</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363,621</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1.7%</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1.7%</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-8.4%</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#W</w:t>
            </w: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Wellington</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516,574</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1.5%</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0.7%</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-3.9%</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Wellington City &amp; Southern Suburbs</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522,881</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0.1%</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-0.3%</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-6.7%</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Eastern Suburbs</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558,505</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1.6%</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1.8%</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-3.1%</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North Wellington</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455,294</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2.3%</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0.8%</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-2.3%</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Western Suburbs</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589,817</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0.6%</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0.6%</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-2.9%</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proofErr w:type="spellStart"/>
            <w:r w:rsidRPr="00CC0324">
              <w:rPr>
                <w:rFonts w:cs="Calibri"/>
                <w:color w:val="000000"/>
                <w:lang w:val="en-US" w:eastAsia="en-NZ"/>
              </w:rPr>
              <w:t>Masterton</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235,304</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-1.8%</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-1.2%</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-18.7%</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proofErr w:type="spellStart"/>
            <w:r w:rsidRPr="00CC0324">
              <w:rPr>
                <w:rFonts w:cs="Calibri"/>
                <w:color w:val="000000"/>
                <w:lang w:val="en-US" w:eastAsia="en-NZ"/>
              </w:rPr>
              <w:t>Carterton</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245,105</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-0.4%</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1.6%</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-11.2%</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xml:space="preserve">South </w:t>
            </w:r>
            <w:proofErr w:type="spellStart"/>
            <w:r w:rsidRPr="00CC0324">
              <w:rPr>
                <w:rFonts w:cs="Calibri"/>
                <w:color w:val="000000"/>
                <w:lang w:val="en-US" w:eastAsia="en-NZ"/>
              </w:rPr>
              <w:t>Wairarapa</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284,751</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2.2%</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0.6%</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-16.9%</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Tasman</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396,104</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2.9%</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0.9%</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-0.6%</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w:t>
            </w: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Nelson</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388,712</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2.2%</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2.1%</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1.8%</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Marlborough</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337,459</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1.3%</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0.6%</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-13.6%</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proofErr w:type="spellStart"/>
            <w:r w:rsidRPr="00CC0324">
              <w:rPr>
                <w:rFonts w:cs="Calibri"/>
                <w:color w:val="000000"/>
                <w:lang w:val="en-US" w:eastAsia="en-NZ"/>
              </w:rPr>
              <w:t>Kaikoura</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352,146</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0.8%</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3.0%</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-19.6%</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proofErr w:type="spellStart"/>
            <w:r w:rsidRPr="00CC0324">
              <w:rPr>
                <w:rFonts w:cs="Calibri"/>
                <w:color w:val="000000"/>
                <w:lang w:val="en-US" w:eastAsia="en-NZ"/>
              </w:rPr>
              <w:t>Buller</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220,297</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7.5%</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-4.9%</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6.1%</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Grey</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219,843</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-1.3%</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-1.4%</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-8.8%</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Westland</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217,054</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-6.0%</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-5.2%</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-12.5%</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Hurunui</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323,116</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7.9%</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2.5%</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2.1%</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proofErr w:type="spellStart"/>
            <w:r w:rsidRPr="00CC0324">
              <w:rPr>
                <w:rFonts w:cs="Calibri"/>
                <w:color w:val="000000"/>
                <w:lang w:val="en-US" w:eastAsia="en-NZ"/>
              </w:rPr>
              <w:t>Waimakariri</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366,147</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10.9%</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2.0%</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14.8%</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w:t>
            </w: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Christchurch</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404,004</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6.4%</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2.0%</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5.4%</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East</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312,228</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4.4%</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1.8%</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0.9%</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Hills</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569,044</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7.1%</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2.0%</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2.9%</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Central City and North</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465,932</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6.8%</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2.9%</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5.2%</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Southwest</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372,459</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8.4%</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1.9%</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9.7%</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Banks Peninsula</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462,865</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4.4%</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2.0%</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-3.7%</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Selwyn</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441,251</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11.4%</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3.5%</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17.0%</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proofErr w:type="spellStart"/>
            <w:r w:rsidRPr="00CC0324">
              <w:rPr>
                <w:rFonts w:cs="Calibri"/>
                <w:color w:val="000000"/>
                <w:lang w:val="en-US" w:eastAsia="en-NZ"/>
              </w:rPr>
              <w:t>Ashburton</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291,452</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11.4%</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3.5%</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4.0%</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proofErr w:type="spellStart"/>
            <w:r w:rsidRPr="00CC0324">
              <w:rPr>
                <w:rFonts w:cs="Calibri"/>
                <w:color w:val="000000"/>
                <w:lang w:val="en-US" w:eastAsia="en-NZ"/>
              </w:rPr>
              <w:t>Timaru</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261,389</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5.3%</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1.7%</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3.5%</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proofErr w:type="spellStart"/>
            <w:r w:rsidRPr="00CC0324">
              <w:rPr>
                <w:rFonts w:cs="Calibri"/>
                <w:color w:val="000000"/>
                <w:lang w:val="en-US" w:eastAsia="en-NZ"/>
              </w:rPr>
              <w:t>MacKenzie</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266,225</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1.1%</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1.1%</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-10.0%</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proofErr w:type="spellStart"/>
            <w:r w:rsidRPr="00CC0324">
              <w:rPr>
                <w:rFonts w:cs="Calibri"/>
                <w:color w:val="000000"/>
                <w:lang w:val="en-US" w:eastAsia="en-NZ"/>
              </w:rPr>
              <w:t>Waimate</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173,141</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3.0%</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-4.3%</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-9.7%</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proofErr w:type="spellStart"/>
            <w:r w:rsidRPr="00CC0324">
              <w:rPr>
                <w:rFonts w:cs="Calibri"/>
                <w:color w:val="000000"/>
                <w:lang w:val="en-US" w:eastAsia="en-NZ"/>
              </w:rPr>
              <w:t>Waitaki</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216,067</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0.8%</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0.2%</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-5.5%</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xml:space="preserve">Central </w:t>
            </w:r>
            <w:proofErr w:type="spellStart"/>
            <w:r w:rsidRPr="00CC0324">
              <w:rPr>
                <w:rFonts w:cs="Calibri"/>
                <w:color w:val="000000"/>
                <w:lang w:val="en-US" w:eastAsia="en-NZ"/>
              </w:rPr>
              <w:t>Otago</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296,371</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3.3%</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0.9%</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-6.7%</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Queenstown Lakes</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615,867</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2.9%</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-0.6%</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-13.8%</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w:t>
            </w: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Dunedin</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279,525</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2.9%</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-0.1%</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-2.5%</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Central/Northern City</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289,944</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1.7%</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1.6%</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-3.9%</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Peninsula/Coastal Dunedin</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257,398</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1.7%</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-2.5%</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-4.9%</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Southern City</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267,670</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4.0%</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-1.2%</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-6.2%</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     </w:t>
            </w:r>
            <w:proofErr w:type="spellStart"/>
            <w:r w:rsidRPr="00CC0324">
              <w:rPr>
                <w:rFonts w:cs="Calibri"/>
                <w:color w:val="000000"/>
                <w:lang w:val="en-US" w:eastAsia="en-NZ"/>
              </w:rPr>
              <w:t>Taieri</w:t>
            </w:r>
            <w:proofErr w:type="spellEnd"/>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286,775</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3.4%</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-1.1%</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-2.4%</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Clutha</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158,457</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-2.3%</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-6.6%</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i/>
                <w:iCs/>
                <w:color w:val="000000"/>
                <w:lang w:val="en-US" w:eastAsia="en-NZ"/>
              </w:rPr>
            </w:pPr>
            <w:r w:rsidRPr="00CC0324">
              <w:rPr>
                <w:rFonts w:cs="Calibri"/>
                <w:i/>
                <w:iCs/>
                <w:color w:val="000000"/>
                <w:lang w:val="en-US" w:eastAsia="en-NZ"/>
              </w:rPr>
              <w:t>-12.6%</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Southland</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202,316</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-3.6%</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-2.1%</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-13.1%</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Gore</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179,501</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1.0%</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-2.9%</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1.5%</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w:t>
            </w: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Invercargill</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205,542</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2.0%</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-0.1%</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-8.3%</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Auckland Area</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608,205</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9.6%</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3.1%</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11.1%</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Wellington Area</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437,456</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1.7%</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0.6%</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-4.9%</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w:t>
            </w: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color w:val="000000"/>
                <w:lang w:val="en-US" w:eastAsia="en-NZ"/>
              </w:rPr>
            </w:pPr>
            <w:r w:rsidRPr="00CC0324">
              <w:rPr>
                <w:rFonts w:cs="Calibri"/>
                <w:color w:val="000000"/>
                <w:lang w:val="en-US" w:eastAsia="en-NZ"/>
              </w:rPr>
              <w:t>Main Urban Areas</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483,011</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6.9%</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1.9%</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r w:rsidRPr="00CC0324">
              <w:rPr>
                <w:rFonts w:cs="Calibri"/>
                <w:color w:val="000000"/>
                <w:lang w:val="en-US" w:eastAsia="en-NZ"/>
              </w:rPr>
              <w:t>5.3%</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color w:val="000000"/>
                <w:lang w:val="en-US" w:eastAsia="en-NZ"/>
              </w:rPr>
            </w:pPr>
          </w:p>
        </w:tc>
        <w:tc>
          <w:tcPr>
            <w:tcW w:w="3673"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cs="Calibri"/>
                <w:b/>
                <w:bCs/>
                <w:color w:val="000000"/>
                <w:lang w:val="en-US" w:eastAsia="en-NZ"/>
              </w:rPr>
            </w:pPr>
            <w:r w:rsidRPr="00CC0324">
              <w:rPr>
                <w:rFonts w:cs="Calibri"/>
                <w:b/>
                <w:bCs/>
                <w:color w:val="000000"/>
                <w:lang w:val="en-US" w:eastAsia="en-NZ"/>
              </w:rPr>
              <w:t>Total NZ</w:t>
            </w:r>
          </w:p>
        </w:tc>
        <w:tc>
          <w:tcPr>
            <w:tcW w:w="1415"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b/>
                <w:bCs/>
                <w:color w:val="000000"/>
                <w:lang w:val="en-US" w:eastAsia="en-NZ"/>
              </w:rPr>
            </w:pPr>
            <w:r w:rsidRPr="00CC0324">
              <w:rPr>
                <w:rFonts w:cs="Calibri"/>
                <w:b/>
                <w:bCs/>
                <w:color w:val="000000"/>
                <w:lang w:val="en-US" w:eastAsia="en-NZ"/>
              </w:rPr>
              <w:t>423,708</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b/>
                <w:bCs/>
                <w:color w:val="000000"/>
                <w:lang w:val="en-US" w:eastAsia="en-NZ"/>
              </w:rPr>
            </w:pPr>
            <w:r w:rsidRPr="00CC0324">
              <w:rPr>
                <w:rFonts w:cs="Calibri"/>
                <w:b/>
                <w:bCs/>
                <w:color w:val="000000"/>
                <w:lang w:val="en-US" w:eastAsia="en-NZ"/>
              </w:rPr>
              <w:t>5.7%</w:t>
            </w: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b/>
                <w:bCs/>
                <w:color w:val="000000"/>
                <w:lang w:val="en-US" w:eastAsia="en-NZ"/>
              </w:rPr>
            </w:pPr>
            <w:r w:rsidRPr="00CC0324">
              <w:rPr>
                <w:rFonts w:cs="Calibri"/>
                <w:b/>
                <w:bCs/>
                <w:color w:val="000000"/>
                <w:lang w:val="en-US" w:eastAsia="en-NZ"/>
              </w:rPr>
              <w:t>1.5%</w:t>
            </w: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cs="Calibri"/>
                <w:b/>
                <w:bCs/>
                <w:color w:val="000000"/>
                <w:lang w:val="en-US" w:eastAsia="en-NZ"/>
              </w:rPr>
            </w:pPr>
            <w:r w:rsidRPr="00CC0324">
              <w:rPr>
                <w:rFonts w:cs="Calibri"/>
                <w:b/>
                <w:bCs/>
                <w:color w:val="000000"/>
                <w:lang w:val="en-US" w:eastAsia="en-NZ"/>
              </w:rPr>
              <w:t>2.0%</w:t>
            </w:r>
          </w:p>
        </w:tc>
      </w:tr>
      <w:tr w:rsidR="00CC0324" w:rsidRPr="00CC0324" w:rsidTr="00620617">
        <w:trPr>
          <w:trHeight w:val="290"/>
        </w:trPr>
        <w:tc>
          <w:tcPr>
            <w:tcW w:w="465" w:type="dxa"/>
            <w:tcBorders>
              <w:top w:val="single" w:sz="2" w:space="0" w:color="000000"/>
              <w:left w:val="single" w:sz="2" w:space="0" w:color="000000"/>
              <w:bottom w:val="single" w:sz="2" w:space="0" w:color="000000"/>
              <w:right w:val="nil"/>
            </w:tcBorders>
          </w:tcPr>
          <w:p w:rsidR="00CC0324" w:rsidRPr="00CC0324" w:rsidRDefault="00CC0324" w:rsidP="00CC0324">
            <w:pPr>
              <w:autoSpaceDE w:val="0"/>
              <w:autoSpaceDN w:val="0"/>
              <w:adjustRightInd w:val="0"/>
              <w:spacing w:after="0" w:line="240" w:lineRule="auto"/>
              <w:jc w:val="right"/>
              <w:rPr>
                <w:rFonts w:ascii="Arial" w:hAnsi="Arial" w:cs="Arial"/>
                <w:color w:val="000000"/>
                <w:sz w:val="20"/>
                <w:szCs w:val="20"/>
                <w:lang w:val="en-US" w:eastAsia="en-NZ"/>
              </w:rPr>
            </w:pPr>
          </w:p>
        </w:tc>
        <w:tc>
          <w:tcPr>
            <w:tcW w:w="3673" w:type="dxa"/>
            <w:tcBorders>
              <w:top w:val="single" w:sz="2" w:space="0" w:color="000000"/>
              <w:left w:val="nil"/>
              <w:bottom w:val="single" w:sz="2" w:space="0" w:color="000000"/>
              <w:right w:val="nil"/>
            </w:tcBorders>
          </w:tcPr>
          <w:p w:rsidR="00CC0324" w:rsidRPr="00CC0324" w:rsidRDefault="00CC0324" w:rsidP="00CC0324">
            <w:pPr>
              <w:autoSpaceDE w:val="0"/>
              <w:autoSpaceDN w:val="0"/>
              <w:adjustRightInd w:val="0"/>
              <w:spacing w:after="0" w:line="240" w:lineRule="auto"/>
              <w:jc w:val="right"/>
              <w:rPr>
                <w:rFonts w:ascii="Arial" w:hAnsi="Arial" w:cs="Arial"/>
                <w:color w:val="000000"/>
                <w:sz w:val="20"/>
                <w:szCs w:val="20"/>
                <w:lang w:val="en-US" w:eastAsia="en-NZ"/>
              </w:rPr>
            </w:pPr>
          </w:p>
        </w:tc>
        <w:tc>
          <w:tcPr>
            <w:tcW w:w="1415" w:type="dxa"/>
            <w:tcBorders>
              <w:top w:val="single" w:sz="2" w:space="0" w:color="000000"/>
              <w:left w:val="nil"/>
              <w:bottom w:val="single" w:sz="2" w:space="0" w:color="000000"/>
              <w:right w:val="nil"/>
            </w:tcBorders>
          </w:tcPr>
          <w:p w:rsidR="00CC0324" w:rsidRPr="00CC0324" w:rsidRDefault="00CC0324" w:rsidP="00CC0324">
            <w:pPr>
              <w:autoSpaceDE w:val="0"/>
              <w:autoSpaceDN w:val="0"/>
              <w:adjustRightInd w:val="0"/>
              <w:spacing w:after="0" w:line="240" w:lineRule="auto"/>
              <w:jc w:val="right"/>
              <w:rPr>
                <w:rFonts w:ascii="Arial" w:hAnsi="Arial" w:cs="Arial"/>
                <w:color w:val="000000"/>
                <w:sz w:val="20"/>
                <w:szCs w:val="20"/>
                <w:lang w:val="en-US" w:eastAsia="en-NZ"/>
              </w:rPr>
            </w:pPr>
          </w:p>
        </w:tc>
        <w:tc>
          <w:tcPr>
            <w:tcW w:w="1417" w:type="dxa"/>
            <w:tcBorders>
              <w:top w:val="single" w:sz="2" w:space="0" w:color="000000"/>
              <w:left w:val="nil"/>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ascii="Arial" w:hAnsi="Arial" w:cs="Arial"/>
                <w:color w:val="000000"/>
                <w:sz w:val="20"/>
                <w:szCs w:val="20"/>
                <w:lang w:val="en-US" w:eastAsia="en-NZ"/>
              </w:rPr>
            </w:pPr>
          </w:p>
        </w:tc>
        <w:tc>
          <w:tcPr>
            <w:tcW w:w="1417"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ascii="Arial" w:hAnsi="Arial" w:cs="Arial"/>
                <w:color w:val="000000"/>
                <w:sz w:val="20"/>
                <w:szCs w:val="20"/>
                <w:lang w:val="en-US" w:eastAsia="en-NZ"/>
              </w:rPr>
            </w:pPr>
          </w:p>
        </w:tc>
        <w:tc>
          <w:tcPr>
            <w:tcW w:w="1421" w:type="dxa"/>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jc w:val="right"/>
              <w:rPr>
                <w:rFonts w:ascii="Arial" w:hAnsi="Arial" w:cs="Arial"/>
                <w:color w:val="000000"/>
                <w:sz w:val="20"/>
                <w:szCs w:val="20"/>
                <w:lang w:val="en-US" w:eastAsia="en-NZ"/>
              </w:rPr>
            </w:pPr>
          </w:p>
        </w:tc>
      </w:tr>
      <w:tr w:rsidR="00620617" w:rsidRPr="00CC0324" w:rsidTr="00620617">
        <w:trPr>
          <w:trHeight w:val="245"/>
        </w:trPr>
        <w:tc>
          <w:tcPr>
            <w:tcW w:w="9808" w:type="dxa"/>
            <w:gridSpan w:val="6"/>
            <w:tcBorders>
              <w:top w:val="single" w:sz="2" w:space="0" w:color="000000"/>
              <w:left w:val="single" w:sz="2" w:space="0" w:color="000000"/>
              <w:bottom w:val="single" w:sz="2" w:space="0" w:color="000000"/>
              <w:right w:val="single" w:sz="2" w:space="0" w:color="000000"/>
            </w:tcBorders>
          </w:tcPr>
          <w:p w:rsidR="00620617" w:rsidRPr="00CC0324" w:rsidRDefault="00620617" w:rsidP="00620617">
            <w:pPr>
              <w:autoSpaceDE w:val="0"/>
              <w:autoSpaceDN w:val="0"/>
              <w:adjustRightInd w:val="0"/>
              <w:spacing w:after="0" w:line="240" w:lineRule="auto"/>
              <w:rPr>
                <w:rFonts w:ascii="Arial" w:hAnsi="Arial" w:cs="Arial"/>
                <w:color w:val="000000"/>
                <w:sz w:val="20"/>
                <w:szCs w:val="20"/>
                <w:lang w:val="en-US" w:eastAsia="en-NZ"/>
              </w:rPr>
            </w:pPr>
            <w:r w:rsidRPr="00CC0324">
              <w:rPr>
                <w:rFonts w:ascii="Arial" w:hAnsi="Arial" w:cs="Arial"/>
                <w:b/>
                <w:bCs/>
                <w:color w:val="000000"/>
                <w:sz w:val="20"/>
                <w:szCs w:val="20"/>
                <w:lang w:val="en-US" w:eastAsia="en-NZ"/>
              </w:rPr>
              <w:t>Notes on the above data:</w:t>
            </w:r>
          </w:p>
        </w:tc>
      </w:tr>
      <w:tr w:rsidR="00CC0324" w:rsidRPr="00CC0324" w:rsidTr="00620617">
        <w:trPr>
          <w:trHeight w:val="739"/>
        </w:trPr>
        <w:tc>
          <w:tcPr>
            <w:tcW w:w="9808" w:type="dxa"/>
            <w:gridSpan w:val="6"/>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ascii="Arial" w:hAnsi="Arial" w:cs="Arial"/>
                <w:color w:val="000000"/>
                <w:sz w:val="20"/>
                <w:szCs w:val="20"/>
                <w:lang w:val="en-US" w:eastAsia="en-NZ"/>
              </w:rPr>
            </w:pPr>
            <w:r w:rsidRPr="00CC0324">
              <w:rPr>
                <w:rFonts w:ascii="Arial" w:hAnsi="Arial" w:cs="Arial"/>
                <w:color w:val="000000"/>
                <w:sz w:val="20"/>
                <w:szCs w:val="20"/>
                <w:lang w:val="en-US" w:eastAsia="en-NZ"/>
              </w:rPr>
              <w:t xml:space="preserve">1. The information included in the above table is based on the monthly property value index. This index is calculated based on the sales data entered into </w:t>
            </w:r>
            <w:proofErr w:type="spellStart"/>
            <w:r w:rsidRPr="00CC0324">
              <w:rPr>
                <w:rFonts w:ascii="Arial" w:hAnsi="Arial" w:cs="Arial"/>
                <w:color w:val="000000"/>
                <w:sz w:val="20"/>
                <w:szCs w:val="20"/>
                <w:lang w:val="en-US" w:eastAsia="en-NZ"/>
              </w:rPr>
              <w:t>PropertyIQ's</w:t>
            </w:r>
            <w:proofErr w:type="spellEnd"/>
            <w:r w:rsidRPr="00CC0324">
              <w:rPr>
                <w:rFonts w:ascii="Arial" w:hAnsi="Arial" w:cs="Arial"/>
                <w:color w:val="000000"/>
                <w:sz w:val="20"/>
                <w:szCs w:val="20"/>
                <w:lang w:val="en-US" w:eastAsia="en-NZ"/>
              </w:rPr>
              <w:t xml:space="preserve"> system in the previous 3 month period. For example, information for the period ending June will be calculated based on sales entered between April 1 and June 30.</w:t>
            </w:r>
          </w:p>
        </w:tc>
      </w:tr>
      <w:tr w:rsidR="00CC0324" w:rsidRPr="00CC0324" w:rsidTr="00620617">
        <w:trPr>
          <w:trHeight w:val="739"/>
        </w:trPr>
        <w:tc>
          <w:tcPr>
            <w:tcW w:w="9808" w:type="dxa"/>
            <w:gridSpan w:val="6"/>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ascii="Arial" w:hAnsi="Arial" w:cs="Arial"/>
                <w:color w:val="000000"/>
                <w:sz w:val="20"/>
                <w:szCs w:val="20"/>
                <w:lang w:val="en-US" w:eastAsia="en-NZ"/>
              </w:rPr>
            </w:pPr>
            <w:r w:rsidRPr="00CC0324">
              <w:rPr>
                <w:rFonts w:ascii="Arial" w:hAnsi="Arial" w:cs="Arial"/>
                <w:color w:val="000000"/>
                <w:sz w:val="20"/>
                <w:szCs w:val="20"/>
                <w:lang w:val="en-US" w:eastAsia="en-NZ"/>
              </w:rPr>
              <w:t xml:space="preserve">2. The average current value is the average (mean) value of all developed residential properties in the area based on the latest index. It is not an average or median sales price, as both of </w:t>
            </w:r>
            <w:proofErr w:type="gramStart"/>
            <w:r w:rsidRPr="00CC0324">
              <w:rPr>
                <w:rFonts w:ascii="Arial" w:hAnsi="Arial" w:cs="Arial"/>
                <w:color w:val="000000"/>
                <w:sz w:val="20"/>
                <w:szCs w:val="20"/>
                <w:lang w:val="en-US" w:eastAsia="en-NZ"/>
              </w:rPr>
              <w:t>those only measure</w:t>
            </w:r>
            <w:proofErr w:type="gramEnd"/>
            <w:r w:rsidRPr="00CC0324">
              <w:rPr>
                <w:rFonts w:ascii="Arial" w:hAnsi="Arial" w:cs="Arial"/>
                <w:color w:val="000000"/>
                <w:sz w:val="20"/>
                <w:szCs w:val="20"/>
                <w:lang w:val="en-US" w:eastAsia="en-NZ"/>
              </w:rPr>
              <w:t xml:space="preserve"> what happens to have sold in the period.</w:t>
            </w:r>
          </w:p>
        </w:tc>
      </w:tr>
      <w:tr w:rsidR="00CC0324" w:rsidRPr="00CC0324" w:rsidTr="00620617">
        <w:trPr>
          <w:trHeight w:val="535"/>
        </w:trPr>
        <w:tc>
          <w:tcPr>
            <w:tcW w:w="9808" w:type="dxa"/>
            <w:gridSpan w:val="6"/>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ascii="Arial" w:hAnsi="Arial" w:cs="Arial"/>
                <w:color w:val="000000"/>
                <w:sz w:val="20"/>
                <w:szCs w:val="20"/>
                <w:lang w:val="en-US" w:eastAsia="en-NZ"/>
              </w:rPr>
            </w:pPr>
            <w:r w:rsidRPr="00CC0324">
              <w:rPr>
                <w:rFonts w:ascii="Arial" w:hAnsi="Arial" w:cs="Arial"/>
                <w:color w:val="000000"/>
                <w:sz w:val="20"/>
                <w:szCs w:val="20"/>
                <w:lang w:val="en-US" w:eastAsia="en-NZ"/>
              </w:rPr>
              <w:t>3.  The percentage change over three months, twelve months and since the 2007 market peak are based on the change in the property value index between that time and the current.</w:t>
            </w:r>
          </w:p>
        </w:tc>
      </w:tr>
      <w:tr w:rsidR="00CC0324" w:rsidRPr="00CC0324" w:rsidTr="00620617">
        <w:trPr>
          <w:trHeight w:val="811"/>
        </w:trPr>
        <w:tc>
          <w:tcPr>
            <w:tcW w:w="9808" w:type="dxa"/>
            <w:gridSpan w:val="6"/>
            <w:tcBorders>
              <w:top w:val="single" w:sz="2" w:space="0" w:color="000000"/>
              <w:left w:val="single" w:sz="2" w:space="0" w:color="000000"/>
              <w:bottom w:val="single" w:sz="2" w:space="0" w:color="000000"/>
              <w:right w:val="single" w:sz="2" w:space="0" w:color="000000"/>
            </w:tcBorders>
          </w:tcPr>
          <w:p w:rsidR="00CC0324" w:rsidRPr="00CC0324" w:rsidRDefault="00CC0324" w:rsidP="00CC0324">
            <w:pPr>
              <w:autoSpaceDE w:val="0"/>
              <w:autoSpaceDN w:val="0"/>
              <w:adjustRightInd w:val="0"/>
              <w:spacing w:after="0" w:line="240" w:lineRule="auto"/>
              <w:rPr>
                <w:rFonts w:ascii="Arial" w:hAnsi="Arial" w:cs="Arial"/>
                <w:color w:val="000000"/>
                <w:sz w:val="20"/>
                <w:szCs w:val="20"/>
                <w:lang w:val="en-US" w:eastAsia="en-NZ"/>
              </w:rPr>
            </w:pPr>
            <w:r w:rsidRPr="00CC0324">
              <w:rPr>
                <w:rFonts w:ascii="Arial" w:hAnsi="Arial" w:cs="Arial"/>
                <w:color w:val="000000"/>
                <w:sz w:val="20"/>
                <w:szCs w:val="20"/>
                <w:lang w:val="en-US" w:eastAsia="en-NZ"/>
              </w:rPr>
              <w:t>4. Any of the statistical data shown in italics are calculated based on a sample set of data that is less than the recommended minimum. These results should be used with caution. Those showing N/A had too few sales to generate an index</w:t>
            </w:r>
          </w:p>
        </w:tc>
      </w:tr>
    </w:tbl>
    <w:p w:rsidR="00264FBE" w:rsidRDefault="00264FBE" w:rsidP="00092AE6">
      <w:pPr>
        <w:spacing w:after="0"/>
      </w:pPr>
    </w:p>
    <w:p w:rsidR="00264FBE" w:rsidRDefault="00264FBE">
      <w:pPr>
        <w:spacing w:after="0" w:line="240" w:lineRule="auto"/>
      </w:pPr>
      <w:r>
        <w:br w:type="page"/>
      </w:r>
    </w:p>
    <w:p w:rsidR="00442230" w:rsidRDefault="006024F1" w:rsidP="00092AE6">
      <w:pPr>
        <w:spacing w:after="0"/>
      </w:pPr>
      <w:r>
        <w:rPr>
          <w:noProof/>
          <w:lang w:eastAsia="en-NZ"/>
        </w:rPr>
        <w:lastRenderedPageBreak/>
        <w:drawing>
          <wp:anchor distT="0" distB="0" distL="114300" distR="114300" simplePos="0" relativeHeight="251669504" behindDoc="1" locked="0" layoutInCell="1" allowOverlap="1">
            <wp:simplePos x="0" y="0"/>
            <wp:positionH relativeFrom="column">
              <wp:posOffset>2838450</wp:posOffset>
            </wp:positionH>
            <wp:positionV relativeFrom="paragraph">
              <wp:posOffset>5810250</wp:posOffset>
            </wp:positionV>
            <wp:extent cx="3171825" cy="2876550"/>
            <wp:effectExtent l="19050" t="0" r="9525" b="0"/>
            <wp:wrapTight wrapText="bothSides">
              <wp:wrapPolygon edited="0">
                <wp:start x="-130" y="0"/>
                <wp:lineTo x="-130" y="21457"/>
                <wp:lineTo x="21665" y="21457"/>
                <wp:lineTo x="21665" y="0"/>
                <wp:lineTo x="-130" y="0"/>
              </wp:wrapPolygon>
            </wp:wrapTight>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171825" cy="2876550"/>
                    </a:xfrm>
                    <a:prstGeom prst="rect">
                      <a:avLst/>
                    </a:prstGeom>
                    <a:noFill/>
                  </pic:spPr>
                </pic:pic>
              </a:graphicData>
            </a:graphic>
          </wp:anchor>
        </w:drawing>
      </w:r>
      <w:r>
        <w:rPr>
          <w:noProof/>
          <w:lang w:eastAsia="en-NZ"/>
        </w:rPr>
        <w:drawing>
          <wp:anchor distT="0" distB="0" distL="114300" distR="114300" simplePos="0" relativeHeight="251668480" behindDoc="1" locked="0" layoutInCell="1" allowOverlap="1">
            <wp:simplePos x="0" y="0"/>
            <wp:positionH relativeFrom="column">
              <wp:posOffset>-323850</wp:posOffset>
            </wp:positionH>
            <wp:positionV relativeFrom="paragraph">
              <wp:posOffset>5810250</wp:posOffset>
            </wp:positionV>
            <wp:extent cx="3176905" cy="2876550"/>
            <wp:effectExtent l="19050" t="0" r="4445" b="0"/>
            <wp:wrapTight wrapText="bothSides">
              <wp:wrapPolygon edited="0">
                <wp:start x="-130" y="0"/>
                <wp:lineTo x="-130" y="21457"/>
                <wp:lineTo x="21630" y="21457"/>
                <wp:lineTo x="21630" y="0"/>
                <wp:lineTo x="-130" y="0"/>
              </wp:wrapPolygon>
            </wp:wrapTight>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176905" cy="2876550"/>
                    </a:xfrm>
                    <a:prstGeom prst="rect">
                      <a:avLst/>
                    </a:prstGeom>
                    <a:noFill/>
                  </pic:spPr>
                </pic:pic>
              </a:graphicData>
            </a:graphic>
          </wp:anchor>
        </w:drawing>
      </w:r>
      <w:r>
        <w:rPr>
          <w:noProof/>
          <w:lang w:eastAsia="en-NZ"/>
        </w:rPr>
        <w:drawing>
          <wp:anchor distT="0" distB="0" distL="114300" distR="114300" simplePos="0" relativeHeight="251667456" behindDoc="1" locked="0" layoutInCell="1" allowOverlap="1">
            <wp:simplePos x="0" y="0"/>
            <wp:positionH relativeFrom="column">
              <wp:posOffset>2838450</wp:posOffset>
            </wp:positionH>
            <wp:positionV relativeFrom="paragraph">
              <wp:posOffset>2905125</wp:posOffset>
            </wp:positionV>
            <wp:extent cx="3176905" cy="2876550"/>
            <wp:effectExtent l="19050" t="0" r="4445" b="0"/>
            <wp:wrapTight wrapText="bothSides">
              <wp:wrapPolygon edited="0">
                <wp:start x="-130" y="0"/>
                <wp:lineTo x="-130" y="21457"/>
                <wp:lineTo x="21630" y="21457"/>
                <wp:lineTo x="21630" y="0"/>
                <wp:lineTo x="-130" y="0"/>
              </wp:wrapPolygon>
            </wp:wrapTight>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176905" cy="2876550"/>
                    </a:xfrm>
                    <a:prstGeom prst="rect">
                      <a:avLst/>
                    </a:prstGeom>
                    <a:noFill/>
                  </pic:spPr>
                </pic:pic>
              </a:graphicData>
            </a:graphic>
          </wp:anchor>
        </w:drawing>
      </w:r>
      <w:r>
        <w:rPr>
          <w:noProof/>
          <w:lang w:eastAsia="en-NZ"/>
        </w:rPr>
        <w:drawing>
          <wp:anchor distT="0" distB="0" distL="114300" distR="114300" simplePos="0" relativeHeight="251666432" behindDoc="1" locked="0" layoutInCell="1" allowOverlap="1">
            <wp:simplePos x="0" y="0"/>
            <wp:positionH relativeFrom="column">
              <wp:posOffset>-338455</wp:posOffset>
            </wp:positionH>
            <wp:positionV relativeFrom="paragraph">
              <wp:posOffset>2905125</wp:posOffset>
            </wp:positionV>
            <wp:extent cx="3176905" cy="2876550"/>
            <wp:effectExtent l="19050" t="0" r="4445" b="0"/>
            <wp:wrapTight wrapText="bothSides">
              <wp:wrapPolygon edited="0">
                <wp:start x="-130" y="0"/>
                <wp:lineTo x="-130" y="21457"/>
                <wp:lineTo x="21630" y="21457"/>
                <wp:lineTo x="21630" y="0"/>
                <wp:lineTo x="-130" y="0"/>
              </wp:wrapPolygon>
            </wp:wrapTight>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176905" cy="2876550"/>
                    </a:xfrm>
                    <a:prstGeom prst="rect">
                      <a:avLst/>
                    </a:prstGeom>
                    <a:noFill/>
                  </pic:spPr>
                </pic:pic>
              </a:graphicData>
            </a:graphic>
          </wp:anchor>
        </w:drawing>
      </w:r>
      <w:r>
        <w:rPr>
          <w:noProof/>
          <w:lang w:eastAsia="en-NZ"/>
        </w:rPr>
        <w:drawing>
          <wp:anchor distT="0" distB="0" distL="114300" distR="114300" simplePos="0" relativeHeight="251665408" behindDoc="1" locked="0" layoutInCell="1" allowOverlap="1">
            <wp:simplePos x="0" y="0"/>
            <wp:positionH relativeFrom="column">
              <wp:posOffset>2834005</wp:posOffset>
            </wp:positionH>
            <wp:positionV relativeFrom="paragraph">
              <wp:posOffset>28575</wp:posOffset>
            </wp:positionV>
            <wp:extent cx="3176270" cy="2876550"/>
            <wp:effectExtent l="19050" t="0" r="5080" b="0"/>
            <wp:wrapTight wrapText="bothSides">
              <wp:wrapPolygon edited="0">
                <wp:start x="-130" y="0"/>
                <wp:lineTo x="-130" y="21457"/>
                <wp:lineTo x="21635" y="21457"/>
                <wp:lineTo x="21635" y="0"/>
                <wp:lineTo x="-130" y="0"/>
              </wp:wrapPolygon>
            </wp:wrapTight>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176270" cy="2876550"/>
                    </a:xfrm>
                    <a:prstGeom prst="rect">
                      <a:avLst/>
                    </a:prstGeom>
                    <a:noFill/>
                  </pic:spPr>
                </pic:pic>
              </a:graphicData>
            </a:graphic>
          </wp:anchor>
        </w:drawing>
      </w:r>
      <w:r>
        <w:rPr>
          <w:noProof/>
          <w:lang w:eastAsia="en-NZ"/>
        </w:rPr>
        <w:drawing>
          <wp:anchor distT="0" distB="0" distL="114300" distR="114300" simplePos="0" relativeHeight="251664384" behindDoc="1" locked="0" layoutInCell="1" allowOverlap="1">
            <wp:simplePos x="0" y="0"/>
            <wp:positionH relativeFrom="column">
              <wp:posOffset>-342900</wp:posOffset>
            </wp:positionH>
            <wp:positionV relativeFrom="paragraph">
              <wp:posOffset>28575</wp:posOffset>
            </wp:positionV>
            <wp:extent cx="3176905" cy="2876550"/>
            <wp:effectExtent l="19050" t="0" r="4445" b="0"/>
            <wp:wrapTight wrapText="bothSides">
              <wp:wrapPolygon edited="0">
                <wp:start x="-130" y="0"/>
                <wp:lineTo x="-130" y="21457"/>
                <wp:lineTo x="21630" y="21457"/>
                <wp:lineTo x="21630" y="0"/>
                <wp:lineTo x="-130" y="0"/>
              </wp:wrapPolygon>
            </wp:wrapTight>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3176905" cy="2876550"/>
                    </a:xfrm>
                    <a:prstGeom prst="rect">
                      <a:avLst/>
                    </a:prstGeom>
                    <a:noFill/>
                  </pic:spPr>
                </pic:pic>
              </a:graphicData>
            </a:graphic>
          </wp:anchor>
        </w:drawing>
      </w:r>
    </w:p>
    <w:sectPr w:rsidR="00442230" w:rsidSect="00661390">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275"/>
    <w:multiLevelType w:val="hybridMultilevel"/>
    <w:tmpl w:val="CD4092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B614164"/>
    <w:multiLevelType w:val="hybridMultilevel"/>
    <w:tmpl w:val="A8AC4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E6F222C"/>
    <w:multiLevelType w:val="hybridMultilevel"/>
    <w:tmpl w:val="3BB859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547259C1"/>
    <w:multiLevelType w:val="hybridMultilevel"/>
    <w:tmpl w:val="13C48C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690F29E6"/>
    <w:multiLevelType w:val="hybridMultilevel"/>
    <w:tmpl w:val="3CBC87D2"/>
    <w:lvl w:ilvl="0" w:tplc="74D46CD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rsids>
    <w:rsidRoot w:val="002D4221"/>
    <w:rsid w:val="000050F0"/>
    <w:rsid w:val="00005B6D"/>
    <w:rsid w:val="00007F9D"/>
    <w:rsid w:val="00012A60"/>
    <w:rsid w:val="00014DD5"/>
    <w:rsid w:val="00016FEE"/>
    <w:rsid w:val="00027B27"/>
    <w:rsid w:val="00030C0C"/>
    <w:rsid w:val="00031B27"/>
    <w:rsid w:val="00035914"/>
    <w:rsid w:val="0003737F"/>
    <w:rsid w:val="00045F58"/>
    <w:rsid w:val="00047456"/>
    <w:rsid w:val="000507BC"/>
    <w:rsid w:val="000534A3"/>
    <w:rsid w:val="0006250A"/>
    <w:rsid w:val="00066E0D"/>
    <w:rsid w:val="00073A93"/>
    <w:rsid w:val="00075034"/>
    <w:rsid w:val="00076E15"/>
    <w:rsid w:val="00080607"/>
    <w:rsid w:val="00081156"/>
    <w:rsid w:val="00083345"/>
    <w:rsid w:val="00086027"/>
    <w:rsid w:val="00092518"/>
    <w:rsid w:val="00092AE6"/>
    <w:rsid w:val="00094231"/>
    <w:rsid w:val="0009757A"/>
    <w:rsid w:val="000A697D"/>
    <w:rsid w:val="000A774B"/>
    <w:rsid w:val="000B372C"/>
    <w:rsid w:val="000B6462"/>
    <w:rsid w:val="000B65FC"/>
    <w:rsid w:val="000C1445"/>
    <w:rsid w:val="000C4DDD"/>
    <w:rsid w:val="000D085F"/>
    <w:rsid w:val="000D3918"/>
    <w:rsid w:val="000D740D"/>
    <w:rsid w:val="000E1532"/>
    <w:rsid w:val="000F5CCC"/>
    <w:rsid w:val="000F7C0F"/>
    <w:rsid w:val="000F7CC2"/>
    <w:rsid w:val="00110B5C"/>
    <w:rsid w:val="00111B71"/>
    <w:rsid w:val="00113A7B"/>
    <w:rsid w:val="001178B0"/>
    <w:rsid w:val="00123D98"/>
    <w:rsid w:val="00126A59"/>
    <w:rsid w:val="00127352"/>
    <w:rsid w:val="001345C7"/>
    <w:rsid w:val="0014530B"/>
    <w:rsid w:val="0014723D"/>
    <w:rsid w:val="001474AC"/>
    <w:rsid w:val="0015052C"/>
    <w:rsid w:val="0015280A"/>
    <w:rsid w:val="00153CFC"/>
    <w:rsid w:val="001558BE"/>
    <w:rsid w:val="00156402"/>
    <w:rsid w:val="00164BA6"/>
    <w:rsid w:val="00165BE1"/>
    <w:rsid w:val="001671E8"/>
    <w:rsid w:val="00184A70"/>
    <w:rsid w:val="00191785"/>
    <w:rsid w:val="00193B66"/>
    <w:rsid w:val="001959EB"/>
    <w:rsid w:val="001A0DCD"/>
    <w:rsid w:val="001A0FFB"/>
    <w:rsid w:val="001A2CC2"/>
    <w:rsid w:val="001A4C46"/>
    <w:rsid w:val="001B2F68"/>
    <w:rsid w:val="001B6C3F"/>
    <w:rsid w:val="001B7F73"/>
    <w:rsid w:val="001C1153"/>
    <w:rsid w:val="001C3538"/>
    <w:rsid w:val="001C61CF"/>
    <w:rsid w:val="001D1BE5"/>
    <w:rsid w:val="001D7DFF"/>
    <w:rsid w:val="001E5F70"/>
    <w:rsid w:val="001F1837"/>
    <w:rsid w:val="001F6A79"/>
    <w:rsid w:val="00207AF3"/>
    <w:rsid w:val="002111DB"/>
    <w:rsid w:val="00211995"/>
    <w:rsid w:val="00216B02"/>
    <w:rsid w:val="00221616"/>
    <w:rsid w:val="0023172C"/>
    <w:rsid w:val="00232259"/>
    <w:rsid w:val="002343C8"/>
    <w:rsid w:val="002407E0"/>
    <w:rsid w:val="00241704"/>
    <w:rsid w:val="002421F6"/>
    <w:rsid w:val="0024384A"/>
    <w:rsid w:val="0024480B"/>
    <w:rsid w:val="00244D66"/>
    <w:rsid w:val="00244F68"/>
    <w:rsid w:val="00245F3B"/>
    <w:rsid w:val="00247066"/>
    <w:rsid w:val="00250FB8"/>
    <w:rsid w:val="002529BF"/>
    <w:rsid w:val="00264FBE"/>
    <w:rsid w:val="00266E33"/>
    <w:rsid w:val="00272502"/>
    <w:rsid w:val="00273AB1"/>
    <w:rsid w:val="00274A2D"/>
    <w:rsid w:val="00282980"/>
    <w:rsid w:val="002850D4"/>
    <w:rsid w:val="002860B3"/>
    <w:rsid w:val="00296D07"/>
    <w:rsid w:val="002A125F"/>
    <w:rsid w:val="002A3E69"/>
    <w:rsid w:val="002B74E3"/>
    <w:rsid w:val="002B7E5C"/>
    <w:rsid w:val="002C0CCC"/>
    <w:rsid w:val="002C7C62"/>
    <w:rsid w:val="002D0ADB"/>
    <w:rsid w:val="002D4221"/>
    <w:rsid w:val="002D425E"/>
    <w:rsid w:val="002E4391"/>
    <w:rsid w:val="002F43C8"/>
    <w:rsid w:val="002F4897"/>
    <w:rsid w:val="002F5BD7"/>
    <w:rsid w:val="00301B94"/>
    <w:rsid w:val="00302D14"/>
    <w:rsid w:val="00305626"/>
    <w:rsid w:val="003131DE"/>
    <w:rsid w:val="003132E2"/>
    <w:rsid w:val="00314E4B"/>
    <w:rsid w:val="00315988"/>
    <w:rsid w:val="00316F9D"/>
    <w:rsid w:val="0031790E"/>
    <w:rsid w:val="00320C14"/>
    <w:rsid w:val="00320ECB"/>
    <w:rsid w:val="00322F1F"/>
    <w:rsid w:val="00325B01"/>
    <w:rsid w:val="003263DD"/>
    <w:rsid w:val="00327D1C"/>
    <w:rsid w:val="003312E7"/>
    <w:rsid w:val="00331715"/>
    <w:rsid w:val="00336F39"/>
    <w:rsid w:val="00351654"/>
    <w:rsid w:val="0035196E"/>
    <w:rsid w:val="00351B45"/>
    <w:rsid w:val="00354F07"/>
    <w:rsid w:val="00356AB1"/>
    <w:rsid w:val="003575A5"/>
    <w:rsid w:val="00357E9B"/>
    <w:rsid w:val="00361DB6"/>
    <w:rsid w:val="00367093"/>
    <w:rsid w:val="0037740C"/>
    <w:rsid w:val="00385C3A"/>
    <w:rsid w:val="0039380B"/>
    <w:rsid w:val="00394B8B"/>
    <w:rsid w:val="00395115"/>
    <w:rsid w:val="003958FE"/>
    <w:rsid w:val="00397C97"/>
    <w:rsid w:val="003A08AB"/>
    <w:rsid w:val="003A5E90"/>
    <w:rsid w:val="003A7E5E"/>
    <w:rsid w:val="003B0448"/>
    <w:rsid w:val="003B26B2"/>
    <w:rsid w:val="003B378C"/>
    <w:rsid w:val="003C1418"/>
    <w:rsid w:val="003C4A77"/>
    <w:rsid w:val="003C5492"/>
    <w:rsid w:val="003D2095"/>
    <w:rsid w:val="003D61AE"/>
    <w:rsid w:val="003D7BE5"/>
    <w:rsid w:val="003E00DB"/>
    <w:rsid w:val="003E4A7A"/>
    <w:rsid w:val="003E6E33"/>
    <w:rsid w:val="003F766D"/>
    <w:rsid w:val="0040011C"/>
    <w:rsid w:val="004007F2"/>
    <w:rsid w:val="00407F3C"/>
    <w:rsid w:val="004112FE"/>
    <w:rsid w:val="00414FF3"/>
    <w:rsid w:val="00426631"/>
    <w:rsid w:val="00426E65"/>
    <w:rsid w:val="00442230"/>
    <w:rsid w:val="00446931"/>
    <w:rsid w:val="004526D2"/>
    <w:rsid w:val="004539F9"/>
    <w:rsid w:val="00455377"/>
    <w:rsid w:val="00464E22"/>
    <w:rsid w:val="00466575"/>
    <w:rsid w:val="004723E7"/>
    <w:rsid w:val="00477D89"/>
    <w:rsid w:val="00481070"/>
    <w:rsid w:val="00481934"/>
    <w:rsid w:val="00490CE8"/>
    <w:rsid w:val="00496A68"/>
    <w:rsid w:val="00497794"/>
    <w:rsid w:val="004A0135"/>
    <w:rsid w:val="004A20AF"/>
    <w:rsid w:val="004A4770"/>
    <w:rsid w:val="004A51A4"/>
    <w:rsid w:val="004A7827"/>
    <w:rsid w:val="004B1479"/>
    <w:rsid w:val="004B1992"/>
    <w:rsid w:val="004B3D4C"/>
    <w:rsid w:val="004B58C9"/>
    <w:rsid w:val="004B6924"/>
    <w:rsid w:val="004C22D0"/>
    <w:rsid w:val="004C2778"/>
    <w:rsid w:val="004C2BD5"/>
    <w:rsid w:val="004C3C75"/>
    <w:rsid w:val="004D104E"/>
    <w:rsid w:val="004D57C7"/>
    <w:rsid w:val="004E1630"/>
    <w:rsid w:val="004E24FA"/>
    <w:rsid w:val="004F2318"/>
    <w:rsid w:val="00500E76"/>
    <w:rsid w:val="00503E39"/>
    <w:rsid w:val="0050647C"/>
    <w:rsid w:val="005064DA"/>
    <w:rsid w:val="00507728"/>
    <w:rsid w:val="00512A93"/>
    <w:rsid w:val="00512FEB"/>
    <w:rsid w:val="00513B8B"/>
    <w:rsid w:val="005142EA"/>
    <w:rsid w:val="00521D45"/>
    <w:rsid w:val="00526638"/>
    <w:rsid w:val="00531BDC"/>
    <w:rsid w:val="005350E8"/>
    <w:rsid w:val="00536749"/>
    <w:rsid w:val="005376EA"/>
    <w:rsid w:val="00545336"/>
    <w:rsid w:val="00545C25"/>
    <w:rsid w:val="005541AA"/>
    <w:rsid w:val="0056099F"/>
    <w:rsid w:val="00560D87"/>
    <w:rsid w:val="00561AC3"/>
    <w:rsid w:val="00562F82"/>
    <w:rsid w:val="00566A54"/>
    <w:rsid w:val="00573D9E"/>
    <w:rsid w:val="00577483"/>
    <w:rsid w:val="005862F0"/>
    <w:rsid w:val="00595EBA"/>
    <w:rsid w:val="005B05EB"/>
    <w:rsid w:val="005B166B"/>
    <w:rsid w:val="005C23EC"/>
    <w:rsid w:val="005F4535"/>
    <w:rsid w:val="006000E3"/>
    <w:rsid w:val="006024F1"/>
    <w:rsid w:val="0060353F"/>
    <w:rsid w:val="00606C3B"/>
    <w:rsid w:val="0061589A"/>
    <w:rsid w:val="00620411"/>
    <w:rsid w:val="00620617"/>
    <w:rsid w:val="00620BAD"/>
    <w:rsid w:val="0062496E"/>
    <w:rsid w:val="00630158"/>
    <w:rsid w:val="00631B7D"/>
    <w:rsid w:val="006323EA"/>
    <w:rsid w:val="00634650"/>
    <w:rsid w:val="006358BB"/>
    <w:rsid w:val="00635E7C"/>
    <w:rsid w:val="00637A97"/>
    <w:rsid w:val="0064007A"/>
    <w:rsid w:val="006405D0"/>
    <w:rsid w:val="00644104"/>
    <w:rsid w:val="00646270"/>
    <w:rsid w:val="006544E3"/>
    <w:rsid w:val="00655F4B"/>
    <w:rsid w:val="00657E93"/>
    <w:rsid w:val="00661390"/>
    <w:rsid w:val="00661A7D"/>
    <w:rsid w:val="0066579E"/>
    <w:rsid w:val="0066623E"/>
    <w:rsid w:val="006671D1"/>
    <w:rsid w:val="0067015E"/>
    <w:rsid w:val="006711A3"/>
    <w:rsid w:val="00681235"/>
    <w:rsid w:val="00682CA1"/>
    <w:rsid w:val="00684A2B"/>
    <w:rsid w:val="006850DB"/>
    <w:rsid w:val="00690F4E"/>
    <w:rsid w:val="0069176E"/>
    <w:rsid w:val="006B0A97"/>
    <w:rsid w:val="006C0F63"/>
    <w:rsid w:val="006C21AE"/>
    <w:rsid w:val="006C3224"/>
    <w:rsid w:val="006C6DAA"/>
    <w:rsid w:val="006D09A7"/>
    <w:rsid w:val="006D482F"/>
    <w:rsid w:val="006E04CF"/>
    <w:rsid w:val="006F321D"/>
    <w:rsid w:val="006F750D"/>
    <w:rsid w:val="007001D3"/>
    <w:rsid w:val="00700352"/>
    <w:rsid w:val="00703969"/>
    <w:rsid w:val="007048B0"/>
    <w:rsid w:val="00705656"/>
    <w:rsid w:val="00707D9D"/>
    <w:rsid w:val="007114B8"/>
    <w:rsid w:val="00724E81"/>
    <w:rsid w:val="00731222"/>
    <w:rsid w:val="00733154"/>
    <w:rsid w:val="007353D1"/>
    <w:rsid w:val="0073704E"/>
    <w:rsid w:val="00741CCB"/>
    <w:rsid w:val="00741D2F"/>
    <w:rsid w:val="00744E12"/>
    <w:rsid w:val="00751917"/>
    <w:rsid w:val="00752A0C"/>
    <w:rsid w:val="00752A91"/>
    <w:rsid w:val="007537D5"/>
    <w:rsid w:val="0075497E"/>
    <w:rsid w:val="007718D7"/>
    <w:rsid w:val="00773C02"/>
    <w:rsid w:val="00774807"/>
    <w:rsid w:val="00776015"/>
    <w:rsid w:val="00784973"/>
    <w:rsid w:val="00795D35"/>
    <w:rsid w:val="007A0349"/>
    <w:rsid w:val="007B1E2D"/>
    <w:rsid w:val="007B4976"/>
    <w:rsid w:val="007C1881"/>
    <w:rsid w:val="007C2FA4"/>
    <w:rsid w:val="007C3155"/>
    <w:rsid w:val="007C6863"/>
    <w:rsid w:val="007D3480"/>
    <w:rsid w:val="007D38F5"/>
    <w:rsid w:val="007D5677"/>
    <w:rsid w:val="007D6FD0"/>
    <w:rsid w:val="007E3E4E"/>
    <w:rsid w:val="007F044B"/>
    <w:rsid w:val="007F36B4"/>
    <w:rsid w:val="007F4339"/>
    <w:rsid w:val="007F4CEE"/>
    <w:rsid w:val="007F7D9C"/>
    <w:rsid w:val="008011CE"/>
    <w:rsid w:val="008014C4"/>
    <w:rsid w:val="00806C29"/>
    <w:rsid w:val="00821BB7"/>
    <w:rsid w:val="00827C1E"/>
    <w:rsid w:val="00831F25"/>
    <w:rsid w:val="00836724"/>
    <w:rsid w:val="00841D33"/>
    <w:rsid w:val="00847121"/>
    <w:rsid w:val="00850575"/>
    <w:rsid w:val="00864F63"/>
    <w:rsid w:val="0087327B"/>
    <w:rsid w:val="00877CB9"/>
    <w:rsid w:val="00885646"/>
    <w:rsid w:val="0088688B"/>
    <w:rsid w:val="0089477D"/>
    <w:rsid w:val="00897A49"/>
    <w:rsid w:val="008A3215"/>
    <w:rsid w:val="008B0291"/>
    <w:rsid w:val="008B0C31"/>
    <w:rsid w:val="008C0C0F"/>
    <w:rsid w:val="008C3AA7"/>
    <w:rsid w:val="008C5625"/>
    <w:rsid w:val="008C6DD1"/>
    <w:rsid w:val="008D3855"/>
    <w:rsid w:val="008D65E7"/>
    <w:rsid w:val="008D78F4"/>
    <w:rsid w:val="008E0837"/>
    <w:rsid w:val="008E0BCB"/>
    <w:rsid w:val="008E6975"/>
    <w:rsid w:val="008F0D15"/>
    <w:rsid w:val="008F52BF"/>
    <w:rsid w:val="008F7E0F"/>
    <w:rsid w:val="009002DB"/>
    <w:rsid w:val="0091096D"/>
    <w:rsid w:val="009109C3"/>
    <w:rsid w:val="00910B79"/>
    <w:rsid w:val="00911A02"/>
    <w:rsid w:val="00911BAD"/>
    <w:rsid w:val="009145AE"/>
    <w:rsid w:val="00920402"/>
    <w:rsid w:val="009337ED"/>
    <w:rsid w:val="00935C15"/>
    <w:rsid w:val="00936E35"/>
    <w:rsid w:val="00937512"/>
    <w:rsid w:val="0093754B"/>
    <w:rsid w:val="00947C93"/>
    <w:rsid w:val="00953906"/>
    <w:rsid w:val="00960AE5"/>
    <w:rsid w:val="009644B2"/>
    <w:rsid w:val="0097219F"/>
    <w:rsid w:val="00976A18"/>
    <w:rsid w:val="00976D13"/>
    <w:rsid w:val="00980C60"/>
    <w:rsid w:val="009833FB"/>
    <w:rsid w:val="00984A4E"/>
    <w:rsid w:val="00996F72"/>
    <w:rsid w:val="00997117"/>
    <w:rsid w:val="009A0AD3"/>
    <w:rsid w:val="009A39FB"/>
    <w:rsid w:val="009A44D3"/>
    <w:rsid w:val="009B1626"/>
    <w:rsid w:val="009B406D"/>
    <w:rsid w:val="009E1E4A"/>
    <w:rsid w:val="009F0628"/>
    <w:rsid w:val="00A073BC"/>
    <w:rsid w:val="00A131EE"/>
    <w:rsid w:val="00A15CFA"/>
    <w:rsid w:val="00A15ED8"/>
    <w:rsid w:val="00A2014D"/>
    <w:rsid w:val="00A211EE"/>
    <w:rsid w:val="00A238CE"/>
    <w:rsid w:val="00A251CB"/>
    <w:rsid w:val="00A268C2"/>
    <w:rsid w:val="00A32A0B"/>
    <w:rsid w:val="00A32D95"/>
    <w:rsid w:val="00A348F9"/>
    <w:rsid w:val="00A36E6D"/>
    <w:rsid w:val="00A37AD6"/>
    <w:rsid w:val="00A408F9"/>
    <w:rsid w:val="00A41EBA"/>
    <w:rsid w:val="00A47C11"/>
    <w:rsid w:val="00A50583"/>
    <w:rsid w:val="00A51A55"/>
    <w:rsid w:val="00A527B2"/>
    <w:rsid w:val="00A52C55"/>
    <w:rsid w:val="00A704FE"/>
    <w:rsid w:val="00A725F3"/>
    <w:rsid w:val="00A90295"/>
    <w:rsid w:val="00A9144E"/>
    <w:rsid w:val="00A938D4"/>
    <w:rsid w:val="00A951FC"/>
    <w:rsid w:val="00A959B5"/>
    <w:rsid w:val="00AA57C3"/>
    <w:rsid w:val="00AB0491"/>
    <w:rsid w:val="00AB7684"/>
    <w:rsid w:val="00AC2608"/>
    <w:rsid w:val="00AC2865"/>
    <w:rsid w:val="00AC2980"/>
    <w:rsid w:val="00AD04D6"/>
    <w:rsid w:val="00AD0D99"/>
    <w:rsid w:val="00AD4CD4"/>
    <w:rsid w:val="00AE7CB4"/>
    <w:rsid w:val="00AF361D"/>
    <w:rsid w:val="00B00048"/>
    <w:rsid w:val="00B048F2"/>
    <w:rsid w:val="00B079C9"/>
    <w:rsid w:val="00B11C1D"/>
    <w:rsid w:val="00B20736"/>
    <w:rsid w:val="00B222E6"/>
    <w:rsid w:val="00B31928"/>
    <w:rsid w:val="00B32471"/>
    <w:rsid w:val="00B3267D"/>
    <w:rsid w:val="00B326F3"/>
    <w:rsid w:val="00B33060"/>
    <w:rsid w:val="00B35F86"/>
    <w:rsid w:val="00B362B7"/>
    <w:rsid w:val="00B3646E"/>
    <w:rsid w:val="00B40D58"/>
    <w:rsid w:val="00B41088"/>
    <w:rsid w:val="00B46A36"/>
    <w:rsid w:val="00B532FF"/>
    <w:rsid w:val="00B54111"/>
    <w:rsid w:val="00B550EC"/>
    <w:rsid w:val="00B55772"/>
    <w:rsid w:val="00B57313"/>
    <w:rsid w:val="00B60E5D"/>
    <w:rsid w:val="00B65841"/>
    <w:rsid w:val="00B74F91"/>
    <w:rsid w:val="00B82B52"/>
    <w:rsid w:val="00B9065E"/>
    <w:rsid w:val="00B9580C"/>
    <w:rsid w:val="00B96B6C"/>
    <w:rsid w:val="00BA186F"/>
    <w:rsid w:val="00BA1C3E"/>
    <w:rsid w:val="00BB5768"/>
    <w:rsid w:val="00BC3E4C"/>
    <w:rsid w:val="00BC514D"/>
    <w:rsid w:val="00BC5B66"/>
    <w:rsid w:val="00BD384D"/>
    <w:rsid w:val="00BE07AD"/>
    <w:rsid w:val="00BF0047"/>
    <w:rsid w:val="00BF170C"/>
    <w:rsid w:val="00C0367C"/>
    <w:rsid w:val="00C160A0"/>
    <w:rsid w:val="00C2479A"/>
    <w:rsid w:val="00C306A1"/>
    <w:rsid w:val="00C3603F"/>
    <w:rsid w:val="00C3622A"/>
    <w:rsid w:val="00C400C5"/>
    <w:rsid w:val="00C40111"/>
    <w:rsid w:val="00C461D7"/>
    <w:rsid w:val="00C50DFC"/>
    <w:rsid w:val="00C517CD"/>
    <w:rsid w:val="00C51E28"/>
    <w:rsid w:val="00C541D4"/>
    <w:rsid w:val="00C57EF2"/>
    <w:rsid w:val="00C64BD2"/>
    <w:rsid w:val="00C72E0B"/>
    <w:rsid w:val="00C73F61"/>
    <w:rsid w:val="00C756B2"/>
    <w:rsid w:val="00C77B85"/>
    <w:rsid w:val="00C804DF"/>
    <w:rsid w:val="00C805AA"/>
    <w:rsid w:val="00C8211A"/>
    <w:rsid w:val="00C82F35"/>
    <w:rsid w:val="00C82FDD"/>
    <w:rsid w:val="00C83B54"/>
    <w:rsid w:val="00C942E3"/>
    <w:rsid w:val="00CA0FB8"/>
    <w:rsid w:val="00CA5FD1"/>
    <w:rsid w:val="00CA6FF8"/>
    <w:rsid w:val="00CA7AAB"/>
    <w:rsid w:val="00CB210F"/>
    <w:rsid w:val="00CB4ADF"/>
    <w:rsid w:val="00CC0324"/>
    <w:rsid w:val="00CC0452"/>
    <w:rsid w:val="00CC0DF1"/>
    <w:rsid w:val="00CC0F43"/>
    <w:rsid w:val="00CC1462"/>
    <w:rsid w:val="00CC45E1"/>
    <w:rsid w:val="00CC5619"/>
    <w:rsid w:val="00CD1094"/>
    <w:rsid w:val="00CD114A"/>
    <w:rsid w:val="00CD62BB"/>
    <w:rsid w:val="00CE2DC5"/>
    <w:rsid w:val="00CE7470"/>
    <w:rsid w:val="00CE77DA"/>
    <w:rsid w:val="00CF0BA1"/>
    <w:rsid w:val="00CF46D2"/>
    <w:rsid w:val="00D0225A"/>
    <w:rsid w:val="00D06509"/>
    <w:rsid w:val="00D07347"/>
    <w:rsid w:val="00D07936"/>
    <w:rsid w:val="00D102A9"/>
    <w:rsid w:val="00D108BC"/>
    <w:rsid w:val="00D11FC4"/>
    <w:rsid w:val="00D1214C"/>
    <w:rsid w:val="00D124E0"/>
    <w:rsid w:val="00D15ACA"/>
    <w:rsid w:val="00D202AE"/>
    <w:rsid w:val="00D254D4"/>
    <w:rsid w:val="00D25B1D"/>
    <w:rsid w:val="00D26D8B"/>
    <w:rsid w:val="00D32A2C"/>
    <w:rsid w:val="00D35918"/>
    <w:rsid w:val="00D41CF5"/>
    <w:rsid w:val="00D50A26"/>
    <w:rsid w:val="00D57B73"/>
    <w:rsid w:val="00D6273C"/>
    <w:rsid w:val="00D72259"/>
    <w:rsid w:val="00D74D5E"/>
    <w:rsid w:val="00D77589"/>
    <w:rsid w:val="00D8341D"/>
    <w:rsid w:val="00D835D5"/>
    <w:rsid w:val="00D83C6F"/>
    <w:rsid w:val="00D84527"/>
    <w:rsid w:val="00D85868"/>
    <w:rsid w:val="00D9639A"/>
    <w:rsid w:val="00D979C6"/>
    <w:rsid w:val="00D97B7C"/>
    <w:rsid w:val="00DA0E85"/>
    <w:rsid w:val="00DB0CD5"/>
    <w:rsid w:val="00DB1524"/>
    <w:rsid w:val="00DB3C9D"/>
    <w:rsid w:val="00DB74C6"/>
    <w:rsid w:val="00DC13A6"/>
    <w:rsid w:val="00DC164A"/>
    <w:rsid w:val="00DC3F36"/>
    <w:rsid w:val="00DC553E"/>
    <w:rsid w:val="00DC5B32"/>
    <w:rsid w:val="00DD1E3D"/>
    <w:rsid w:val="00DD231F"/>
    <w:rsid w:val="00DD34E0"/>
    <w:rsid w:val="00DD7120"/>
    <w:rsid w:val="00DE00C7"/>
    <w:rsid w:val="00DE053A"/>
    <w:rsid w:val="00DE3853"/>
    <w:rsid w:val="00DE59F6"/>
    <w:rsid w:val="00DE62EE"/>
    <w:rsid w:val="00E0004F"/>
    <w:rsid w:val="00E01226"/>
    <w:rsid w:val="00E029D5"/>
    <w:rsid w:val="00E03FCC"/>
    <w:rsid w:val="00E042AD"/>
    <w:rsid w:val="00E071CA"/>
    <w:rsid w:val="00E07E03"/>
    <w:rsid w:val="00E11329"/>
    <w:rsid w:val="00E14E2A"/>
    <w:rsid w:val="00E15D14"/>
    <w:rsid w:val="00E20DA1"/>
    <w:rsid w:val="00E22417"/>
    <w:rsid w:val="00E33334"/>
    <w:rsid w:val="00E42878"/>
    <w:rsid w:val="00E43BC6"/>
    <w:rsid w:val="00E47BF0"/>
    <w:rsid w:val="00E500BF"/>
    <w:rsid w:val="00E51DCD"/>
    <w:rsid w:val="00E64638"/>
    <w:rsid w:val="00E7406A"/>
    <w:rsid w:val="00E81447"/>
    <w:rsid w:val="00E92D22"/>
    <w:rsid w:val="00E95D15"/>
    <w:rsid w:val="00E96762"/>
    <w:rsid w:val="00EB0597"/>
    <w:rsid w:val="00EB4C88"/>
    <w:rsid w:val="00EC3BA7"/>
    <w:rsid w:val="00EC49EE"/>
    <w:rsid w:val="00EC49F7"/>
    <w:rsid w:val="00EC4AA1"/>
    <w:rsid w:val="00EC5115"/>
    <w:rsid w:val="00EC7316"/>
    <w:rsid w:val="00EC7473"/>
    <w:rsid w:val="00ED1DD3"/>
    <w:rsid w:val="00EE19CD"/>
    <w:rsid w:val="00EE3230"/>
    <w:rsid w:val="00EE643B"/>
    <w:rsid w:val="00EE64E4"/>
    <w:rsid w:val="00EF71B2"/>
    <w:rsid w:val="00F018BF"/>
    <w:rsid w:val="00F061E1"/>
    <w:rsid w:val="00F12A21"/>
    <w:rsid w:val="00F139B5"/>
    <w:rsid w:val="00F14A6B"/>
    <w:rsid w:val="00F2135D"/>
    <w:rsid w:val="00F21E1C"/>
    <w:rsid w:val="00F22BC2"/>
    <w:rsid w:val="00F2487F"/>
    <w:rsid w:val="00F248A3"/>
    <w:rsid w:val="00F31B63"/>
    <w:rsid w:val="00F34034"/>
    <w:rsid w:val="00F401C7"/>
    <w:rsid w:val="00F4192C"/>
    <w:rsid w:val="00F444A6"/>
    <w:rsid w:val="00F50646"/>
    <w:rsid w:val="00F51D7D"/>
    <w:rsid w:val="00F54540"/>
    <w:rsid w:val="00F57C27"/>
    <w:rsid w:val="00F71A76"/>
    <w:rsid w:val="00F76144"/>
    <w:rsid w:val="00F779A3"/>
    <w:rsid w:val="00F82B17"/>
    <w:rsid w:val="00F84B8F"/>
    <w:rsid w:val="00F874A9"/>
    <w:rsid w:val="00F96B1E"/>
    <w:rsid w:val="00FA2CBB"/>
    <w:rsid w:val="00FA652E"/>
    <w:rsid w:val="00FB300D"/>
    <w:rsid w:val="00FB55D2"/>
    <w:rsid w:val="00FB6208"/>
    <w:rsid w:val="00FB784A"/>
    <w:rsid w:val="00FC4F34"/>
    <w:rsid w:val="00FD28B4"/>
    <w:rsid w:val="00FD5B9E"/>
    <w:rsid w:val="00FE48B0"/>
    <w:rsid w:val="00FF4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D5"/>
    <w:pPr>
      <w:spacing w:after="200" w:line="276" w:lineRule="auto"/>
    </w:pPr>
    <w:rPr>
      <w:lang w:eastAsia="en-US"/>
    </w:rPr>
  </w:style>
  <w:style w:type="paragraph" w:styleId="Heading2">
    <w:name w:val="heading 2"/>
    <w:basedOn w:val="Normal"/>
    <w:next w:val="Normal"/>
    <w:link w:val="Heading2Char"/>
    <w:uiPriority w:val="99"/>
    <w:qFormat/>
    <w:rsid w:val="00C3622A"/>
    <w:pPr>
      <w:keepNext/>
      <w:spacing w:after="0" w:line="240" w:lineRule="auto"/>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9"/>
    <w:qFormat/>
    <w:rsid w:val="00C3622A"/>
    <w:pPr>
      <w:keepNext/>
      <w:spacing w:after="0" w:line="240" w:lineRule="auto"/>
      <w:outlineLvl w:val="2"/>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3622A"/>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C3622A"/>
    <w:rPr>
      <w:rFonts w:ascii="Times New Roman" w:hAnsi="Times New Roman" w:cs="Times New Roman"/>
      <w:b/>
      <w:bCs/>
      <w:sz w:val="24"/>
      <w:szCs w:val="24"/>
    </w:rPr>
  </w:style>
  <w:style w:type="paragraph" w:styleId="BalloonText">
    <w:name w:val="Balloon Text"/>
    <w:basedOn w:val="Normal"/>
    <w:link w:val="BalloonTextChar"/>
    <w:uiPriority w:val="99"/>
    <w:semiHidden/>
    <w:rsid w:val="003A7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E5E"/>
    <w:rPr>
      <w:rFonts w:ascii="Tahoma" w:hAnsi="Tahoma" w:cs="Tahoma"/>
      <w:sz w:val="16"/>
      <w:szCs w:val="16"/>
    </w:rPr>
  </w:style>
  <w:style w:type="character" w:styleId="Hyperlink">
    <w:name w:val="Hyperlink"/>
    <w:basedOn w:val="DefaultParagraphFont"/>
    <w:uiPriority w:val="99"/>
    <w:rsid w:val="005142EA"/>
    <w:rPr>
      <w:rFonts w:cs="Times New Roman"/>
      <w:color w:val="0000FF"/>
      <w:u w:val="single"/>
    </w:rPr>
  </w:style>
  <w:style w:type="paragraph" w:styleId="NoSpacing">
    <w:name w:val="No Spacing"/>
    <w:uiPriority w:val="1"/>
    <w:qFormat/>
    <w:rsid w:val="005B166B"/>
    <w:rPr>
      <w:rFonts w:asciiTheme="minorHAnsi" w:eastAsiaTheme="minorHAnsi" w:hAnsiTheme="minorHAnsi" w:cstheme="minorBidi"/>
      <w:lang w:eastAsia="en-US"/>
    </w:rPr>
  </w:style>
  <w:style w:type="character" w:customStyle="1" w:styleId="apple-converted-space">
    <w:name w:val="apple-converted-space"/>
    <w:basedOn w:val="DefaultParagraphFont"/>
    <w:rsid w:val="00700352"/>
  </w:style>
  <w:style w:type="character" w:styleId="CommentReference">
    <w:name w:val="annotation reference"/>
    <w:basedOn w:val="DefaultParagraphFont"/>
    <w:uiPriority w:val="99"/>
    <w:semiHidden/>
    <w:unhideWhenUsed/>
    <w:rsid w:val="003E6E33"/>
    <w:rPr>
      <w:sz w:val="16"/>
      <w:szCs w:val="16"/>
    </w:rPr>
  </w:style>
  <w:style w:type="paragraph" w:styleId="CommentText">
    <w:name w:val="annotation text"/>
    <w:basedOn w:val="Normal"/>
    <w:link w:val="CommentTextChar"/>
    <w:uiPriority w:val="99"/>
    <w:semiHidden/>
    <w:unhideWhenUsed/>
    <w:rsid w:val="003E6E33"/>
    <w:pPr>
      <w:spacing w:line="240" w:lineRule="auto"/>
    </w:pPr>
    <w:rPr>
      <w:sz w:val="20"/>
      <w:szCs w:val="20"/>
    </w:rPr>
  </w:style>
  <w:style w:type="character" w:customStyle="1" w:styleId="CommentTextChar">
    <w:name w:val="Comment Text Char"/>
    <w:basedOn w:val="DefaultParagraphFont"/>
    <w:link w:val="CommentText"/>
    <w:uiPriority w:val="99"/>
    <w:semiHidden/>
    <w:rsid w:val="003E6E33"/>
    <w:rPr>
      <w:sz w:val="20"/>
      <w:szCs w:val="20"/>
      <w:lang w:eastAsia="en-US"/>
    </w:rPr>
  </w:style>
  <w:style w:type="paragraph" w:styleId="CommentSubject">
    <w:name w:val="annotation subject"/>
    <w:basedOn w:val="CommentText"/>
    <w:next w:val="CommentText"/>
    <w:link w:val="CommentSubjectChar"/>
    <w:uiPriority w:val="99"/>
    <w:semiHidden/>
    <w:unhideWhenUsed/>
    <w:rsid w:val="003E6E33"/>
    <w:rPr>
      <w:b/>
      <w:bCs/>
    </w:rPr>
  </w:style>
  <w:style w:type="character" w:customStyle="1" w:styleId="CommentSubjectChar">
    <w:name w:val="Comment Subject Char"/>
    <w:basedOn w:val="CommentTextChar"/>
    <w:link w:val="CommentSubject"/>
    <w:uiPriority w:val="99"/>
    <w:semiHidden/>
    <w:rsid w:val="003E6E33"/>
    <w:rPr>
      <w:b/>
      <w:bCs/>
    </w:rPr>
  </w:style>
  <w:style w:type="paragraph" w:styleId="NormalWeb">
    <w:name w:val="Normal (Web)"/>
    <w:basedOn w:val="Normal"/>
    <w:uiPriority w:val="99"/>
    <w:unhideWhenUsed/>
    <w:rsid w:val="0093754B"/>
    <w:pPr>
      <w:spacing w:before="100" w:beforeAutospacing="1" w:after="100" w:afterAutospacing="1" w:line="240" w:lineRule="auto"/>
    </w:pPr>
    <w:rPr>
      <w:rFonts w:ascii="Times New Roman" w:eastAsia="Times New Roman" w:hAnsi="Times New Roman"/>
      <w:sz w:val="24"/>
      <w:szCs w:val="24"/>
      <w:lang w:eastAsia="en-NZ"/>
    </w:rPr>
  </w:style>
</w:styles>
</file>

<file path=word/webSettings.xml><?xml version="1.0" encoding="utf-8"?>
<w:webSettings xmlns:r="http://schemas.openxmlformats.org/officeDocument/2006/relationships" xmlns:w="http://schemas.openxmlformats.org/wordprocessingml/2006/main">
  <w:divs>
    <w:div w:id="561451263">
      <w:bodyDiv w:val="1"/>
      <w:marLeft w:val="0"/>
      <w:marRight w:val="0"/>
      <w:marTop w:val="0"/>
      <w:marBottom w:val="0"/>
      <w:divBdr>
        <w:top w:val="none" w:sz="0" w:space="0" w:color="auto"/>
        <w:left w:val="none" w:sz="0" w:space="0" w:color="auto"/>
        <w:bottom w:val="none" w:sz="0" w:space="0" w:color="auto"/>
        <w:right w:val="none" w:sz="0" w:space="0" w:color="auto"/>
      </w:divBdr>
    </w:div>
    <w:div w:id="1216314742">
      <w:bodyDiv w:val="1"/>
      <w:marLeft w:val="0"/>
      <w:marRight w:val="0"/>
      <w:marTop w:val="0"/>
      <w:marBottom w:val="0"/>
      <w:divBdr>
        <w:top w:val="none" w:sz="0" w:space="0" w:color="auto"/>
        <w:left w:val="none" w:sz="0" w:space="0" w:color="auto"/>
        <w:bottom w:val="none" w:sz="0" w:space="0" w:color="auto"/>
        <w:right w:val="none" w:sz="0" w:space="0" w:color="auto"/>
      </w:divBdr>
    </w:div>
    <w:div w:id="1333265463">
      <w:bodyDiv w:val="1"/>
      <w:marLeft w:val="0"/>
      <w:marRight w:val="0"/>
      <w:marTop w:val="0"/>
      <w:marBottom w:val="0"/>
      <w:divBdr>
        <w:top w:val="none" w:sz="0" w:space="0" w:color="auto"/>
        <w:left w:val="none" w:sz="0" w:space="0" w:color="auto"/>
        <w:bottom w:val="none" w:sz="0" w:space="0" w:color="auto"/>
        <w:right w:val="none" w:sz="0" w:space="0" w:color="auto"/>
      </w:divBdr>
    </w:div>
    <w:div w:id="1373923375">
      <w:bodyDiv w:val="1"/>
      <w:marLeft w:val="0"/>
      <w:marRight w:val="0"/>
      <w:marTop w:val="0"/>
      <w:marBottom w:val="0"/>
      <w:divBdr>
        <w:top w:val="none" w:sz="0" w:space="0" w:color="auto"/>
        <w:left w:val="none" w:sz="0" w:space="0" w:color="auto"/>
        <w:bottom w:val="none" w:sz="0" w:space="0" w:color="auto"/>
        <w:right w:val="none" w:sz="0" w:space="0" w:color="auto"/>
      </w:divBdr>
    </w:div>
    <w:div w:id="1444039549">
      <w:bodyDiv w:val="1"/>
      <w:marLeft w:val="0"/>
      <w:marRight w:val="0"/>
      <w:marTop w:val="0"/>
      <w:marBottom w:val="0"/>
      <w:divBdr>
        <w:top w:val="none" w:sz="0" w:space="0" w:color="auto"/>
        <w:left w:val="none" w:sz="0" w:space="0" w:color="auto"/>
        <w:bottom w:val="none" w:sz="0" w:space="0" w:color="auto"/>
        <w:right w:val="none" w:sz="0" w:space="0" w:color="auto"/>
      </w:divBdr>
    </w:div>
    <w:div w:id="1444810884">
      <w:bodyDiv w:val="1"/>
      <w:marLeft w:val="0"/>
      <w:marRight w:val="0"/>
      <w:marTop w:val="0"/>
      <w:marBottom w:val="0"/>
      <w:divBdr>
        <w:top w:val="none" w:sz="0" w:space="0" w:color="auto"/>
        <w:left w:val="none" w:sz="0" w:space="0" w:color="auto"/>
        <w:bottom w:val="none" w:sz="0" w:space="0" w:color="auto"/>
        <w:right w:val="none" w:sz="0" w:space="0" w:color="auto"/>
      </w:divBdr>
    </w:div>
    <w:div w:id="15215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no.ingerson@propertyiq.co.nz" TargetMode="Externa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jpe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1684</TotalTime>
  <Pages>8</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ingersonj</dc:creator>
  <cp:lastModifiedBy>ingersonj</cp:lastModifiedBy>
  <cp:revision>32</cp:revision>
  <cp:lastPrinted>2012-10-07T21:41:00Z</cp:lastPrinted>
  <dcterms:created xsi:type="dcterms:W3CDTF">2013-01-07T02:29:00Z</dcterms:created>
  <dcterms:modified xsi:type="dcterms:W3CDTF">2013-01-09T22:45:00Z</dcterms:modified>
</cp:coreProperties>
</file>