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09" w:rsidRDefault="00417207" w:rsidP="003251FA">
      <w:pPr>
        <w:rPr>
          <w:rFonts w:ascii="Helvetica" w:hAnsi="Helvetica" w:cs="Arial"/>
          <w:spacing w:val="20"/>
          <w:sz w:val="32"/>
          <w:szCs w:val="32"/>
        </w:rPr>
      </w:pPr>
      <w:r>
        <w:rPr>
          <w:rFonts w:ascii="Helvetica" w:hAnsi="Helvetica" w:cs="Arial"/>
          <w:noProof/>
          <w:spacing w:val="20"/>
          <w:sz w:val="32"/>
          <w:szCs w:val="32"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3251835" cy="1109980"/>
            <wp:effectExtent l="0" t="0" r="5715" b="0"/>
            <wp:wrapTight wrapText="bothSides">
              <wp:wrapPolygon edited="0">
                <wp:start x="0" y="0"/>
                <wp:lineTo x="0" y="21130"/>
                <wp:lineTo x="21511" y="21130"/>
                <wp:lineTo x="21511" y="0"/>
                <wp:lineTo x="0" y="0"/>
              </wp:wrapPolygon>
            </wp:wrapTight>
            <wp:docPr id="5" name="Picture 5" descr="ME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C09" w:rsidRDefault="00D24C09" w:rsidP="003251FA">
      <w:pPr>
        <w:rPr>
          <w:rFonts w:ascii="Helvetica" w:hAnsi="Helvetica" w:cs="Arial"/>
          <w:spacing w:val="20"/>
          <w:sz w:val="32"/>
          <w:szCs w:val="32"/>
        </w:rPr>
      </w:pPr>
    </w:p>
    <w:p w:rsidR="00E36094" w:rsidRPr="00094054" w:rsidRDefault="00E36094" w:rsidP="003251FA">
      <w:pPr>
        <w:rPr>
          <w:rFonts w:cs="Arial"/>
          <w:spacing w:val="20"/>
          <w:sz w:val="28"/>
          <w:szCs w:val="28"/>
        </w:rPr>
      </w:pPr>
      <w:r w:rsidRPr="00094054">
        <w:rPr>
          <w:rFonts w:cs="Arial"/>
          <w:spacing w:val="20"/>
          <w:sz w:val="28"/>
          <w:szCs w:val="28"/>
        </w:rPr>
        <w:t>Media Statement</w:t>
      </w:r>
    </w:p>
    <w:p w:rsidR="003251FA" w:rsidRPr="00DC000F" w:rsidRDefault="003251FA" w:rsidP="003251FA">
      <w:pPr>
        <w:rPr>
          <w:rFonts w:cs="Arial"/>
          <w:szCs w:val="24"/>
        </w:rPr>
      </w:pPr>
      <w:r w:rsidRPr="00DC000F">
        <w:rPr>
          <w:rFonts w:cs="Arial"/>
          <w:szCs w:val="24"/>
        </w:rPr>
        <w:t xml:space="preserve">Tuesday, </w:t>
      </w:r>
      <w:r w:rsidR="00D65739">
        <w:rPr>
          <w:rFonts w:cs="Arial"/>
          <w:szCs w:val="24"/>
        </w:rPr>
        <w:t>9</w:t>
      </w:r>
      <w:bookmarkStart w:id="0" w:name="_GoBack"/>
      <w:bookmarkEnd w:id="0"/>
      <w:r w:rsidR="00905CCC">
        <w:rPr>
          <w:rFonts w:cs="Arial"/>
          <w:szCs w:val="24"/>
        </w:rPr>
        <w:t xml:space="preserve"> August </w:t>
      </w:r>
      <w:r w:rsidR="00560820" w:rsidRPr="00DC000F">
        <w:rPr>
          <w:rFonts w:cs="Arial"/>
          <w:szCs w:val="24"/>
        </w:rPr>
        <w:t>2011</w:t>
      </w:r>
      <w:r w:rsidRPr="00DC000F">
        <w:rPr>
          <w:rFonts w:cs="Arial"/>
          <w:szCs w:val="24"/>
        </w:rPr>
        <w:t xml:space="preserve"> </w:t>
      </w:r>
    </w:p>
    <w:p w:rsidR="00905CCC" w:rsidRDefault="003251FA" w:rsidP="003251FA">
      <w:pPr>
        <w:rPr>
          <w:b/>
          <w:sz w:val="28"/>
          <w:szCs w:val="28"/>
          <w:lang w:val="en-US"/>
        </w:rPr>
      </w:pPr>
      <w:r w:rsidRPr="00FE7A3E">
        <w:rPr>
          <w:b/>
          <w:sz w:val="28"/>
          <w:szCs w:val="28"/>
          <w:lang w:val="en-US"/>
        </w:rPr>
        <w:br/>
      </w:r>
    </w:p>
    <w:p w:rsidR="00905CCC" w:rsidRDefault="00CD2B7E" w:rsidP="003251F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Tourism s</w:t>
      </w:r>
      <w:r w:rsidR="00D201EC">
        <w:rPr>
          <w:b/>
          <w:sz w:val="28"/>
          <w:szCs w:val="28"/>
          <w:lang w:val="en-US"/>
        </w:rPr>
        <w:t xml:space="preserve">pending hits from earthquake, ash cloud </w:t>
      </w:r>
      <w:r>
        <w:rPr>
          <w:b/>
          <w:sz w:val="28"/>
          <w:szCs w:val="28"/>
          <w:lang w:val="en-US"/>
        </w:rPr>
        <w:t xml:space="preserve">less </w:t>
      </w:r>
      <w:r w:rsidR="00127683">
        <w:rPr>
          <w:b/>
          <w:sz w:val="28"/>
          <w:szCs w:val="28"/>
          <w:lang w:val="en-US"/>
        </w:rPr>
        <w:t>than</w:t>
      </w:r>
      <w:r w:rsidR="00D201EC">
        <w:rPr>
          <w:b/>
          <w:sz w:val="28"/>
          <w:szCs w:val="28"/>
          <w:lang w:val="en-US"/>
        </w:rPr>
        <w:t xml:space="preserve"> feared</w:t>
      </w:r>
      <w:r w:rsidR="00C563E2">
        <w:rPr>
          <w:b/>
          <w:sz w:val="28"/>
          <w:szCs w:val="28"/>
          <w:lang w:val="en-US"/>
        </w:rPr>
        <w:t xml:space="preserve"> </w:t>
      </w:r>
    </w:p>
    <w:p w:rsidR="00905CCC" w:rsidRDefault="00905CCC" w:rsidP="003251FA">
      <w:pPr>
        <w:rPr>
          <w:b/>
          <w:sz w:val="28"/>
          <w:szCs w:val="28"/>
          <w:lang w:val="en-US"/>
        </w:rPr>
      </w:pPr>
    </w:p>
    <w:p w:rsidR="00905CCC" w:rsidRDefault="00905CCC" w:rsidP="003251FA">
      <w:pPr>
        <w:rPr>
          <w:szCs w:val="24"/>
          <w:lang w:val="en-US"/>
        </w:rPr>
      </w:pPr>
      <w:r>
        <w:rPr>
          <w:szCs w:val="24"/>
          <w:lang w:val="en-US"/>
        </w:rPr>
        <w:t>Significant events such as the Christchurch earthquake and Chilean ash cloud have not caused a</w:t>
      </w:r>
      <w:r w:rsidR="00596A32">
        <w:rPr>
          <w:szCs w:val="24"/>
          <w:lang w:val="en-US"/>
        </w:rPr>
        <w:t>s large a</w:t>
      </w:r>
      <w:r>
        <w:rPr>
          <w:szCs w:val="24"/>
          <w:lang w:val="en-US"/>
        </w:rPr>
        <w:t xml:space="preserve"> fall in tourism spending</w:t>
      </w:r>
      <w:r w:rsidR="00596A32">
        <w:rPr>
          <w:szCs w:val="24"/>
          <w:lang w:val="en-US"/>
        </w:rPr>
        <w:t xml:space="preserve"> as might have been feared</w:t>
      </w:r>
      <w:r>
        <w:rPr>
          <w:szCs w:val="24"/>
          <w:lang w:val="en-US"/>
        </w:rPr>
        <w:t xml:space="preserve">, research from the </w:t>
      </w:r>
      <w:r w:rsidRPr="00905CCC">
        <w:rPr>
          <w:szCs w:val="24"/>
          <w:lang w:val="en-US"/>
        </w:rPr>
        <w:t>Ministry of Economic Development</w:t>
      </w:r>
      <w:r>
        <w:rPr>
          <w:szCs w:val="24"/>
          <w:lang w:val="en-US"/>
        </w:rPr>
        <w:t xml:space="preserve"> shows. </w:t>
      </w:r>
    </w:p>
    <w:p w:rsidR="00905CCC" w:rsidRDefault="00905CCC" w:rsidP="003251FA">
      <w:pPr>
        <w:rPr>
          <w:szCs w:val="24"/>
          <w:lang w:val="en-US"/>
        </w:rPr>
      </w:pPr>
    </w:p>
    <w:p w:rsidR="00F8012B" w:rsidRDefault="00905CCC" w:rsidP="003251FA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 xml:space="preserve">Spending by international </w:t>
      </w:r>
      <w:r w:rsidR="00C34CF1">
        <w:rPr>
          <w:szCs w:val="24"/>
          <w:lang w:val="en-US"/>
        </w:rPr>
        <w:t xml:space="preserve">visitors </w:t>
      </w:r>
      <w:r>
        <w:rPr>
          <w:szCs w:val="24"/>
          <w:lang w:val="en-US"/>
        </w:rPr>
        <w:t>dropped b</w:t>
      </w:r>
      <w:r w:rsidR="00F8012B">
        <w:rPr>
          <w:szCs w:val="24"/>
          <w:lang w:val="en-US"/>
        </w:rPr>
        <w:t xml:space="preserve">y 6.5 percent </w:t>
      </w:r>
      <w:r w:rsidR="00DD5D9D">
        <w:rPr>
          <w:szCs w:val="24"/>
          <w:lang w:val="en-US"/>
        </w:rPr>
        <w:t xml:space="preserve">to $5.6 billion </w:t>
      </w:r>
      <w:r w:rsidR="00C34CF1">
        <w:rPr>
          <w:szCs w:val="24"/>
          <w:lang w:val="en-US"/>
        </w:rPr>
        <w:t>in the year ending June 2011</w:t>
      </w:r>
      <w:r w:rsidR="00F8012B">
        <w:rPr>
          <w:szCs w:val="24"/>
          <w:lang w:val="en-US"/>
        </w:rPr>
        <w:t>, according to the International Visitors’ Survey, the first to fully cover the events of Christchurch an</w:t>
      </w:r>
      <w:r w:rsidR="00596A32">
        <w:rPr>
          <w:szCs w:val="24"/>
          <w:lang w:val="en-US"/>
        </w:rPr>
        <w:t>d the Chilean volcano.</w:t>
      </w:r>
      <w:proofErr w:type="gramEnd"/>
      <w:r w:rsidR="00F8012B">
        <w:rPr>
          <w:szCs w:val="24"/>
          <w:lang w:val="en-US"/>
        </w:rPr>
        <w:t xml:space="preserve"> </w:t>
      </w:r>
    </w:p>
    <w:p w:rsidR="00F8012B" w:rsidRDefault="00F8012B" w:rsidP="003251FA">
      <w:pPr>
        <w:rPr>
          <w:szCs w:val="24"/>
          <w:lang w:val="en-US"/>
        </w:rPr>
      </w:pPr>
    </w:p>
    <w:p w:rsidR="00905CCC" w:rsidRDefault="00F8012B" w:rsidP="003251FA">
      <w:pPr>
        <w:rPr>
          <w:szCs w:val="24"/>
          <w:lang w:val="en-US"/>
        </w:rPr>
      </w:pPr>
      <w:r w:rsidRPr="00F8012B">
        <w:rPr>
          <w:szCs w:val="24"/>
          <w:lang w:val="en-US"/>
        </w:rPr>
        <w:t>Ministry of Economic Development</w:t>
      </w:r>
      <w:r w:rsidR="00C563E2">
        <w:rPr>
          <w:szCs w:val="24"/>
          <w:lang w:val="en-US"/>
        </w:rPr>
        <w:t>’s</w:t>
      </w:r>
      <w:r>
        <w:rPr>
          <w:szCs w:val="24"/>
          <w:lang w:val="en-US"/>
        </w:rPr>
        <w:t xml:space="preserve"> Tourism Research and Evaluation</w:t>
      </w:r>
      <w:r w:rsidRPr="00F8012B">
        <w:rPr>
          <w:szCs w:val="24"/>
          <w:lang w:val="en-US"/>
        </w:rPr>
        <w:t xml:space="preserve"> </w:t>
      </w:r>
      <w:r w:rsidR="00A7321B">
        <w:rPr>
          <w:szCs w:val="24"/>
          <w:lang w:val="en-US"/>
        </w:rPr>
        <w:t xml:space="preserve">Manager, Peter Ellis, said the </w:t>
      </w:r>
      <w:r w:rsidR="000F541F">
        <w:rPr>
          <w:szCs w:val="24"/>
          <w:lang w:val="en-US"/>
        </w:rPr>
        <w:t>drop in spending is consistent with the previous survey, which covered the year to March.</w:t>
      </w:r>
      <w:r w:rsidR="007C564E">
        <w:rPr>
          <w:szCs w:val="24"/>
          <w:lang w:val="en-US"/>
        </w:rPr>
        <w:t xml:space="preserve"> </w:t>
      </w:r>
    </w:p>
    <w:p w:rsidR="00A7321B" w:rsidRDefault="00A7321B" w:rsidP="003251FA">
      <w:pPr>
        <w:rPr>
          <w:szCs w:val="24"/>
          <w:lang w:val="en-US"/>
        </w:rPr>
      </w:pPr>
    </w:p>
    <w:p w:rsidR="00A7321B" w:rsidRDefault="00A7321B" w:rsidP="003251FA">
      <w:pPr>
        <w:rPr>
          <w:szCs w:val="24"/>
          <w:lang w:val="en-US"/>
        </w:rPr>
      </w:pPr>
      <w:r>
        <w:rPr>
          <w:szCs w:val="24"/>
          <w:lang w:val="en-US"/>
        </w:rPr>
        <w:t xml:space="preserve">“Spending by international tourists has been </w:t>
      </w:r>
      <w:r w:rsidR="007C564E">
        <w:rPr>
          <w:szCs w:val="24"/>
          <w:lang w:val="en-US"/>
        </w:rPr>
        <w:t xml:space="preserve">dropping for </w:t>
      </w:r>
      <w:r w:rsidR="008B2F54">
        <w:rPr>
          <w:szCs w:val="24"/>
          <w:lang w:val="en-US"/>
        </w:rPr>
        <w:t>over a year</w:t>
      </w:r>
      <w:r w:rsidR="007C564E">
        <w:rPr>
          <w:szCs w:val="24"/>
          <w:lang w:val="en-US"/>
        </w:rPr>
        <w:t xml:space="preserve"> even though the number arriving remains pretty constant. </w:t>
      </w:r>
      <w:r w:rsidR="000F541F">
        <w:rPr>
          <w:szCs w:val="24"/>
          <w:lang w:val="en-US"/>
        </w:rPr>
        <w:t xml:space="preserve">One significant </w:t>
      </w:r>
      <w:r w:rsidR="007C564E">
        <w:rPr>
          <w:szCs w:val="24"/>
          <w:lang w:val="en-US"/>
        </w:rPr>
        <w:t xml:space="preserve">reason </w:t>
      </w:r>
      <w:r w:rsidR="003F7C81">
        <w:rPr>
          <w:szCs w:val="24"/>
          <w:lang w:val="en-US"/>
        </w:rPr>
        <w:t xml:space="preserve">tourists </w:t>
      </w:r>
      <w:r w:rsidR="007C564E">
        <w:rPr>
          <w:szCs w:val="24"/>
          <w:lang w:val="en-US"/>
        </w:rPr>
        <w:t xml:space="preserve">are spending less </w:t>
      </w:r>
      <w:r w:rsidR="003F7C81">
        <w:rPr>
          <w:szCs w:val="24"/>
          <w:lang w:val="en-US"/>
        </w:rPr>
        <w:t xml:space="preserve">per visit still </w:t>
      </w:r>
      <w:r w:rsidR="007C564E">
        <w:rPr>
          <w:szCs w:val="24"/>
          <w:lang w:val="en-US"/>
        </w:rPr>
        <w:t xml:space="preserve">appears to be the </w:t>
      </w:r>
      <w:r w:rsidR="002E64E8">
        <w:rPr>
          <w:szCs w:val="24"/>
          <w:lang w:val="en-US"/>
        </w:rPr>
        <w:t xml:space="preserve">extremely </w:t>
      </w:r>
      <w:r w:rsidR="007C564E">
        <w:rPr>
          <w:szCs w:val="24"/>
          <w:lang w:val="en-US"/>
        </w:rPr>
        <w:t xml:space="preserve">high </w:t>
      </w:r>
      <w:r w:rsidR="000F541F">
        <w:rPr>
          <w:szCs w:val="24"/>
          <w:lang w:val="en-US"/>
        </w:rPr>
        <w:t xml:space="preserve">New Zealand </w:t>
      </w:r>
      <w:r w:rsidR="007C564E">
        <w:rPr>
          <w:szCs w:val="24"/>
          <w:lang w:val="en-US"/>
        </w:rPr>
        <w:t>dollar</w:t>
      </w:r>
      <w:r w:rsidR="004A7589">
        <w:rPr>
          <w:szCs w:val="24"/>
          <w:lang w:val="en-US"/>
        </w:rPr>
        <w:t xml:space="preserve"> </w:t>
      </w:r>
      <w:r w:rsidR="00FE6CAB">
        <w:rPr>
          <w:szCs w:val="24"/>
          <w:lang w:val="en-US"/>
        </w:rPr>
        <w:t>in relation to</w:t>
      </w:r>
      <w:r w:rsidR="004A7589">
        <w:rPr>
          <w:szCs w:val="24"/>
          <w:lang w:val="en-US"/>
        </w:rPr>
        <w:t xml:space="preserve"> currencies other than the Australian dollar</w:t>
      </w:r>
      <w:r w:rsidR="00FE6CAB">
        <w:rPr>
          <w:szCs w:val="24"/>
          <w:lang w:val="en-US"/>
        </w:rPr>
        <w:t xml:space="preserve">,” </w:t>
      </w:r>
      <w:proofErr w:type="spellStart"/>
      <w:r w:rsidR="00FE6CAB">
        <w:rPr>
          <w:szCs w:val="24"/>
          <w:lang w:val="en-US"/>
        </w:rPr>
        <w:t>Mr</w:t>
      </w:r>
      <w:proofErr w:type="spellEnd"/>
      <w:r w:rsidR="00FE6CAB">
        <w:rPr>
          <w:szCs w:val="24"/>
          <w:lang w:val="en-US"/>
        </w:rPr>
        <w:t> </w:t>
      </w:r>
      <w:r w:rsidR="007C564E">
        <w:rPr>
          <w:szCs w:val="24"/>
          <w:lang w:val="en-US"/>
        </w:rPr>
        <w:t>Ellis said.</w:t>
      </w:r>
    </w:p>
    <w:p w:rsidR="00F8012B" w:rsidRDefault="00F8012B" w:rsidP="003251FA">
      <w:pPr>
        <w:rPr>
          <w:szCs w:val="24"/>
          <w:lang w:val="en-US"/>
        </w:rPr>
      </w:pPr>
    </w:p>
    <w:p w:rsidR="00F8012B" w:rsidRDefault="00C563E2" w:rsidP="003251FA">
      <w:pPr>
        <w:rPr>
          <w:szCs w:val="24"/>
          <w:lang w:val="en-US"/>
        </w:rPr>
      </w:pPr>
      <w:r>
        <w:rPr>
          <w:szCs w:val="24"/>
          <w:lang w:val="en-US"/>
        </w:rPr>
        <w:t>“The</w:t>
      </w:r>
      <w:r w:rsidR="008B2F54">
        <w:rPr>
          <w:szCs w:val="24"/>
          <w:lang w:val="en-US"/>
        </w:rPr>
        <w:t xml:space="preserve"> Christchurch earthquakes and the flight schedule havoc caused by the Chilean volcano </w:t>
      </w:r>
      <w:r w:rsidR="00D201EC">
        <w:rPr>
          <w:szCs w:val="24"/>
          <w:lang w:val="en-US"/>
        </w:rPr>
        <w:t>haven’t damage</w:t>
      </w:r>
      <w:r w:rsidR="00FE6CAB">
        <w:rPr>
          <w:szCs w:val="24"/>
          <w:lang w:val="en-US"/>
        </w:rPr>
        <w:t>d</w:t>
      </w:r>
      <w:r w:rsidR="000467ED">
        <w:rPr>
          <w:szCs w:val="24"/>
          <w:lang w:val="en-US"/>
        </w:rPr>
        <w:t xml:space="preserve"> tourism </w:t>
      </w:r>
      <w:r w:rsidR="00D201EC">
        <w:rPr>
          <w:szCs w:val="24"/>
          <w:lang w:val="en-US"/>
        </w:rPr>
        <w:t xml:space="preserve">as </w:t>
      </w:r>
      <w:r w:rsidR="00FE6CAB">
        <w:rPr>
          <w:szCs w:val="24"/>
          <w:lang w:val="en-US"/>
        </w:rPr>
        <w:t xml:space="preserve">much as </w:t>
      </w:r>
      <w:r w:rsidR="00D201EC">
        <w:rPr>
          <w:szCs w:val="24"/>
          <w:lang w:val="en-US"/>
        </w:rPr>
        <w:t xml:space="preserve">feared. </w:t>
      </w:r>
      <w:r w:rsidR="002E64E8">
        <w:rPr>
          <w:szCs w:val="24"/>
          <w:lang w:val="en-US"/>
        </w:rPr>
        <w:t>These adverse events had their main impact during what is always the low tourism season. On an annual basis t</w:t>
      </w:r>
      <w:r w:rsidR="00D201EC">
        <w:rPr>
          <w:szCs w:val="24"/>
          <w:lang w:val="en-US"/>
        </w:rPr>
        <w:t xml:space="preserve">he arrivals </w:t>
      </w:r>
      <w:r w:rsidR="00BA40B9">
        <w:rPr>
          <w:szCs w:val="24"/>
          <w:lang w:val="en-US"/>
        </w:rPr>
        <w:t xml:space="preserve">have held up </w:t>
      </w:r>
      <w:r w:rsidR="00D201EC">
        <w:rPr>
          <w:szCs w:val="24"/>
          <w:lang w:val="en-US"/>
        </w:rPr>
        <w:t xml:space="preserve">and spending </w:t>
      </w:r>
      <w:r w:rsidR="00BA40B9">
        <w:rPr>
          <w:szCs w:val="24"/>
          <w:lang w:val="en-US"/>
        </w:rPr>
        <w:t>hasn’t collapsed.”</w:t>
      </w:r>
    </w:p>
    <w:p w:rsidR="00C563E2" w:rsidRDefault="00C563E2" w:rsidP="003251FA">
      <w:pPr>
        <w:rPr>
          <w:szCs w:val="24"/>
          <w:lang w:val="en-US"/>
        </w:rPr>
      </w:pPr>
    </w:p>
    <w:p w:rsidR="008077D6" w:rsidRDefault="00C563E2" w:rsidP="003251FA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Spending by British and American tourists dropped by 18 percent and 14 percent respectively.</w:t>
      </w:r>
      <w:proofErr w:type="gramEnd"/>
      <w:r>
        <w:rPr>
          <w:szCs w:val="24"/>
          <w:lang w:val="en-US"/>
        </w:rPr>
        <w:t xml:space="preserve"> </w:t>
      </w:r>
    </w:p>
    <w:p w:rsidR="008077D6" w:rsidRDefault="008077D6" w:rsidP="003251FA">
      <w:pPr>
        <w:rPr>
          <w:szCs w:val="24"/>
          <w:lang w:val="en-US"/>
        </w:rPr>
      </w:pPr>
    </w:p>
    <w:p w:rsidR="00C563E2" w:rsidRDefault="00F97765" w:rsidP="003251FA">
      <w:pPr>
        <w:rPr>
          <w:szCs w:val="24"/>
          <w:lang w:val="en-US"/>
        </w:rPr>
      </w:pPr>
      <w:r>
        <w:rPr>
          <w:szCs w:val="24"/>
          <w:lang w:val="en-US"/>
        </w:rPr>
        <w:t>Spending by Australians, our biggest market, dropped by almost six per</w:t>
      </w:r>
      <w:r w:rsidR="008A6B9E">
        <w:rPr>
          <w:szCs w:val="24"/>
          <w:lang w:val="en-US"/>
        </w:rPr>
        <w:t xml:space="preserve">cent as holidaymakers </w:t>
      </w:r>
      <w:r w:rsidR="000F541F">
        <w:rPr>
          <w:szCs w:val="24"/>
          <w:lang w:val="en-US"/>
        </w:rPr>
        <w:t xml:space="preserve">made </w:t>
      </w:r>
      <w:r w:rsidR="008A6B9E">
        <w:rPr>
          <w:szCs w:val="24"/>
          <w:lang w:val="en-US"/>
        </w:rPr>
        <w:t xml:space="preserve">use of their </w:t>
      </w:r>
      <w:r w:rsidR="007D4E8C">
        <w:rPr>
          <w:szCs w:val="24"/>
          <w:lang w:val="en-US"/>
        </w:rPr>
        <w:t xml:space="preserve">strong </w:t>
      </w:r>
      <w:r w:rsidR="008A6B9E">
        <w:rPr>
          <w:szCs w:val="24"/>
          <w:lang w:val="en-US"/>
        </w:rPr>
        <w:t xml:space="preserve">dollar in other markets. </w:t>
      </w:r>
      <w:r w:rsidR="006F4DAC">
        <w:rPr>
          <w:szCs w:val="24"/>
          <w:lang w:val="en-US"/>
        </w:rPr>
        <w:t>The number of Australian residents visiting New Zealand to see friends and relatives is increasing, while</w:t>
      </w:r>
      <w:r w:rsidR="000F541F">
        <w:rPr>
          <w:szCs w:val="24"/>
          <w:lang w:val="en-US"/>
        </w:rPr>
        <w:t xml:space="preserve"> the </w:t>
      </w:r>
      <w:r w:rsidR="009C697B">
        <w:rPr>
          <w:szCs w:val="24"/>
          <w:lang w:val="en-US"/>
        </w:rPr>
        <w:t>higher spending holiday</w:t>
      </w:r>
      <w:r w:rsidR="006F4DAC">
        <w:rPr>
          <w:szCs w:val="24"/>
          <w:lang w:val="en-US"/>
        </w:rPr>
        <w:t xml:space="preserve">makers </w:t>
      </w:r>
      <w:r w:rsidR="00125385">
        <w:rPr>
          <w:szCs w:val="24"/>
          <w:lang w:val="en-US"/>
        </w:rPr>
        <w:t>are decreasing</w:t>
      </w:r>
      <w:r w:rsidR="006F4DAC">
        <w:rPr>
          <w:szCs w:val="24"/>
          <w:lang w:val="en-US"/>
        </w:rPr>
        <w:t xml:space="preserve"> in number and spent 11 percent less than in the previous year.</w:t>
      </w:r>
    </w:p>
    <w:p w:rsidR="008A6B9E" w:rsidRDefault="008A6B9E" w:rsidP="003251FA">
      <w:pPr>
        <w:rPr>
          <w:szCs w:val="24"/>
          <w:lang w:val="en-US"/>
        </w:rPr>
      </w:pPr>
    </w:p>
    <w:p w:rsidR="00CE56DA" w:rsidRDefault="008A6B9E" w:rsidP="00AB55D8">
      <w:pPr>
        <w:rPr>
          <w:rFonts w:cs="Calibri"/>
          <w:b/>
          <w:lang w:val="en-US"/>
        </w:rPr>
      </w:pPr>
      <w:r>
        <w:rPr>
          <w:szCs w:val="24"/>
          <w:lang w:val="en-US"/>
        </w:rPr>
        <w:t>Spending by Korean and Chinese tourists continued to increase</w:t>
      </w:r>
      <w:r w:rsidR="008077D6">
        <w:rPr>
          <w:szCs w:val="24"/>
          <w:lang w:val="en-US"/>
        </w:rPr>
        <w:t>.  Koreans currently account for four percent of international tourist expenditure in New Zealand, and Chinese for seven percent</w:t>
      </w:r>
      <w:r>
        <w:rPr>
          <w:szCs w:val="24"/>
          <w:lang w:val="en-US"/>
        </w:rPr>
        <w:t>.</w:t>
      </w:r>
      <w:r w:rsidR="008077D6">
        <w:rPr>
          <w:szCs w:val="24"/>
          <w:lang w:val="en-US"/>
        </w:rPr>
        <w:t xml:space="preserve">  </w:t>
      </w:r>
    </w:p>
    <w:p w:rsidR="00CE56DA" w:rsidRDefault="00CE56DA" w:rsidP="00AB55D8">
      <w:pPr>
        <w:rPr>
          <w:rFonts w:cs="Calibri"/>
          <w:b/>
          <w:lang w:val="en-US"/>
        </w:rPr>
      </w:pPr>
    </w:p>
    <w:p w:rsidR="00360ED6" w:rsidRDefault="00AB55D8" w:rsidP="00CE56DA">
      <w:pPr>
        <w:rPr>
          <w:szCs w:val="24"/>
        </w:rPr>
      </w:pPr>
      <w:r w:rsidRPr="00FA5EA5">
        <w:rPr>
          <w:rFonts w:cs="Calibri"/>
          <w:b/>
          <w:lang w:val="en-US"/>
        </w:rPr>
        <w:t xml:space="preserve">For more information </w:t>
      </w:r>
      <w:r>
        <w:rPr>
          <w:rFonts w:cs="Calibri"/>
          <w:b/>
          <w:lang w:val="en-US"/>
        </w:rPr>
        <w:t>visits the Ministry’s tourism research website (</w:t>
      </w:r>
      <w:hyperlink r:id="rId9" w:history="1">
        <w:r w:rsidRPr="0025495B">
          <w:rPr>
            <w:rStyle w:val="Hyperlink"/>
            <w:rFonts w:cs="Calibri"/>
            <w:b/>
            <w:lang w:val="en-US"/>
          </w:rPr>
          <w:t>www.tourismresearch.govt.nz/ivs</w:t>
        </w:r>
      </w:hyperlink>
      <w:r>
        <w:rPr>
          <w:rFonts w:cs="Calibri"/>
          <w:b/>
          <w:lang w:val="en-US"/>
        </w:rPr>
        <w:t xml:space="preserve">) or </w:t>
      </w:r>
      <w:r w:rsidRPr="00FA5EA5">
        <w:rPr>
          <w:rFonts w:cs="Calibri"/>
          <w:b/>
          <w:lang w:val="en-US"/>
        </w:rPr>
        <w:t xml:space="preserve">contact Tourism Research </w:t>
      </w:r>
      <w:r>
        <w:rPr>
          <w:rFonts w:cs="Calibri"/>
          <w:b/>
          <w:lang w:val="en-US"/>
        </w:rPr>
        <w:t xml:space="preserve">and Evaluation </w:t>
      </w:r>
      <w:r w:rsidRPr="00FA5EA5">
        <w:rPr>
          <w:rFonts w:cs="Calibri"/>
          <w:b/>
          <w:lang w:val="en-US"/>
        </w:rPr>
        <w:t>Manager Peter Ellis at 0</w:t>
      </w:r>
      <w:r w:rsidRPr="00FA5EA5">
        <w:rPr>
          <w:rFonts w:cs="Calibri"/>
          <w:b/>
          <w:color w:val="333333"/>
        </w:rPr>
        <w:t xml:space="preserve">4 498 7448 or </w:t>
      </w:r>
      <w:r w:rsidRPr="00FA5EA5">
        <w:rPr>
          <w:rFonts w:cs="Calibri"/>
          <w:b/>
          <w:lang w:val="en-GB"/>
        </w:rPr>
        <w:t>029</w:t>
      </w:r>
      <w:r>
        <w:rPr>
          <w:rFonts w:cs="Calibri"/>
          <w:b/>
          <w:lang w:val="en-GB"/>
        </w:rPr>
        <w:t xml:space="preserve"> </w:t>
      </w:r>
      <w:r w:rsidRPr="00FA5EA5">
        <w:rPr>
          <w:rFonts w:cs="Calibri"/>
          <w:b/>
          <w:lang w:val="en-GB"/>
        </w:rPr>
        <w:t>771</w:t>
      </w:r>
      <w:r>
        <w:rPr>
          <w:rFonts w:cs="Calibri"/>
          <w:b/>
          <w:lang w:val="en-GB"/>
        </w:rPr>
        <w:t xml:space="preserve"> </w:t>
      </w:r>
      <w:r w:rsidRPr="00FA5EA5">
        <w:rPr>
          <w:rFonts w:cs="Calibri"/>
          <w:b/>
          <w:lang w:val="en-GB"/>
        </w:rPr>
        <w:t xml:space="preserve">0135 or on </w:t>
      </w:r>
      <w:hyperlink r:id="rId10" w:history="1">
        <w:r w:rsidR="00F8780C" w:rsidRPr="007F612F">
          <w:rPr>
            <w:rStyle w:val="Hyperlink"/>
            <w:rFonts w:cs="Calibri"/>
            <w:b/>
            <w:lang w:val="en-GB"/>
          </w:rPr>
          <w:t>peter.ellis@med.govt.nz</w:t>
        </w:r>
      </w:hyperlink>
      <w:r w:rsidR="00CE56DA">
        <w:rPr>
          <w:szCs w:val="24"/>
        </w:rPr>
        <w:t>.</w:t>
      </w:r>
    </w:p>
    <w:p w:rsidR="00F8780C" w:rsidRPr="00094054" w:rsidRDefault="00F8780C" w:rsidP="00F8780C">
      <w:pPr>
        <w:rPr>
          <w:rFonts w:cs="Arial"/>
          <w:spacing w:val="20"/>
          <w:sz w:val="36"/>
          <w:szCs w:val="36"/>
        </w:rPr>
      </w:pPr>
      <w:r w:rsidRPr="00094054">
        <w:rPr>
          <w:rFonts w:cs="Arial"/>
          <w:spacing w:val="20"/>
          <w:sz w:val="36"/>
          <w:szCs w:val="36"/>
        </w:rPr>
        <w:lastRenderedPageBreak/>
        <w:t>Supplementary Data Sheet</w:t>
      </w:r>
    </w:p>
    <w:p w:rsidR="00F8780C" w:rsidRPr="002C7794" w:rsidRDefault="00F8780C" w:rsidP="00F8780C">
      <w:pPr>
        <w:rPr>
          <w:rFonts w:cs="Arial"/>
          <w:b/>
          <w:sz w:val="32"/>
          <w:szCs w:val="32"/>
        </w:rPr>
      </w:pPr>
    </w:p>
    <w:p w:rsidR="00F8780C" w:rsidRDefault="00F8780C" w:rsidP="00F8780C">
      <w:pPr>
        <w:rPr>
          <w:b/>
        </w:rPr>
      </w:pPr>
      <w:r w:rsidRPr="002C7794">
        <w:rPr>
          <w:b/>
        </w:rPr>
        <w:t>I</w:t>
      </w:r>
      <w:r>
        <w:rPr>
          <w:b/>
        </w:rPr>
        <w:t xml:space="preserve">nternational </w:t>
      </w:r>
      <w:r w:rsidRPr="002C7794">
        <w:rPr>
          <w:b/>
        </w:rPr>
        <w:t>V</w:t>
      </w:r>
      <w:r>
        <w:rPr>
          <w:b/>
        </w:rPr>
        <w:t xml:space="preserve">isitor </w:t>
      </w:r>
      <w:r w:rsidRPr="002C7794">
        <w:rPr>
          <w:b/>
        </w:rPr>
        <w:t>S</w:t>
      </w:r>
      <w:r>
        <w:rPr>
          <w:b/>
        </w:rPr>
        <w:t>urvey,</w:t>
      </w:r>
      <w:r w:rsidRPr="002C7794">
        <w:rPr>
          <w:b/>
        </w:rPr>
        <w:t xml:space="preserve"> year ended </w:t>
      </w:r>
      <w:r>
        <w:rPr>
          <w:b/>
        </w:rPr>
        <w:t xml:space="preserve">June 2011 </w:t>
      </w:r>
    </w:p>
    <w:p w:rsidR="00F8780C" w:rsidRPr="002C7794" w:rsidRDefault="00F8780C" w:rsidP="00F8780C">
      <w:pPr>
        <w:rPr>
          <w:b/>
        </w:rPr>
      </w:pPr>
      <w:r>
        <w:rPr>
          <w:sz w:val="20"/>
        </w:rPr>
        <w:t>(P</w:t>
      </w:r>
      <w:r w:rsidRPr="002C7794">
        <w:rPr>
          <w:sz w:val="20"/>
        </w:rPr>
        <w:t xml:space="preserve">repared by the </w:t>
      </w:r>
      <w:r>
        <w:rPr>
          <w:sz w:val="20"/>
        </w:rPr>
        <w:t xml:space="preserve">Tourism Strategy Group at </w:t>
      </w:r>
      <w:r w:rsidRPr="002C7794">
        <w:rPr>
          <w:sz w:val="20"/>
        </w:rPr>
        <w:t xml:space="preserve">Ministry of </w:t>
      </w:r>
      <w:r>
        <w:rPr>
          <w:sz w:val="20"/>
        </w:rPr>
        <w:t>Economic Development</w:t>
      </w:r>
      <w:r w:rsidRPr="002C7794">
        <w:rPr>
          <w:sz w:val="20"/>
        </w:rPr>
        <w:t>)</w:t>
      </w:r>
    </w:p>
    <w:p w:rsidR="00F8780C" w:rsidRPr="002C7794" w:rsidRDefault="00F8780C" w:rsidP="00F8780C"/>
    <w:p w:rsidR="00F8780C" w:rsidRPr="002C7794" w:rsidRDefault="00F8780C" w:rsidP="00F8780C">
      <w:pPr>
        <w:rPr>
          <w:b/>
          <w:sz w:val="20"/>
        </w:rPr>
      </w:pPr>
      <w:r w:rsidRPr="002C7794">
        <w:rPr>
          <w:b/>
          <w:sz w:val="20"/>
        </w:rPr>
        <w:t xml:space="preserve">Table 1: </w:t>
      </w:r>
      <w:r>
        <w:rPr>
          <w:b/>
          <w:sz w:val="20"/>
        </w:rPr>
        <w:t>International visitor spend by k</w:t>
      </w:r>
      <w:r w:rsidRPr="002C7794">
        <w:rPr>
          <w:b/>
          <w:sz w:val="20"/>
        </w:rPr>
        <w:t xml:space="preserve">ey </w:t>
      </w:r>
      <w:r>
        <w:rPr>
          <w:b/>
          <w:sz w:val="20"/>
        </w:rPr>
        <w:t>m</w:t>
      </w:r>
      <w:r w:rsidRPr="002C7794">
        <w:rPr>
          <w:b/>
          <w:sz w:val="20"/>
        </w:rPr>
        <w:t xml:space="preserve">arkets for year ended </w:t>
      </w:r>
      <w:r>
        <w:rPr>
          <w:b/>
          <w:sz w:val="20"/>
        </w:rPr>
        <w:t xml:space="preserve">June 2011 </w:t>
      </w:r>
      <w:r>
        <w:rPr>
          <w:b/>
          <w:sz w:val="20"/>
        </w:rPr>
        <w:br/>
        <w:t>(in NZ$ million)</w:t>
      </w:r>
    </w:p>
    <w:tbl>
      <w:tblPr>
        <w:tblW w:w="4931" w:type="pct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3"/>
        <w:gridCol w:w="774"/>
        <w:gridCol w:w="817"/>
        <w:gridCol w:w="799"/>
        <w:gridCol w:w="796"/>
        <w:gridCol w:w="797"/>
        <w:gridCol w:w="1305"/>
        <w:gridCol w:w="1369"/>
      </w:tblGrid>
      <w:tr w:rsidR="00F8780C" w:rsidRPr="002C7794" w:rsidTr="00C45F5E">
        <w:trPr>
          <w:trHeight w:val="397"/>
          <w:jc w:val="center"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Key</w:t>
            </w:r>
            <w:r w:rsidRPr="002C7794">
              <w:rPr>
                <w:rFonts w:cs="Arial"/>
                <w:b/>
                <w:sz w:val="20"/>
                <w:lang w:val="en-GB" w:eastAsia="en-GB"/>
              </w:rPr>
              <w:t xml:space="preserve"> Markets</w:t>
            </w:r>
            <w:r>
              <w:rPr>
                <w:rFonts w:cs="Arial"/>
                <w:b/>
                <w:sz w:val="20"/>
                <w:lang w:val="en-GB" w:eastAsia="en-GB"/>
              </w:rPr>
              <w:br/>
            </w:r>
            <w:r>
              <w:rPr>
                <w:b/>
                <w:sz w:val="20"/>
              </w:rPr>
              <w:t>(in NZ$ million)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C66CD5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20</w:t>
            </w:r>
            <w:r>
              <w:rPr>
                <w:rFonts w:cs="Arial"/>
                <w:b/>
                <w:sz w:val="20"/>
                <w:lang w:val="en-GB" w:eastAsia="en-GB"/>
              </w:rPr>
              <w:t>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20</w:t>
            </w:r>
            <w:r>
              <w:rPr>
                <w:rFonts w:cs="Arial"/>
                <w:b/>
                <w:sz w:val="20"/>
                <w:lang w:val="en-GB" w:eastAsia="en-GB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>
              <w:rPr>
                <w:rFonts w:cs="Arial"/>
                <w:b/>
                <w:sz w:val="20"/>
                <w:lang w:val="de-DE" w:eastAsia="en-GB"/>
              </w:rPr>
              <w:t>2010/2011</w:t>
            </w:r>
          </w:p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 w:rsidRPr="002C7794">
              <w:rPr>
                <w:rFonts w:cs="Arial"/>
                <w:b/>
                <w:sz w:val="20"/>
                <w:lang w:val="de-DE" w:eastAsia="en-GB"/>
              </w:rPr>
              <w:t>Change</w:t>
            </w:r>
            <w:r>
              <w:rPr>
                <w:rFonts w:cs="Arial"/>
                <w:b/>
                <w:sz w:val="20"/>
                <w:lang w:val="de-DE" w:eastAsia="en-GB"/>
              </w:rPr>
              <w:t>*</w:t>
            </w:r>
            <w:r w:rsidRPr="002C7794">
              <w:rPr>
                <w:rFonts w:cs="Arial"/>
                <w:b/>
                <w:sz w:val="20"/>
                <w:lang w:val="de-DE" w:eastAsia="en-GB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>
              <w:rPr>
                <w:rFonts w:cs="Arial"/>
                <w:b/>
                <w:sz w:val="20"/>
                <w:lang w:val="de-DE" w:eastAsia="en-GB"/>
              </w:rPr>
              <w:t>2010/2011</w:t>
            </w:r>
          </w:p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 w:rsidRPr="002C7794">
              <w:rPr>
                <w:rFonts w:cs="Arial"/>
                <w:b/>
                <w:sz w:val="20"/>
                <w:lang w:val="de-DE" w:eastAsia="en-GB"/>
              </w:rPr>
              <w:t xml:space="preserve">% Change 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single" w:sz="4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Australia</w:t>
                </w:r>
              </w:smartTag>
            </w:smartTag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1,453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1,637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1,642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-5.8%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UK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-130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-18.4%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USA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-71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-13.9%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 w:val="18"/>
                    <w:szCs w:val="16"/>
                  </w:rPr>
                  <w:t>Japan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-87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-24.4%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 w:val="18"/>
                    <w:szCs w:val="16"/>
                  </w:rPr>
                  <w:t>Korea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11.5%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 w:val="18"/>
                    <w:szCs w:val="16"/>
                  </w:rPr>
                  <w:t>China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12.4%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Germany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-14.4%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r w:rsidRPr="00D02D7B">
              <w:rPr>
                <w:rFonts w:cs="Arial"/>
                <w:b/>
                <w:sz w:val="18"/>
                <w:szCs w:val="16"/>
              </w:rPr>
              <w:t>Other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1,705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1,669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1,705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1,793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1,763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-1.6%</w:t>
            </w:r>
          </w:p>
        </w:tc>
      </w:tr>
      <w:tr w:rsidR="00F8780C" w:rsidRPr="002C7794" w:rsidTr="00C45F5E">
        <w:trPr>
          <w:trHeight w:val="255"/>
          <w:jc w:val="center"/>
        </w:trPr>
        <w:tc>
          <w:tcPr>
            <w:tcW w:w="1042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r w:rsidRPr="00D02D7B">
              <w:rPr>
                <w:rFonts w:cs="Arial"/>
                <w:b/>
                <w:sz w:val="18"/>
                <w:szCs w:val="16"/>
              </w:rPr>
              <w:t>Total Spend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5,902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6,177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5,992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5,953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5,564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-390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-6.5%</w:t>
            </w:r>
          </w:p>
        </w:tc>
      </w:tr>
    </w:tbl>
    <w:p w:rsidR="00F8780C" w:rsidRDefault="00F8780C" w:rsidP="00F8780C">
      <w:pPr>
        <w:rPr>
          <w:sz w:val="16"/>
          <w:szCs w:val="16"/>
        </w:rPr>
      </w:pPr>
    </w:p>
    <w:p w:rsidR="00F8780C" w:rsidRPr="00110AFA" w:rsidRDefault="00F8780C" w:rsidP="00F8780C">
      <w:pPr>
        <w:rPr>
          <w:sz w:val="16"/>
          <w:szCs w:val="16"/>
        </w:rPr>
      </w:pPr>
      <w:r w:rsidRPr="00110AFA">
        <w:rPr>
          <w:sz w:val="16"/>
          <w:szCs w:val="16"/>
        </w:rPr>
        <w:t xml:space="preserve">*Totals may not add due to rounding. </w:t>
      </w:r>
    </w:p>
    <w:p w:rsidR="00F8780C" w:rsidRDefault="00F8780C" w:rsidP="00F8780C">
      <w:pPr>
        <w:rPr>
          <w:sz w:val="16"/>
          <w:szCs w:val="16"/>
        </w:rPr>
      </w:pPr>
    </w:p>
    <w:p w:rsidR="00F8780C" w:rsidRDefault="00F8780C" w:rsidP="00F8780C">
      <w:pPr>
        <w:rPr>
          <w:b/>
          <w:sz w:val="20"/>
        </w:rPr>
      </w:pPr>
    </w:p>
    <w:p w:rsidR="00F8780C" w:rsidRPr="00FE7F42" w:rsidRDefault="00F8780C" w:rsidP="00F8780C">
      <w:pPr>
        <w:rPr>
          <w:b/>
          <w:sz w:val="20"/>
        </w:rPr>
      </w:pPr>
      <w:r>
        <w:rPr>
          <w:b/>
          <w:sz w:val="20"/>
        </w:rPr>
        <w:t>Table 2</w:t>
      </w:r>
      <w:r w:rsidRPr="0082045F">
        <w:rPr>
          <w:b/>
          <w:sz w:val="20"/>
        </w:rPr>
        <w:t xml:space="preserve">:  International </w:t>
      </w:r>
      <w:r>
        <w:rPr>
          <w:b/>
          <w:sz w:val="20"/>
        </w:rPr>
        <w:t>a</w:t>
      </w:r>
      <w:r w:rsidRPr="0082045F">
        <w:rPr>
          <w:b/>
          <w:sz w:val="20"/>
        </w:rPr>
        <w:t>rrivals in New Zealand</w:t>
      </w:r>
      <w:r>
        <w:rPr>
          <w:b/>
          <w:sz w:val="20"/>
        </w:rPr>
        <w:t xml:space="preserve"> from k</w:t>
      </w:r>
      <w:r w:rsidRPr="0082045F">
        <w:rPr>
          <w:b/>
          <w:sz w:val="20"/>
        </w:rPr>
        <w:t xml:space="preserve">ey markets for the year ended </w:t>
      </w:r>
      <w:r>
        <w:rPr>
          <w:b/>
          <w:sz w:val="20"/>
        </w:rPr>
        <w:t xml:space="preserve">June 2011 </w:t>
      </w:r>
      <w:r w:rsidRPr="0082045F">
        <w:rPr>
          <w:b/>
          <w:sz w:val="20"/>
        </w:rPr>
        <w:t>(in thousands)</w:t>
      </w:r>
    </w:p>
    <w:tbl>
      <w:tblPr>
        <w:tblW w:w="4931" w:type="pct"/>
        <w:jc w:val="center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3"/>
        <w:gridCol w:w="774"/>
        <w:gridCol w:w="817"/>
        <w:gridCol w:w="799"/>
        <w:gridCol w:w="796"/>
        <w:gridCol w:w="797"/>
        <w:gridCol w:w="1305"/>
        <w:gridCol w:w="1369"/>
      </w:tblGrid>
      <w:tr w:rsidR="00F8780C" w:rsidRPr="002C7794" w:rsidTr="00C45F5E">
        <w:trPr>
          <w:trHeight w:val="397"/>
          <w:jc w:val="center"/>
        </w:trPr>
        <w:tc>
          <w:tcPr>
            <w:tcW w:w="104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Key</w:t>
            </w:r>
            <w:r w:rsidRPr="002C7794">
              <w:rPr>
                <w:rFonts w:cs="Arial"/>
                <w:b/>
                <w:sz w:val="20"/>
                <w:lang w:val="en-GB" w:eastAsia="en-GB"/>
              </w:rPr>
              <w:t xml:space="preserve"> Markets</w:t>
            </w:r>
            <w:r>
              <w:rPr>
                <w:rFonts w:cs="Arial"/>
                <w:b/>
                <w:sz w:val="20"/>
                <w:lang w:val="en-GB" w:eastAsia="en-GB"/>
              </w:rPr>
              <w:br/>
            </w:r>
            <w:r>
              <w:rPr>
                <w:b/>
                <w:sz w:val="20"/>
              </w:rPr>
              <w:t>(in thousands)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C66CD5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2007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2008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20</w:t>
            </w:r>
            <w:r>
              <w:rPr>
                <w:rFonts w:cs="Arial"/>
                <w:b/>
                <w:sz w:val="20"/>
                <w:lang w:val="en-GB" w:eastAsia="en-GB"/>
              </w:rPr>
              <w:t>09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20</w:t>
            </w:r>
            <w:r>
              <w:rPr>
                <w:rFonts w:cs="Arial"/>
                <w:b/>
                <w:sz w:val="20"/>
                <w:lang w:val="en-GB" w:eastAsia="en-GB"/>
              </w:rPr>
              <w:t>10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>
              <w:rPr>
                <w:rFonts w:cs="Arial"/>
                <w:b/>
                <w:sz w:val="20"/>
                <w:lang w:val="de-DE" w:eastAsia="en-GB"/>
              </w:rPr>
              <w:t>2010/2011</w:t>
            </w:r>
          </w:p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 w:rsidRPr="002C7794">
              <w:rPr>
                <w:rFonts w:cs="Arial"/>
                <w:b/>
                <w:sz w:val="20"/>
                <w:lang w:val="de-DE" w:eastAsia="en-GB"/>
              </w:rPr>
              <w:t>Change</w:t>
            </w:r>
            <w:r>
              <w:rPr>
                <w:rFonts w:cs="Arial"/>
                <w:b/>
                <w:sz w:val="20"/>
                <w:lang w:val="de-DE" w:eastAsia="en-GB"/>
              </w:rPr>
              <w:t>*</w:t>
            </w:r>
            <w:r w:rsidRPr="002C7794">
              <w:rPr>
                <w:rFonts w:cs="Arial"/>
                <w:b/>
                <w:sz w:val="20"/>
                <w:lang w:val="de-DE" w:eastAsia="en-GB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>
              <w:rPr>
                <w:rFonts w:cs="Arial"/>
                <w:b/>
                <w:sz w:val="20"/>
                <w:lang w:val="de-DE" w:eastAsia="en-GB"/>
              </w:rPr>
              <w:t>2010/2011</w:t>
            </w:r>
          </w:p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 w:rsidRPr="002C7794">
              <w:rPr>
                <w:rFonts w:cs="Arial"/>
                <w:b/>
                <w:sz w:val="20"/>
                <w:lang w:val="de-DE" w:eastAsia="en-GB"/>
              </w:rPr>
              <w:t xml:space="preserve">% Change 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single" w:sz="4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Australia</w:t>
                </w:r>
              </w:smartTag>
            </w:smartTag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1,008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1,119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-0.74%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UK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-29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-11.60%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USA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-3.02%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 w:val="18"/>
                    <w:szCs w:val="16"/>
                  </w:rPr>
                  <w:t>Japan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-6.02%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 w:val="18"/>
                    <w:szCs w:val="16"/>
                  </w:rPr>
                  <w:t>Korea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-2.48%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b/>
                    <w:sz w:val="18"/>
                    <w:szCs w:val="16"/>
                  </w:rPr>
                  <w:t>China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25.15%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02D7B">
                  <w:rPr>
                    <w:rFonts w:cs="Arial"/>
                    <w:b/>
                    <w:sz w:val="18"/>
                    <w:szCs w:val="16"/>
                  </w:rPr>
                  <w:t>Germany</w:t>
                </w:r>
              </w:smartTag>
            </w:smartTag>
          </w:p>
        </w:tc>
        <w:tc>
          <w:tcPr>
            <w:tcW w:w="4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76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0.33%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r w:rsidRPr="00D02D7B">
              <w:rPr>
                <w:rFonts w:cs="Arial"/>
                <w:b/>
                <w:sz w:val="18"/>
                <w:szCs w:val="16"/>
              </w:rPr>
              <w:t>Other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7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3.67%</w:t>
            </w:r>
          </w:p>
        </w:tc>
      </w:tr>
      <w:tr w:rsidR="00F8780C" w:rsidRPr="00AA5DF6" w:rsidTr="00C45F5E">
        <w:trPr>
          <w:trHeight w:val="255"/>
          <w:jc w:val="center"/>
        </w:trPr>
        <w:tc>
          <w:tcPr>
            <w:tcW w:w="1042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D02D7B" w:rsidRDefault="00F8780C" w:rsidP="00C45F5E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Total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2,458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2,480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2,411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0 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0.00%</w:t>
            </w:r>
          </w:p>
        </w:tc>
      </w:tr>
    </w:tbl>
    <w:p w:rsidR="00F8780C" w:rsidRDefault="00F8780C" w:rsidP="00F8780C">
      <w:pPr>
        <w:rPr>
          <w:sz w:val="16"/>
          <w:szCs w:val="16"/>
        </w:rPr>
      </w:pPr>
    </w:p>
    <w:p w:rsidR="00F8780C" w:rsidRPr="00110AFA" w:rsidRDefault="00F8780C" w:rsidP="00F8780C">
      <w:pPr>
        <w:rPr>
          <w:sz w:val="16"/>
          <w:szCs w:val="16"/>
        </w:rPr>
      </w:pPr>
      <w:r w:rsidRPr="00110AFA">
        <w:rPr>
          <w:sz w:val="16"/>
          <w:szCs w:val="16"/>
        </w:rPr>
        <w:t xml:space="preserve">*Totals may not add due to rounding. </w:t>
      </w:r>
    </w:p>
    <w:p w:rsidR="00F8780C" w:rsidRDefault="00F8780C" w:rsidP="00F8780C">
      <w:pPr>
        <w:rPr>
          <w:sz w:val="16"/>
          <w:szCs w:val="16"/>
        </w:rPr>
      </w:pPr>
    </w:p>
    <w:p w:rsidR="00F8780C" w:rsidRDefault="00F8780C" w:rsidP="00F8780C">
      <w:pPr>
        <w:rPr>
          <w:sz w:val="16"/>
          <w:szCs w:val="16"/>
        </w:rPr>
      </w:pPr>
    </w:p>
    <w:p w:rsidR="00F8780C" w:rsidRPr="002C7794" w:rsidRDefault="00F8780C" w:rsidP="00F8780C">
      <w:pPr>
        <w:rPr>
          <w:b/>
          <w:sz w:val="20"/>
        </w:rPr>
      </w:pPr>
      <w:r>
        <w:rPr>
          <w:b/>
          <w:sz w:val="20"/>
        </w:rPr>
        <w:t>Table 3</w:t>
      </w:r>
      <w:r w:rsidRPr="002C7794">
        <w:rPr>
          <w:b/>
          <w:sz w:val="20"/>
        </w:rPr>
        <w:t xml:space="preserve">: International </w:t>
      </w:r>
      <w:r>
        <w:rPr>
          <w:b/>
          <w:sz w:val="20"/>
        </w:rPr>
        <w:t>v</w:t>
      </w:r>
      <w:r w:rsidRPr="002C7794">
        <w:rPr>
          <w:b/>
          <w:sz w:val="20"/>
        </w:rPr>
        <w:t xml:space="preserve">isitor </w:t>
      </w:r>
      <w:r>
        <w:rPr>
          <w:b/>
          <w:sz w:val="20"/>
        </w:rPr>
        <w:t>s</w:t>
      </w:r>
      <w:r w:rsidRPr="002C7794">
        <w:rPr>
          <w:b/>
          <w:sz w:val="20"/>
        </w:rPr>
        <w:t xml:space="preserve">pend by </w:t>
      </w:r>
      <w:r>
        <w:rPr>
          <w:b/>
          <w:sz w:val="20"/>
        </w:rPr>
        <w:t>p</w:t>
      </w:r>
      <w:r w:rsidRPr="002C7794">
        <w:rPr>
          <w:b/>
          <w:sz w:val="20"/>
        </w:rPr>
        <w:t>u</w:t>
      </w:r>
      <w:r>
        <w:rPr>
          <w:b/>
          <w:sz w:val="20"/>
        </w:rPr>
        <w:t>r</w:t>
      </w:r>
      <w:r w:rsidRPr="002C7794">
        <w:rPr>
          <w:b/>
          <w:sz w:val="20"/>
        </w:rPr>
        <w:t xml:space="preserve">pose of </w:t>
      </w:r>
      <w:r>
        <w:rPr>
          <w:b/>
          <w:sz w:val="20"/>
        </w:rPr>
        <w:t>v</w:t>
      </w:r>
      <w:r w:rsidRPr="002C7794">
        <w:rPr>
          <w:b/>
          <w:sz w:val="20"/>
        </w:rPr>
        <w:t xml:space="preserve">isit for year ended </w:t>
      </w:r>
      <w:r>
        <w:rPr>
          <w:b/>
          <w:sz w:val="20"/>
        </w:rPr>
        <w:t>June 2011</w:t>
      </w:r>
      <w:r>
        <w:rPr>
          <w:b/>
          <w:sz w:val="20"/>
        </w:rPr>
        <w:br/>
        <w:t xml:space="preserve">(in NZ$ million) </w:t>
      </w:r>
    </w:p>
    <w:tbl>
      <w:tblPr>
        <w:tblW w:w="4896" w:type="pct"/>
        <w:tblInd w:w="108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681"/>
        <w:gridCol w:w="833"/>
        <w:gridCol w:w="818"/>
        <w:gridCol w:w="817"/>
        <w:gridCol w:w="812"/>
        <w:gridCol w:w="733"/>
        <w:gridCol w:w="1301"/>
        <w:gridCol w:w="1356"/>
      </w:tblGrid>
      <w:tr w:rsidR="00F8780C" w:rsidRPr="002C7794" w:rsidTr="00C45F5E">
        <w:trPr>
          <w:trHeight w:val="397"/>
        </w:trPr>
        <w:tc>
          <w:tcPr>
            <w:tcW w:w="1006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Purpose</w:t>
            </w:r>
            <w:r>
              <w:rPr>
                <w:rFonts w:cs="Arial"/>
                <w:b/>
                <w:sz w:val="20"/>
                <w:lang w:val="en-GB" w:eastAsia="en-GB"/>
              </w:rPr>
              <w:br/>
            </w:r>
            <w:r>
              <w:rPr>
                <w:b/>
                <w:sz w:val="20"/>
              </w:rPr>
              <w:t>(in NZ$ million)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C66CD5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2007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2008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20</w:t>
            </w:r>
            <w:r>
              <w:rPr>
                <w:rFonts w:cs="Arial"/>
                <w:b/>
                <w:sz w:val="20"/>
                <w:lang w:val="en-GB" w:eastAsia="en-GB"/>
              </w:rPr>
              <w:t>09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 w:rsidRPr="002C7794">
              <w:rPr>
                <w:rFonts w:cs="Arial"/>
                <w:b/>
                <w:sz w:val="20"/>
                <w:lang w:val="en-GB" w:eastAsia="en-GB"/>
              </w:rPr>
              <w:t>20</w:t>
            </w:r>
            <w:r>
              <w:rPr>
                <w:rFonts w:cs="Arial"/>
                <w:b/>
                <w:sz w:val="20"/>
                <w:lang w:val="en-GB" w:eastAsia="en-GB"/>
              </w:rPr>
              <w:t>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en-GB" w:eastAsia="en-GB"/>
              </w:rPr>
            </w:pPr>
            <w:r>
              <w:rPr>
                <w:rFonts w:cs="Arial"/>
                <w:b/>
                <w:sz w:val="20"/>
                <w:lang w:val="en-GB" w:eastAsia="en-GB"/>
              </w:rPr>
              <w:t>2011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>
              <w:rPr>
                <w:rFonts w:cs="Arial"/>
                <w:b/>
                <w:sz w:val="20"/>
                <w:lang w:val="de-DE" w:eastAsia="en-GB"/>
              </w:rPr>
              <w:t>2010/2011</w:t>
            </w:r>
          </w:p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 w:rsidRPr="002C7794">
              <w:rPr>
                <w:rFonts w:cs="Arial"/>
                <w:b/>
                <w:sz w:val="20"/>
                <w:lang w:val="de-DE" w:eastAsia="en-GB"/>
              </w:rPr>
              <w:t>Change</w:t>
            </w:r>
            <w:r>
              <w:rPr>
                <w:rFonts w:cs="Arial"/>
                <w:b/>
                <w:sz w:val="20"/>
                <w:lang w:val="de-DE" w:eastAsia="en-GB"/>
              </w:rPr>
              <w:t>*</w:t>
            </w:r>
            <w:r w:rsidRPr="002C7794">
              <w:rPr>
                <w:rFonts w:cs="Arial"/>
                <w:b/>
                <w:sz w:val="20"/>
                <w:lang w:val="de-DE" w:eastAsia="en-GB"/>
              </w:rPr>
              <w:t xml:space="preserve">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2C4A3"/>
            <w:vAlign w:val="center"/>
          </w:tcPr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>
              <w:rPr>
                <w:rFonts w:cs="Arial"/>
                <w:b/>
                <w:sz w:val="20"/>
                <w:lang w:val="de-DE" w:eastAsia="en-GB"/>
              </w:rPr>
              <w:t>2010/2011</w:t>
            </w:r>
          </w:p>
          <w:p w:rsidR="00F8780C" w:rsidRPr="002C7794" w:rsidRDefault="00F8780C" w:rsidP="00C45F5E">
            <w:pPr>
              <w:spacing w:after="40"/>
              <w:rPr>
                <w:rFonts w:cs="Arial"/>
                <w:b/>
                <w:sz w:val="20"/>
                <w:lang w:val="de-DE" w:eastAsia="en-GB"/>
              </w:rPr>
            </w:pPr>
            <w:r w:rsidRPr="002C7794">
              <w:rPr>
                <w:rFonts w:cs="Arial"/>
                <w:b/>
                <w:sz w:val="20"/>
                <w:lang w:val="de-DE" w:eastAsia="en-GB"/>
              </w:rPr>
              <w:t xml:space="preserve">% Change </w:t>
            </w:r>
          </w:p>
        </w:tc>
      </w:tr>
      <w:tr w:rsidR="00F8780C" w:rsidRPr="002C7794" w:rsidTr="00C45F5E">
        <w:trPr>
          <w:trHeight w:val="255"/>
        </w:trPr>
        <w:tc>
          <w:tcPr>
            <w:tcW w:w="1006" w:type="pct"/>
            <w:tcBorders>
              <w:top w:val="single" w:sz="4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1B2340" w:rsidRDefault="00F8780C" w:rsidP="00C45F5E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smartTag w:uri="urn:schemas-microsoft-com:office:smarttags" w:element="place">
              <w:r w:rsidRPr="001B2340">
                <w:rPr>
                  <w:rFonts w:cs="Arial"/>
                  <w:b/>
                  <w:sz w:val="18"/>
                  <w:szCs w:val="18"/>
                  <w:lang w:val="en-GB" w:eastAsia="en-GB"/>
                </w:rPr>
                <w:t>Holiday</w:t>
              </w:r>
            </w:smartTag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3,289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3,278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3,089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2,894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-195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-6.3%</w:t>
            </w:r>
          </w:p>
        </w:tc>
      </w:tr>
      <w:tr w:rsidR="00F8780C" w:rsidRPr="002C7794" w:rsidTr="00C45F5E">
        <w:trPr>
          <w:trHeight w:val="255"/>
        </w:trPr>
        <w:tc>
          <w:tcPr>
            <w:tcW w:w="1006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1B2340" w:rsidRDefault="00F8780C" w:rsidP="00C45F5E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1B2340">
              <w:rPr>
                <w:rFonts w:cs="Arial"/>
                <w:b/>
                <w:sz w:val="18"/>
                <w:szCs w:val="18"/>
                <w:lang w:val="en-GB" w:eastAsia="en-GB"/>
              </w:rPr>
              <w:t>VFR**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1,202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1,262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1,085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1,106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1,018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-88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-8.0%</w:t>
            </w:r>
          </w:p>
        </w:tc>
      </w:tr>
      <w:tr w:rsidR="00F8780C" w:rsidRPr="002C7794" w:rsidTr="00C45F5E">
        <w:trPr>
          <w:trHeight w:val="255"/>
        </w:trPr>
        <w:tc>
          <w:tcPr>
            <w:tcW w:w="1006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1B2340" w:rsidRDefault="00F8780C" w:rsidP="00C45F5E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1B2340">
              <w:rPr>
                <w:rFonts w:cs="Arial"/>
                <w:b/>
                <w:sz w:val="18"/>
                <w:szCs w:val="18"/>
                <w:lang w:val="en-GB" w:eastAsia="en-GB"/>
              </w:rPr>
              <w:t>Business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-32</w:t>
            </w:r>
          </w:p>
        </w:tc>
        <w:tc>
          <w:tcPr>
            <w:tcW w:w="812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-5.0%</w:t>
            </w:r>
          </w:p>
        </w:tc>
      </w:tr>
      <w:tr w:rsidR="00F8780C" w:rsidRPr="002C7794" w:rsidTr="00C45F5E">
        <w:trPr>
          <w:trHeight w:val="255"/>
        </w:trPr>
        <w:tc>
          <w:tcPr>
            <w:tcW w:w="1006" w:type="pct"/>
            <w:tcBorders>
              <w:top w:val="nil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1B2340" w:rsidRDefault="00F8780C" w:rsidP="00C45F5E">
            <w:pPr>
              <w:rPr>
                <w:rFonts w:ascii="MS Sans Serif" w:hAnsi="MS Sans Serif" w:cs="Arial"/>
                <w:b/>
                <w:color w:val="000000"/>
                <w:sz w:val="18"/>
                <w:szCs w:val="18"/>
              </w:rPr>
            </w:pPr>
            <w:r w:rsidRPr="001B2340">
              <w:rPr>
                <w:rFonts w:cs="Arial"/>
                <w:b/>
                <w:sz w:val="18"/>
                <w:szCs w:val="18"/>
                <w:lang w:val="en-GB" w:eastAsia="en-GB"/>
              </w:rPr>
              <w:t>Other</w:t>
            </w:r>
          </w:p>
        </w:tc>
        <w:tc>
          <w:tcPr>
            <w:tcW w:w="49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1,116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-74</w:t>
            </w:r>
          </w:p>
        </w:tc>
        <w:tc>
          <w:tcPr>
            <w:tcW w:w="8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-6.6%</w:t>
            </w:r>
          </w:p>
        </w:tc>
      </w:tr>
      <w:tr w:rsidR="00F8780C" w:rsidRPr="002C7794" w:rsidTr="00C45F5E">
        <w:trPr>
          <w:trHeight w:val="255"/>
        </w:trPr>
        <w:tc>
          <w:tcPr>
            <w:tcW w:w="1006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noWrap/>
            <w:vAlign w:val="center"/>
          </w:tcPr>
          <w:p w:rsidR="00F8780C" w:rsidRPr="001B2340" w:rsidRDefault="00F8780C" w:rsidP="00C45F5E">
            <w:pPr>
              <w:rPr>
                <w:rFonts w:cs="Arial"/>
                <w:b/>
                <w:sz w:val="18"/>
                <w:szCs w:val="18"/>
                <w:lang w:val="en-GB" w:eastAsia="en-GB"/>
              </w:rPr>
            </w:pPr>
            <w:r w:rsidRPr="001B2340">
              <w:rPr>
                <w:rFonts w:cs="Arial"/>
                <w:b/>
                <w:sz w:val="18"/>
                <w:szCs w:val="18"/>
                <w:lang w:val="en-GB" w:eastAsia="en-GB"/>
              </w:rPr>
              <w:t>Total Spend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5,902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6,177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5,992</w:t>
            </w:r>
          </w:p>
        </w:tc>
        <w:tc>
          <w:tcPr>
            <w:tcW w:w="486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5,953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5,564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noWrap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-390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F8780C" w:rsidRDefault="00F8780C" w:rsidP="00C45F5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-6.5%</w:t>
            </w:r>
          </w:p>
        </w:tc>
      </w:tr>
    </w:tbl>
    <w:p w:rsidR="00F8780C" w:rsidRDefault="00F8780C" w:rsidP="00F8780C">
      <w:pPr>
        <w:rPr>
          <w:sz w:val="16"/>
          <w:szCs w:val="16"/>
        </w:rPr>
      </w:pPr>
    </w:p>
    <w:p w:rsidR="00F8780C" w:rsidRPr="00110AFA" w:rsidRDefault="00F8780C" w:rsidP="00F8780C">
      <w:pPr>
        <w:rPr>
          <w:sz w:val="16"/>
          <w:szCs w:val="16"/>
        </w:rPr>
      </w:pPr>
      <w:r w:rsidRPr="00110AFA">
        <w:rPr>
          <w:sz w:val="16"/>
          <w:szCs w:val="16"/>
        </w:rPr>
        <w:t xml:space="preserve">*Totals may not add due to rounding. </w:t>
      </w:r>
    </w:p>
    <w:p w:rsidR="00F8780C" w:rsidRPr="00110AFA" w:rsidRDefault="00F8780C" w:rsidP="00F8780C">
      <w:pPr>
        <w:rPr>
          <w:sz w:val="16"/>
          <w:szCs w:val="16"/>
        </w:rPr>
      </w:pPr>
      <w:r w:rsidRPr="00110AFA">
        <w:rPr>
          <w:sz w:val="16"/>
          <w:szCs w:val="16"/>
        </w:rPr>
        <w:t>**VFR Visiting Friends and Relatives</w:t>
      </w:r>
    </w:p>
    <w:p w:rsidR="00F8780C" w:rsidRPr="00BE5290" w:rsidRDefault="00F8780C" w:rsidP="00F8780C">
      <w:pPr>
        <w:rPr>
          <w:szCs w:val="24"/>
        </w:rPr>
      </w:pPr>
    </w:p>
    <w:p w:rsidR="00F8780C" w:rsidRDefault="00F8780C" w:rsidP="00CE56DA">
      <w:pPr>
        <w:rPr>
          <w:highlight w:val="yellow"/>
        </w:rPr>
      </w:pPr>
    </w:p>
    <w:sectPr w:rsidR="00F8780C" w:rsidSect="009A23F8">
      <w:footerReference w:type="even" r:id="rId11"/>
      <w:footerReference w:type="first" r:id="rId12"/>
      <w:pgSz w:w="11906" w:h="16838" w:code="9"/>
      <w:pgMar w:top="1258" w:right="1797" w:bottom="1438" w:left="179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7B" w:rsidRDefault="009C697B">
      <w:r>
        <w:separator/>
      </w:r>
    </w:p>
  </w:endnote>
  <w:endnote w:type="continuationSeparator" w:id="0">
    <w:p w:rsidR="009C697B" w:rsidRDefault="009C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7B" w:rsidRDefault="009C697B">
    <w:pPr>
      <w:pStyle w:val="Footer"/>
    </w:pPr>
    <w:r w:rsidRPr="001828E7">
      <w:t>MED1233905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7B" w:rsidRDefault="009C697B">
    <w:pPr>
      <w:pStyle w:val="Footer"/>
    </w:pPr>
    <w:r w:rsidRPr="001828E7">
      <w:t>MED1233905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7B" w:rsidRDefault="009C697B">
      <w:r>
        <w:separator/>
      </w:r>
    </w:p>
  </w:footnote>
  <w:footnote w:type="continuationSeparator" w:id="0">
    <w:p w:rsidR="009C697B" w:rsidRDefault="009C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E69D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B9887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302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923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8CEF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0000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2E23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46A7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72B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6B9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A27BD"/>
    <w:multiLevelType w:val="hybridMultilevel"/>
    <w:tmpl w:val="8954D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67FC8"/>
    <w:multiLevelType w:val="hybridMultilevel"/>
    <w:tmpl w:val="CEF42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C5CBE"/>
    <w:multiLevelType w:val="hybridMultilevel"/>
    <w:tmpl w:val="506CCC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40589D"/>
    <w:multiLevelType w:val="hybridMultilevel"/>
    <w:tmpl w:val="6F56B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13D9F"/>
    <w:multiLevelType w:val="hybridMultilevel"/>
    <w:tmpl w:val="BB204E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1"/>
  </w:num>
  <w:num w:numId="38">
    <w:abstractNumId w:val="14"/>
  </w:num>
  <w:num w:numId="39">
    <w:abstractNumId w:val="13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XP" w:val="True"/>
  </w:docVars>
  <w:rsids>
    <w:rsidRoot w:val="00DA14B3"/>
    <w:rsid w:val="000025D8"/>
    <w:rsid w:val="00007270"/>
    <w:rsid w:val="00007628"/>
    <w:rsid w:val="00007EAF"/>
    <w:rsid w:val="000101B6"/>
    <w:rsid w:val="00010A75"/>
    <w:rsid w:val="00012A07"/>
    <w:rsid w:val="0001517C"/>
    <w:rsid w:val="000153BF"/>
    <w:rsid w:val="000179FD"/>
    <w:rsid w:val="000228D6"/>
    <w:rsid w:val="0002610B"/>
    <w:rsid w:val="000322CC"/>
    <w:rsid w:val="00034B38"/>
    <w:rsid w:val="0003523E"/>
    <w:rsid w:val="0003568E"/>
    <w:rsid w:val="00036080"/>
    <w:rsid w:val="00037B32"/>
    <w:rsid w:val="000402AD"/>
    <w:rsid w:val="00045D27"/>
    <w:rsid w:val="000467ED"/>
    <w:rsid w:val="00052B49"/>
    <w:rsid w:val="0005647B"/>
    <w:rsid w:val="00062784"/>
    <w:rsid w:val="00063401"/>
    <w:rsid w:val="00066474"/>
    <w:rsid w:val="00066902"/>
    <w:rsid w:val="000721A8"/>
    <w:rsid w:val="00072CE3"/>
    <w:rsid w:val="00074358"/>
    <w:rsid w:val="00076F9B"/>
    <w:rsid w:val="0007729A"/>
    <w:rsid w:val="00077381"/>
    <w:rsid w:val="00080E26"/>
    <w:rsid w:val="000823A4"/>
    <w:rsid w:val="00082C5F"/>
    <w:rsid w:val="00084893"/>
    <w:rsid w:val="000857B3"/>
    <w:rsid w:val="00085B4B"/>
    <w:rsid w:val="00087EF1"/>
    <w:rsid w:val="00090C6A"/>
    <w:rsid w:val="00092EBB"/>
    <w:rsid w:val="00094054"/>
    <w:rsid w:val="00094124"/>
    <w:rsid w:val="000952EC"/>
    <w:rsid w:val="000A01FD"/>
    <w:rsid w:val="000A0C97"/>
    <w:rsid w:val="000A49A5"/>
    <w:rsid w:val="000A51BD"/>
    <w:rsid w:val="000A62AE"/>
    <w:rsid w:val="000A7675"/>
    <w:rsid w:val="000B3847"/>
    <w:rsid w:val="000B3EE0"/>
    <w:rsid w:val="000C2C5B"/>
    <w:rsid w:val="000C4ED7"/>
    <w:rsid w:val="000D64B0"/>
    <w:rsid w:val="000E1C27"/>
    <w:rsid w:val="000E63C9"/>
    <w:rsid w:val="000E7337"/>
    <w:rsid w:val="000F165E"/>
    <w:rsid w:val="000F1730"/>
    <w:rsid w:val="000F2AC7"/>
    <w:rsid w:val="000F4148"/>
    <w:rsid w:val="000F42FC"/>
    <w:rsid w:val="000F541F"/>
    <w:rsid w:val="000F61DE"/>
    <w:rsid w:val="000F622D"/>
    <w:rsid w:val="000F64C5"/>
    <w:rsid w:val="000F6829"/>
    <w:rsid w:val="001063EA"/>
    <w:rsid w:val="00115726"/>
    <w:rsid w:val="0011628B"/>
    <w:rsid w:val="00120B43"/>
    <w:rsid w:val="00120BAA"/>
    <w:rsid w:val="00121006"/>
    <w:rsid w:val="00122416"/>
    <w:rsid w:val="00122CC0"/>
    <w:rsid w:val="00125385"/>
    <w:rsid w:val="001264B6"/>
    <w:rsid w:val="00127683"/>
    <w:rsid w:val="00127A1A"/>
    <w:rsid w:val="00130FD0"/>
    <w:rsid w:val="00132971"/>
    <w:rsid w:val="0013380E"/>
    <w:rsid w:val="0013554A"/>
    <w:rsid w:val="00141E26"/>
    <w:rsid w:val="00141F98"/>
    <w:rsid w:val="001427A4"/>
    <w:rsid w:val="00147070"/>
    <w:rsid w:val="0015567A"/>
    <w:rsid w:val="00160203"/>
    <w:rsid w:val="001613F9"/>
    <w:rsid w:val="001645F9"/>
    <w:rsid w:val="00165BEF"/>
    <w:rsid w:val="00171932"/>
    <w:rsid w:val="00172589"/>
    <w:rsid w:val="001729D8"/>
    <w:rsid w:val="0017316E"/>
    <w:rsid w:val="00174D58"/>
    <w:rsid w:val="0017720B"/>
    <w:rsid w:val="00180D89"/>
    <w:rsid w:val="00181FD3"/>
    <w:rsid w:val="0018261A"/>
    <w:rsid w:val="001828E7"/>
    <w:rsid w:val="00184C90"/>
    <w:rsid w:val="00185F7E"/>
    <w:rsid w:val="001913EB"/>
    <w:rsid w:val="0019296E"/>
    <w:rsid w:val="00192AB9"/>
    <w:rsid w:val="001963A4"/>
    <w:rsid w:val="001A20E0"/>
    <w:rsid w:val="001A34BF"/>
    <w:rsid w:val="001A3921"/>
    <w:rsid w:val="001A3BE1"/>
    <w:rsid w:val="001A52C0"/>
    <w:rsid w:val="001A55D8"/>
    <w:rsid w:val="001A6CEC"/>
    <w:rsid w:val="001A78E7"/>
    <w:rsid w:val="001B238D"/>
    <w:rsid w:val="001B4C5D"/>
    <w:rsid w:val="001B512D"/>
    <w:rsid w:val="001B5A41"/>
    <w:rsid w:val="001B709D"/>
    <w:rsid w:val="001C0D5F"/>
    <w:rsid w:val="001C10C2"/>
    <w:rsid w:val="001C259A"/>
    <w:rsid w:val="001C36D6"/>
    <w:rsid w:val="001C4936"/>
    <w:rsid w:val="001C705B"/>
    <w:rsid w:val="001D2CC6"/>
    <w:rsid w:val="001D2E18"/>
    <w:rsid w:val="001D45A2"/>
    <w:rsid w:val="001D66BE"/>
    <w:rsid w:val="001E0829"/>
    <w:rsid w:val="001E0E4D"/>
    <w:rsid w:val="001E2695"/>
    <w:rsid w:val="001E2DA6"/>
    <w:rsid w:val="001E3F50"/>
    <w:rsid w:val="001E455B"/>
    <w:rsid w:val="001F24CA"/>
    <w:rsid w:val="001F417F"/>
    <w:rsid w:val="001F650F"/>
    <w:rsid w:val="002049D9"/>
    <w:rsid w:val="00205F39"/>
    <w:rsid w:val="00214FA1"/>
    <w:rsid w:val="00215458"/>
    <w:rsid w:val="00230A29"/>
    <w:rsid w:val="002330A5"/>
    <w:rsid w:val="00233784"/>
    <w:rsid w:val="00237C01"/>
    <w:rsid w:val="002417C7"/>
    <w:rsid w:val="00244A3B"/>
    <w:rsid w:val="00251B3B"/>
    <w:rsid w:val="00251DC6"/>
    <w:rsid w:val="00251FC5"/>
    <w:rsid w:val="0025300F"/>
    <w:rsid w:val="00253675"/>
    <w:rsid w:val="002543C5"/>
    <w:rsid w:val="00254EC2"/>
    <w:rsid w:val="002553ED"/>
    <w:rsid w:val="00263054"/>
    <w:rsid w:val="00267664"/>
    <w:rsid w:val="002737A0"/>
    <w:rsid w:val="00273F3F"/>
    <w:rsid w:val="00275940"/>
    <w:rsid w:val="0027703E"/>
    <w:rsid w:val="00277106"/>
    <w:rsid w:val="00277F91"/>
    <w:rsid w:val="00280419"/>
    <w:rsid w:val="0028089A"/>
    <w:rsid w:val="002809F5"/>
    <w:rsid w:val="00281452"/>
    <w:rsid w:val="00283AFB"/>
    <w:rsid w:val="00284493"/>
    <w:rsid w:val="00284A6E"/>
    <w:rsid w:val="00286D20"/>
    <w:rsid w:val="002878B2"/>
    <w:rsid w:val="00291B07"/>
    <w:rsid w:val="00292E93"/>
    <w:rsid w:val="002940A6"/>
    <w:rsid w:val="00296A8F"/>
    <w:rsid w:val="002974F9"/>
    <w:rsid w:val="00297772"/>
    <w:rsid w:val="002A196A"/>
    <w:rsid w:val="002A334F"/>
    <w:rsid w:val="002A371F"/>
    <w:rsid w:val="002A69EA"/>
    <w:rsid w:val="002A7AE7"/>
    <w:rsid w:val="002B1A16"/>
    <w:rsid w:val="002B1A86"/>
    <w:rsid w:val="002B73BF"/>
    <w:rsid w:val="002C1CB0"/>
    <w:rsid w:val="002C55E1"/>
    <w:rsid w:val="002C63E6"/>
    <w:rsid w:val="002C74E6"/>
    <w:rsid w:val="002C758D"/>
    <w:rsid w:val="002C7794"/>
    <w:rsid w:val="002D0293"/>
    <w:rsid w:val="002D05CA"/>
    <w:rsid w:val="002D2F2E"/>
    <w:rsid w:val="002D6BCA"/>
    <w:rsid w:val="002E0BF0"/>
    <w:rsid w:val="002E0EA2"/>
    <w:rsid w:val="002E2802"/>
    <w:rsid w:val="002E4585"/>
    <w:rsid w:val="002E5F0F"/>
    <w:rsid w:val="002E64E8"/>
    <w:rsid w:val="002F0257"/>
    <w:rsid w:val="002F3A27"/>
    <w:rsid w:val="002F578D"/>
    <w:rsid w:val="00300A9F"/>
    <w:rsid w:val="00303BE0"/>
    <w:rsid w:val="00305423"/>
    <w:rsid w:val="00307623"/>
    <w:rsid w:val="003076C3"/>
    <w:rsid w:val="00315D61"/>
    <w:rsid w:val="00315DF1"/>
    <w:rsid w:val="003175B0"/>
    <w:rsid w:val="00317BDA"/>
    <w:rsid w:val="00320948"/>
    <w:rsid w:val="00323578"/>
    <w:rsid w:val="00324631"/>
    <w:rsid w:val="003251FA"/>
    <w:rsid w:val="00327A3F"/>
    <w:rsid w:val="00335255"/>
    <w:rsid w:val="00341C96"/>
    <w:rsid w:val="003427E0"/>
    <w:rsid w:val="00342CB7"/>
    <w:rsid w:val="00343FF7"/>
    <w:rsid w:val="00345ADC"/>
    <w:rsid w:val="00345E92"/>
    <w:rsid w:val="00346305"/>
    <w:rsid w:val="00346F98"/>
    <w:rsid w:val="003473E9"/>
    <w:rsid w:val="0035103A"/>
    <w:rsid w:val="0035384D"/>
    <w:rsid w:val="00356DFD"/>
    <w:rsid w:val="00360ED6"/>
    <w:rsid w:val="00366A73"/>
    <w:rsid w:val="00371A7F"/>
    <w:rsid w:val="00376ED5"/>
    <w:rsid w:val="003819F3"/>
    <w:rsid w:val="00381BA5"/>
    <w:rsid w:val="00382E79"/>
    <w:rsid w:val="00384AD1"/>
    <w:rsid w:val="00385CB8"/>
    <w:rsid w:val="003870B8"/>
    <w:rsid w:val="003877AD"/>
    <w:rsid w:val="0039231E"/>
    <w:rsid w:val="003930C8"/>
    <w:rsid w:val="003955AD"/>
    <w:rsid w:val="003A1CC2"/>
    <w:rsid w:val="003A325D"/>
    <w:rsid w:val="003A3F96"/>
    <w:rsid w:val="003A473E"/>
    <w:rsid w:val="003A551D"/>
    <w:rsid w:val="003A71B6"/>
    <w:rsid w:val="003B443C"/>
    <w:rsid w:val="003B474D"/>
    <w:rsid w:val="003C0FDA"/>
    <w:rsid w:val="003C1907"/>
    <w:rsid w:val="003C376F"/>
    <w:rsid w:val="003D0B43"/>
    <w:rsid w:val="003D1422"/>
    <w:rsid w:val="003D3CCB"/>
    <w:rsid w:val="003D418B"/>
    <w:rsid w:val="003D713B"/>
    <w:rsid w:val="003F05D4"/>
    <w:rsid w:val="003F562C"/>
    <w:rsid w:val="003F7C81"/>
    <w:rsid w:val="004003A7"/>
    <w:rsid w:val="00400660"/>
    <w:rsid w:val="0040071C"/>
    <w:rsid w:val="00401C16"/>
    <w:rsid w:val="00401D80"/>
    <w:rsid w:val="00403E34"/>
    <w:rsid w:val="0040507A"/>
    <w:rsid w:val="004077FF"/>
    <w:rsid w:val="00416819"/>
    <w:rsid w:val="00417207"/>
    <w:rsid w:val="004211FD"/>
    <w:rsid w:val="004219DD"/>
    <w:rsid w:val="00431A2D"/>
    <w:rsid w:val="00433454"/>
    <w:rsid w:val="004407E3"/>
    <w:rsid w:val="00440FA7"/>
    <w:rsid w:val="00441044"/>
    <w:rsid w:val="004448B6"/>
    <w:rsid w:val="00445000"/>
    <w:rsid w:val="00447477"/>
    <w:rsid w:val="00447DD4"/>
    <w:rsid w:val="004523C4"/>
    <w:rsid w:val="004527F8"/>
    <w:rsid w:val="00453490"/>
    <w:rsid w:val="00456497"/>
    <w:rsid w:val="00457BA4"/>
    <w:rsid w:val="00462A3B"/>
    <w:rsid w:val="004639DB"/>
    <w:rsid w:val="00463B37"/>
    <w:rsid w:val="00464BD0"/>
    <w:rsid w:val="00465E5A"/>
    <w:rsid w:val="00466183"/>
    <w:rsid w:val="004665C7"/>
    <w:rsid w:val="00473F9D"/>
    <w:rsid w:val="00474AC9"/>
    <w:rsid w:val="004755FA"/>
    <w:rsid w:val="00481771"/>
    <w:rsid w:val="004836CE"/>
    <w:rsid w:val="00485485"/>
    <w:rsid w:val="00492500"/>
    <w:rsid w:val="004943D3"/>
    <w:rsid w:val="00495382"/>
    <w:rsid w:val="00495676"/>
    <w:rsid w:val="004959F2"/>
    <w:rsid w:val="00495F43"/>
    <w:rsid w:val="00496298"/>
    <w:rsid w:val="004A0106"/>
    <w:rsid w:val="004A0EF1"/>
    <w:rsid w:val="004A255A"/>
    <w:rsid w:val="004A4547"/>
    <w:rsid w:val="004A5418"/>
    <w:rsid w:val="004A7589"/>
    <w:rsid w:val="004B3F00"/>
    <w:rsid w:val="004B4448"/>
    <w:rsid w:val="004B58B8"/>
    <w:rsid w:val="004B58E1"/>
    <w:rsid w:val="004B5990"/>
    <w:rsid w:val="004B7DF4"/>
    <w:rsid w:val="004C1981"/>
    <w:rsid w:val="004C314B"/>
    <w:rsid w:val="004C557B"/>
    <w:rsid w:val="004C65B7"/>
    <w:rsid w:val="004D381A"/>
    <w:rsid w:val="004D6D1A"/>
    <w:rsid w:val="004E006C"/>
    <w:rsid w:val="004E2725"/>
    <w:rsid w:val="004E43A9"/>
    <w:rsid w:val="004E5179"/>
    <w:rsid w:val="004E6C56"/>
    <w:rsid w:val="004E73B1"/>
    <w:rsid w:val="004E7778"/>
    <w:rsid w:val="004F3265"/>
    <w:rsid w:val="004F7C6F"/>
    <w:rsid w:val="004F7F2E"/>
    <w:rsid w:val="005006D3"/>
    <w:rsid w:val="00500AE0"/>
    <w:rsid w:val="00502D1B"/>
    <w:rsid w:val="00502F70"/>
    <w:rsid w:val="0050499E"/>
    <w:rsid w:val="005054F3"/>
    <w:rsid w:val="00505D74"/>
    <w:rsid w:val="00511431"/>
    <w:rsid w:val="00516A36"/>
    <w:rsid w:val="00517BFC"/>
    <w:rsid w:val="00523EBA"/>
    <w:rsid w:val="00530B61"/>
    <w:rsid w:val="0053283A"/>
    <w:rsid w:val="00533559"/>
    <w:rsid w:val="00535156"/>
    <w:rsid w:val="00536F7B"/>
    <w:rsid w:val="0053766B"/>
    <w:rsid w:val="0054131C"/>
    <w:rsid w:val="005431BA"/>
    <w:rsid w:val="0054698D"/>
    <w:rsid w:val="005517EA"/>
    <w:rsid w:val="00556C91"/>
    <w:rsid w:val="005576B1"/>
    <w:rsid w:val="00560820"/>
    <w:rsid w:val="00562E7C"/>
    <w:rsid w:val="00565ECF"/>
    <w:rsid w:val="00567255"/>
    <w:rsid w:val="00567397"/>
    <w:rsid w:val="0056753E"/>
    <w:rsid w:val="00575AEA"/>
    <w:rsid w:val="00576D64"/>
    <w:rsid w:val="00576E28"/>
    <w:rsid w:val="00581C9B"/>
    <w:rsid w:val="00582786"/>
    <w:rsid w:val="0058305B"/>
    <w:rsid w:val="0058740D"/>
    <w:rsid w:val="00590885"/>
    <w:rsid w:val="0059146F"/>
    <w:rsid w:val="005931E3"/>
    <w:rsid w:val="005953EB"/>
    <w:rsid w:val="005954A4"/>
    <w:rsid w:val="005954D7"/>
    <w:rsid w:val="00596A32"/>
    <w:rsid w:val="00597EDA"/>
    <w:rsid w:val="005A1BE8"/>
    <w:rsid w:val="005A3CDF"/>
    <w:rsid w:val="005A58E8"/>
    <w:rsid w:val="005B2ADC"/>
    <w:rsid w:val="005B4939"/>
    <w:rsid w:val="005B5AE0"/>
    <w:rsid w:val="005B774E"/>
    <w:rsid w:val="005C2E90"/>
    <w:rsid w:val="005C2F44"/>
    <w:rsid w:val="005C3474"/>
    <w:rsid w:val="005D054D"/>
    <w:rsid w:val="005D38E9"/>
    <w:rsid w:val="005D39EF"/>
    <w:rsid w:val="005D3CDB"/>
    <w:rsid w:val="005D7422"/>
    <w:rsid w:val="005E53F6"/>
    <w:rsid w:val="005E5E56"/>
    <w:rsid w:val="005E606D"/>
    <w:rsid w:val="005E60AE"/>
    <w:rsid w:val="005E6218"/>
    <w:rsid w:val="005E6FDF"/>
    <w:rsid w:val="005E7259"/>
    <w:rsid w:val="005F1C8A"/>
    <w:rsid w:val="005F296C"/>
    <w:rsid w:val="005F37D9"/>
    <w:rsid w:val="005F481F"/>
    <w:rsid w:val="005F6A44"/>
    <w:rsid w:val="005F726C"/>
    <w:rsid w:val="00601F8E"/>
    <w:rsid w:val="00602C11"/>
    <w:rsid w:val="00611506"/>
    <w:rsid w:val="00612AFA"/>
    <w:rsid w:val="006168AD"/>
    <w:rsid w:val="006205A0"/>
    <w:rsid w:val="00620A51"/>
    <w:rsid w:val="00620CD0"/>
    <w:rsid w:val="00621230"/>
    <w:rsid w:val="006279BF"/>
    <w:rsid w:val="006318E4"/>
    <w:rsid w:val="0063301E"/>
    <w:rsid w:val="00634962"/>
    <w:rsid w:val="006357F7"/>
    <w:rsid w:val="006435A6"/>
    <w:rsid w:val="00644D2A"/>
    <w:rsid w:val="00646684"/>
    <w:rsid w:val="00651091"/>
    <w:rsid w:val="00651AB2"/>
    <w:rsid w:val="0065377F"/>
    <w:rsid w:val="00653E5F"/>
    <w:rsid w:val="006548B5"/>
    <w:rsid w:val="0066093F"/>
    <w:rsid w:val="00661755"/>
    <w:rsid w:val="00667D18"/>
    <w:rsid w:val="00670B83"/>
    <w:rsid w:val="0067133D"/>
    <w:rsid w:val="006725E5"/>
    <w:rsid w:val="006754A6"/>
    <w:rsid w:val="00677074"/>
    <w:rsid w:val="006804CA"/>
    <w:rsid w:val="006829AE"/>
    <w:rsid w:val="006926A2"/>
    <w:rsid w:val="00693913"/>
    <w:rsid w:val="0069446B"/>
    <w:rsid w:val="006950EB"/>
    <w:rsid w:val="006978E0"/>
    <w:rsid w:val="006A0DC3"/>
    <w:rsid w:val="006A155E"/>
    <w:rsid w:val="006A1B66"/>
    <w:rsid w:val="006A226E"/>
    <w:rsid w:val="006A2843"/>
    <w:rsid w:val="006A31E4"/>
    <w:rsid w:val="006A3733"/>
    <w:rsid w:val="006A4F15"/>
    <w:rsid w:val="006A503B"/>
    <w:rsid w:val="006A516E"/>
    <w:rsid w:val="006A6482"/>
    <w:rsid w:val="006B0112"/>
    <w:rsid w:val="006B0B59"/>
    <w:rsid w:val="006B665F"/>
    <w:rsid w:val="006B6DC6"/>
    <w:rsid w:val="006B7BE0"/>
    <w:rsid w:val="006C1073"/>
    <w:rsid w:val="006C2DF8"/>
    <w:rsid w:val="006C3D1D"/>
    <w:rsid w:val="006C5621"/>
    <w:rsid w:val="006D2357"/>
    <w:rsid w:val="006D2AE3"/>
    <w:rsid w:val="006D4B12"/>
    <w:rsid w:val="006D5EB1"/>
    <w:rsid w:val="006D5FCA"/>
    <w:rsid w:val="006E095E"/>
    <w:rsid w:val="006E1778"/>
    <w:rsid w:val="006E1F96"/>
    <w:rsid w:val="006E29D3"/>
    <w:rsid w:val="006E354E"/>
    <w:rsid w:val="006E38B7"/>
    <w:rsid w:val="006E4FA9"/>
    <w:rsid w:val="006E7CFF"/>
    <w:rsid w:val="006F1030"/>
    <w:rsid w:val="006F3927"/>
    <w:rsid w:val="006F4DAC"/>
    <w:rsid w:val="006F54C8"/>
    <w:rsid w:val="006F55D5"/>
    <w:rsid w:val="0070367F"/>
    <w:rsid w:val="00706037"/>
    <w:rsid w:val="00706C6C"/>
    <w:rsid w:val="00706F53"/>
    <w:rsid w:val="00710E03"/>
    <w:rsid w:val="007112E4"/>
    <w:rsid w:val="00712655"/>
    <w:rsid w:val="00712D03"/>
    <w:rsid w:val="0071525F"/>
    <w:rsid w:val="0071542B"/>
    <w:rsid w:val="00721078"/>
    <w:rsid w:val="00724BD6"/>
    <w:rsid w:val="00727ED1"/>
    <w:rsid w:val="00733FD3"/>
    <w:rsid w:val="00737262"/>
    <w:rsid w:val="00745F19"/>
    <w:rsid w:val="00751D3B"/>
    <w:rsid w:val="00752C18"/>
    <w:rsid w:val="007573E4"/>
    <w:rsid w:val="007602DF"/>
    <w:rsid w:val="00760CD5"/>
    <w:rsid w:val="00761659"/>
    <w:rsid w:val="00765FFA"/>
    <w:rsid w:val="0077017F"/>
    <w:rsid w:val="007731AC"/>
    <w:rsid w:val="007778B9"/>
    <w:rsid w:val="007801F7"/>
    <w:rsid w:val="00784ADC"/>
    <w:rsid w:val="007850D7"/>
    <w:rsid w:val="007851A0"/>
    <w:rsid w:val="00790D4F"/>
    <w:rsid w:val="00794D7E"/>
    <w:rsid w:val="00796491"/>
    <w:rsid w:val="007967E9"/>
    <w:rsid w:val="007A17EA"/>
    <w:rsid w:val="007A4E5D"/>
    <w:rsid w:val="007A5130"/>
    <w:rsid w:val="007A5C81"/>
    <w:rsid w:val="007A746A"/>
    <w:rsid w:val="007A79B6"/>
    <w:rsid w:val="007B19E6"/>
    <w:rsid w:val="007B391C"/>
    <w:rsid w:val="007B4FE7"/>
    <w:rsid w:val="007B5AFE"/>
    <w:rsid w:val="007C0478"/>
    <w:rsid w:val="007C0F97"/>
    <w:rsid w:val="007C3545"/>
    <w:rsid w:val="007C4123"/>
    <w:rsid w:val="007C564E"/>
    <w:rsid w:val="007D1642"/>
    <w:rsid w:val="007D4E8C"/>
    <w:rsid w:val="007D7618"/>
    <w:rsid w:val="007D772D"/>
    <w:rsid w:val="007D7D26"/>
    <w:rsid w:val="007E0471"/>
    <w:rsid w:val="007F2542"/>
    <w:rsid w:val="007F3130"/>
    <w:rsid w:val="00800FB9"/>
    <w:rsid w:val="00802D43"/>
    <w:rsid w:val="00803FF9"/>
    <w:rsid w:val="00805B88"/>
    <w:rsid w:val="0080628F"/>
    <w:rsid w:val="0080779D"/>
    <w:rsid w:val="008077D6"/>
    <w:rsid w:val="00811269"/>
    <w:rsid w:val="00812820"/>
    <w:rsid w:val="00813FB6"/>
    <w:rsid w:val="008150A0"/>
    <w:rsid w:val="00815DD4"/>
    <w:rsid w:val="00817319"/>
    <w:rsid w:val="008200B0"/>
    <w:rsid w:val="0082045F"/>
    <w:rsid w:val="00820EDB"/>
    <w:rsid w:val="0082378A"/>
    <w:rsid w:val="00827805"/>
    <w:rsid w:val="00827966"/>
    <w:rsid w:val="00830FD0"/>
    <w:rsid w:val="00833DEC"/>
    <w:rsid w:val="00835446"/>
    <w:rsid w:val="00836B71"/>
    <w:rsid w:val="0083705F"/>
    <w:rsid w:val="008401BE"/>
    <w:rsid w:val="008409B6"/>
    <w:rsid w:val="00844A87"/>
    <w:rsid w:val="00844CE6"/>
    <w:rsid w:val="00846FB2"/>
    <w:rsid w:val="0085067D"/>
    <w:rsid w:val="00850912"/>
    <w:rsid w:val="00852E72"/>
    <w:rsid w:val="00852E85"/>
    <w:rsid w:val="00853B00"/>
    <w:rsid w:val="0085432B"/>
    <w:rsid w:val="008554D4"/>
    <w:rsid w:val="00856984"/>
    <w:rsid w:val="00862D57"/>
    <w:rsid w:val="008641A3"/>
    <w:rsid w:val="008650BF"/>
    <w:rsid w:val="008670DB"/>
    <w:rsid w:val="00873B0A"/>
    <w:rsid w:val="008754A9"/>
    <w:rsid w:val="008775F0"/>
    <w:rsid w:val="00881289"/>
    <w:rsid w:val="00882E11"/>
    <w:rsid w:val="008830F0"/>
    <w:rsid w:val="00883D83"/>
    <w:rsid w:val="00885166"/>
    <w:rsid w:val="008869C8"/>
    <w:rsid w:val="00893C34"/>
    <w:rsid w:val="00894705"/>
    <w:rsid w:val="00897324"/>
    <w:rsid w:val="008A1B92"/>
    <w:rsid w:val="008A26B9"/>
    <w:rsid w:val="008A4B16"/>
    <w:rsid w:val="008A64A0"/>
    <w:rsid w:val="008A6B9E"/>
    <w:rsid w:val="008A7E8A"/>
    <w:rsid w:val="008B21EE"/>
    <w:rsid w:val="008B2F54"/>
    <w:rsid w:val="008B5BBC"/>
    <w:rsid w:val="008B778A"/>
    <w:rsid w:val="008C0B99"/>
    <w:rsid w:val="008C1187"/>
    <w:rsid w:val="008C1F4B"/>
    <w:rsid w:val="008C6C93"/>
    <w:rsid w:val="008D03D8"/>
    <w:rsid w:val="008D29DE"/>
    <w:rsid w:val="008D61BB"/>
    <w:rsid w:val="008D794B"/>
    <w:rsid w:val="008E04DF"/>
    <w:rsid w:val="008E1E7B"/>
    <w:rsid w:val="008E3349"/>
    <w:rsid w:val="008E4ADF"/>
    <w:rsid w:val="008E7017"/>
    <w:rsid w:val="008E722A"/>
    <w:rsid w:val="008F17B9"/>
    <w:rsid w:val="008F2369"/>
    <w:rsid w:val="008F341D"/>
    <w:rsid w:val="008F6E72"/>
    <w:rsid w:val="00900ED4"/>
    <w:rsid w:val="00902625"/>
    <w:rsid w:val="00902B89"/>
    <w:rsid w:val="00902B95"/>
    <w:rsid w:val="00904613"/>
    <w:rsid w:val="00905CCC"/>
    <w:rsid w:val="009069CF"/>
    <w:rsid w:val="00906A93"/>
    <w:rsid w:val="00906C4A"/>
    <w:rsid w:val="00910836"/>
    <w:rsid w:val="00911D78"/>
    <w:rsid w:val="0091701B"/>
    <w:rsid w:val="009179AA"/>
    <w:rsid w:val="00917F81"/>
    <w:rsid w:val="0092798E"/>
    <w:rsid w:val="00927C81"/>
    <w:rsid w:val="00930849"/>
    <w:rsid w:val="00930DF4"/>
    <w:rsid w:val="00932070"/>
    <w:rsid w:val="00934BBA"/>
    <w:rsid w:val="00935BCC"/>
    <w:rsid w:val="00936A1D"/>
    <w:rsid w:val="009375FF"/>
    <w:rsid w:val="00943B5B"/>
    <w:rsid w:val="0094535E"/>
    <w:rsid w:val="00952EAB"/>
    <w:rsid w:val="00952F16"/>
    <w:rsid w:val="00953ADA"/>
    <w:rsid w:val="00954990"/>
    <w:rsid w:val="00957BA8"/>
    <w:rsid w:val="00960E46"/>
    <w:rsid w:val="00960F55"/>
    <w:rsid w:val="009655FC"/>
    <w:rsid w:val="00966CE9"/>
    <w:rsid w:val="0097075B"/>
    <w:rsid w:val="00972CFA"/>
    <w:rsid w:val="00973241"/>
    <w:rsid w:val="00973449"/>
    <w:rsid w:val="00973782"/>
    <w:rsid w:val="00973A0F"/>
    <w:rsid w:val="00974AB7"/>
    <w:rsid w:val="00975A33"/>
    <w:rsid w:val="009765C1"/>
    <w:rsid w:val="00980F57"/>
    <w:rsid w:val="009814C2"/>
    <w:rsid w:val="00990390"/>
    <w:rsid w:val="00993636"/>
    <w:rsid w:val="009936DE"/>
    <w:rsid w:val="009957DA"/>
    <w:rsid w:val="00997962"/>
    <w:rsid w:val="009A031C"/>
    <w:rsid w:val="009A0BD6"/>
    <w:rsid w:val="009A20A3"/>
    <w:rsid w:val="009A23F8"/>
    <w:rsid w:val="009A2DDC"/>
    <w:rsid w:val="009A3D1E"/>
    <w:rsid w:val="009A40DB"/>
    <w:rsid w:val="009A4110"/>
    <w:rsid w:val="009A6BDF"/>
    <w:rsid w:val="009B0776"/>
    <w:rsid w:val="009B1213"/>
    <w:rsid w:val="009B2AC8"/>
    <w:rsid w:val="009B4CCB"/>
    <w:rsid w:val="009B5524"/>
    <w:rsid w:val="009C0370"/>
    <w:rsid w:val="009C166A"/>
    <w:rsid w:val="009C697B"/>
    <w:rsid w:val="009C6CC0"/>
    <w:rsid w:val="009C6CFE"/>
    <w:rsid w:val="009C6D67"/>
    <w:rsid w:val="009C7F6A"/>
    <w:rsid w:val="009D2C8E"/>
    <w:rsid w:val="009D52AA"/>
    <w:rsid w:val="009E0302"/>
    <w:rsid w:val="009E169B"/>
    <w:rsid w:val="009E2300"/>
    <w:rsid w:val="009E26E5"/>
    <w:rsid w:val="009E3461"/>
    <w:rsid w:val="009E4D4A"/>
    <w:rsid w:val="009E6227"/>
    <w:rsid w:val="009E6672"/>
    <w:rsid w:val="009E7813"/>
    <w:rsid w:val="009F19E5"/>
    <w:rsid w:val="009F6AE6"/>
    <w:rsid w:val="00A02EA4"/>
    <w:rsid w:val="00A047EA"/>
    <w:rsid w:val="00A060C1"/>
    <w:rsid w:val="00A11AB2"/>
    <w:rsid w:val="00A12E04"/>
    <w:rsid w:val="00A12E7D"/>
    <w:rsid w:val="00A130A0"/>
    <w:rsid w:val="00A16257"/>
    <w:rsid w:val="00A20069"/>
    <w:rsid w:val="00A20168"/>
    <w:rsid w:val="00A2142A"/>
    <w:rsid w:val="00A225D6"/>
    <w:rsid w:val="00A24EE6"/>
    <w:rsid w:val="00A2503B"/>
    <w:rsid w:val="00A31825"/>
    <w:rsid w:val="00A32B1A"/>
    <w:rsid w:val="00A33FA0"/>
    <w:rsid w:val="00A367B5"/>
    <w:rsid w:val="00A37040"/>
    <w:rsid w:val="00A4060E"/>
    <w:rsid w:val="00A4172E"/>
    <w:rsid w:val="00A42B8A"/>
    <w:rsid w:val="00A45F59"/>
    <w:rsid w:val="00A46C03"/>
    <w:rsid w:val="00A47D22"/>
    <w:rsid w:val="00A47FE3"/>
    <w:rsid w:val="00A5116F"/>
    <w:rsid w:val="00A53208"/>
    <w:rsid w:val="00A53511"/>
    <w:rsid w:val="00A54286"/>
    <w:rsid w:val="00A5568C"/>
    <w:rsid w:val="00A55D6A"/>
    <w:rsid w:val="00A609E6"/>
    <w:rsid w:val="00A62DA0"/>
    <w:rsid w:val="00A63A02"/>
    <w:rsid w:val="00A66E26"/>
    <w:rsid w:val="00A66E53"/>
    <w:rsid w:val="00A67FF4"/>
    <w:rsid w:val="00A7321B"/>
    <w:rsid w:val="00A749BE"/>
    <w:rsid w:val="00A75CB6"/>
    <w:rsid w:val="00A76AE3"/>
    <w:rsid w:val="00A8012B"/>
    <w:rsid w:val="00A80299"/>
    <w:rsid w:val="00A80818"/>
    <w:rsid w:val="00A811A4"/>
    <w:rsid w:val="00A811CA"/>
    <w:rsid w:val="00A8266B"/>
    <w:rsid w:val="00A83C44"/>
    <w:rsid w:val="00A849D2"/>
    <w:rsid w:val="00A8739D"/>
    <w:rsid w:val="00A94B79"/>
    <w:rsid w:val="00A95335"/>
    <w:rsid w:val="00A956D5"/>
    <w:rsid w:val="00A96615"/>
    <w:rsid w:val="00AA5392"/>
    <w:rsid w:val="00AA7EDB"/>
    <w:rsid w:val="00AB02A6"/>
    <w:rsid w:val="00AB18A5"/>
    <w:rsid w:val="00AB1AC0"/>
    <w:rsid w:val="00AB2E8E"/>
    <w:rsid w:val="00AB3029"/>
    <w:rsid w:val="00AB3404"/>
    <w:rsid w:val="00AB4F67"/>
    <w:rsid w:val="00AB55D8"/>
    <w:rsid w:val="00AB6340"/>
    <w:rsid w:val="00AC0AEC"/>
    <w:rsid w:val="00AC253D"/>
    <w:rsid w:val="00AC4166"/>
    <w:rsid w:val="00AC49DE"/>
    <w:rsid w:val="00AC4A0F"/>
    <w:rsid w:val="00AC750D"/>
    <w:rsid w:val="00AD0274"/>
    <w:rsid w:val="00AD1B7C"/>
    <w:rsid w:val="00AD4176"/>
    <w:rsid w:val="00AD4464"/>
    <w:rsid w:val="00AD4AB7"/>
    <w:rsid w:val="00AE1EA2"/>
    <w:rsid w:val="00AE2827"/>
    <w:rsid w:val="00AE2BA8"/>
    <w:rsid w:val="00AE341F"/>
    <w:rsid w:val="00AE5F6C"/>
    <w:rsid w:val="00AE603D"/>
    <w:rsid w:val="00AE64DA"/>
    <w:rsid w:val="00AE6F74"/>
    <w:rsid w:val="00AF20A3"/>
    <w:rsid w:val="00AF7CD2"/>
    <w:rsid w:val="00B06B89"/>
    <w:rsid w:val="00B135E5"/>
    <w:rsid w:val="00B13C1A"/>
    <w:rsid w:val="00B13D18"/>
    <w:rsid w:val="00B14347"/>
    <w:rsid w:val="00B14E97"/>
    <w:rsid w:val="00B17560"/>
    <w:rsid w:val="00B2076C"/>
    <w:rsid w:val="00B20CB8"/>
    <w:rsid w:val="00B21B14"/>
    <w:rsid w:val="00B2496A"/>
    <w:rsid w:val="00B254DE"/>
    <w:rsid w:val="00B25725"/>
    <w:rsid w:val="00B25C62"/>
    <w:rsid w:val="00B262E0"/>
    <w:rsid w:val="00B31294"/>
    <w:rsid w:val="00B32976"/>
    <w:rsid w:val="00B332F2"/>
    <w:rsid w:val="00B3442F"/>
    <w:rsid w:val="00B3635C"/>
    <w:rsid w:val="00B376F1"/>
    <w:rsid w:val="00B43FCE"/>
    <w:rsid w:val="00B5224E"/>
    <w:rsid w:val="00B525DD"/>
    <w:rsid w:val="00B545DF"/>
    <w:rsid w:val="00B54629"/>
    <w:rsid w:val="00B560AC"/>
    <w:rsid w:val="00B5761F"/>
    <w:rsid w:val="00B60E8B"/>
    <w:rsid w:val="00B64778"/>
    <w:rsid w:val="00B65ECD"/>
    <w:rsid w:val="00B7013E"/>
    <w:rsid w:val="00B71639"/>
    <w:rsid w:val="00B73567"/>
    <w:rsid w:val="00B735BA"/>
    <w:rsid w:val="00B761EA"/>
    <w:rsid w:val="00B777CA"/>
    <w:rsid w:val="00B805BF"/>
    <w:rsid w:val="00B8513F"/>
    <w:rsid w:val="00B87446"/>
    <w:rsid w:val="00B9419C"/>
    <w:rsid w:val="00B94A78"/>
    <w:rsid w:val="00B954B2"/>
    <w:rsid w:val="00B961AF"/>
    <w:rsid w:val="00B9693B"/>
    <w:rsid w:val="00BA309A"/>
    <w:rsid w:val="00BA40B9"/>
    <w:rsid w:val="00BA68A1"/>
    <w:rsid w:val="00BA7DF8"/>
    <w:rsid w:val="00BB0C79"/>
    <w:rsid w:val="00BB0D08"/>
    <w:rsid w:val="00BB2599"/>
    <w:rsid w:val="00BB25A8"/>
    <w:rsid w:val="00BB4C05"/>
    <w:rsid w:val="00BB65E7"/>
    <w:rsid w:val="00BC0A69"/>
    <w:rsid w:val="00BC1B54"/>
    <w:rsid w:val="00BC21EB"/>
    <w:rsid w:val="00BC2DE6"/>
    <w:rsid w:val="00BC3FB5"/>
    <w:rsid w:val="00BD3B98"/>
    <w:rsid w:val="00BD45F0"/>
    <w:rsid w:val="00BD5920"/>
    <w:rsid w:val="00BD7B5F"/>
    <w:rsid w:val="00BD7BF0"/>
    <w:rsid w:val="00BE1B5E"/>
    <w:rsid w:val="00BE3173"/>
    <w:rsid w:val="00BE4047"/>
    <w:rsid w:val="00BE41E7"/>
    <w:rsid w:val="00BE5290"/>
    <w:rsid w:val="00BE552F"/>
    <w:rsid w:val="00BE654B"/>
    <w:rsid w:val="00BF50F2"/>
    <w:rsid w:val="00C0040C"/>
    <w:rsid w:val="00C01143"/>
    <w:rsid w:val="00C10A72"/>
    <w:rsid w:val="00C11EA2"/>
    <w:rsid w:val="00C1236F"/>
    <w:rsid w:val="00C15556"/>
    <w:rsid w:val="00C15AC1"/>
    <w:rsid w:val="00C1643A"/>
    <w:rsid w:val="00C21D79"/>
    <w:rsid w:val="00C34049"/>
    <w:rsid w:val="00C34CF1"/>
    <w:rsid w:val="00C3569A"/>
    <w:rsid w:val="00C35E03"/>
    <w:rsid w:val="00C36071"/>
    <w:rsid w:val="00C36276"/>
    <w:rsid w:val="00C36DBB"/>
    <w:rsid w:val="00C37D4C"/>
    <w:rsid w:val="00C414C5"/>
    <w:rsid w:val="00C43979"/>
    <w:rsid w:val="00C43B99"/>
    <w:rsid w:val="00C45E34"/>
    <w:rsid w:val="00C45F5E"/>
    <w:rsid w:val="00C462BB"/>
    <w:rsid w:val="00C51922"/>
    <w:rsid w:val="00C53956"/>
    <w:rsid w:val="00C54B71"/>
    <w:rsid w:val="00C55970"/>
    <w:rsid w:val="00C55E85"/>
    <w:rsid w:val="00C563E2"/>
    <w:rsid w:val="00C60A9C"/>
    <w:rsid w:val="00C6422B"/>
    <w:rsid w:val="00C64489"/>
    <w:rsid w:val="00C659B8"/>
    <w:rsid w:val="00C67676"/>
    <w:rsid w:val="00C708D6"/>
    <w:rsid w:val="00C71F9D"/>
    <w:rsid w:val="00C72438"/>
    <w:rsid w:val="00C739FF"/>
    <w:rsid w:val="00C81103"/>
    <w:rsid w:val="00C846B0"/>
    <w:rsid w:val="00C86BBF"/>
    <w:rsid w:val="00C9096C"/>
    <w:rsid w:val="00C91530"/>
    <w:rsid w:val="00C933A1"/>
    <w:rsid w:val="00C95C64"/>
    <w:rsid w:val="00C97AB9"/>
    <w:rsid w:val="00CA009C"/>
    <w:rsid w:val="00CA0572"/>
    <w:rsid w:val="00CA084F"/>
    <w:rsid w:val="00CA2484"/>
    <w:rsid w:val="00CA4FEC"/>
    <w:rsid w:val="00CA5453"/>
    <w:rsid w:val="00CA7A4E"/>
    <w:rsid w:val="00CB15B1"/>
    <w:rsid w:val="00CB1EAC"/>
    <w:rsid w:val="00CB39EE"/>
    <w:rsid w:val="00CB4F2D"/>
    <w:rsid w:val="00CB6A17"/>
    <w:rsid w:val="00CC0DC8"/>
    <w:rsid w:val="00CC2FC1"/>
    <w:rsid w:val="00CC5EDD"/>
    <w:rsid w:val="00CC6353"/>
    <w:rsid w:val="00CC6D75"/>
    <w:rsid w:val="00CC71BE"/>
    <w:rsid w:val="00CC7621"/>
    <w:rsid w:val="00CC7E68"/>
    <w:rsid w:val="00CC7EC3"/>
    <w:rsid w:val="00CD0240"/>
    <w:rsid w:val="00CD2B7E"/>
    <w:rsid w:val="00CD607C"/>
    <w:rsid w:val="00CD7C47"/>
    <w:rsid w:val="00CE0F66"/>
    <w:rsid w:val="00CE3C5B"/>
    <w:rsid w:val="00CE4621"/>
    <w:rsid w:val="00CE5622"/>
    <w:rsid w:val="00CE56DA"/>
    <w:rsid w:val="00CE5925"/>
    <w:rsid w:val="00CE62DF"/>
    <w:rsid w:val="00CF15DB"/>
    <w:rsid w:val="00CF4688"/>
    <w:rsid w:val="00CF5F4B"/>
    <w:rsid w:val="00D0011F"/>
    <w:rsid w:val="00D00F65"/>
    <w:rsid w:val="00D03574"/>
    <w:rsid w:val="00D10833"/>
    <w:rsid w:val="00D10960"/>
    <w:rsid w:val="00D12BBD"/>
    <w:rsid w:val="00D136BD"/>
    <w:rsid w:val="00D13FDF"/>
    <w:rsid w:val="00D201EC"/>
    <w:rsid w:val="00D22C61"/>
    <w:rsid w:val="00D23BBE"/>
    <w:rsid w:val="00D24267"/>
    <w:rsid w:val="00D24C09"/>
    <w:rsid w:val="00D31379"/>
    <w:rsid w:val="00D343DA"/>
    <w:rsid w:val="00D37E93"/>
    <w:rsid w:val="00D4158B"/>
    <w:rsid w:val="00D42099"/>
    <w:rsid w:val="00D429E6"/>
    <w:rsid w:val="00D51D5C"/>
    <w:rsid w:val="00D520C1"/>
    <w:rsid w:val="00D52766"/>
    <w:rsid w:val="00D5478C"/>
    <w:rsid w:val="00D55667"/>
    <w:rsid w:val="00D56C04"/>
    <w:rsid w:val="00D576F7"/>
    <w:rsid w:val="00D57A72"/>
    <w:rsid w:val="00D61002"/>
    <w:rsid w:val="00D626CC"/>
    <w:rsid w:val="00D639F9"/>
    <w:rsid w:val="00D64144"/>
    <w:rsid w:val="00D64A07"/>
    <w:rsid w:val="00D65739"/>
    <w:rsid w:val="00D66881"/>
    <w:rsid w:val="00D67D1B"/>
    <w:rsid w:val="00D67D89"/>
    <w:rsid w:val="00D7039A"/>
    <w:rsid w:val="00D708CB"/>
    <w:rsid w:val="00D728BA"/>
    <w:rsid w:val="00D77077"/>
    <w:rsid w:val="00D773C9"/>
    <w:rsid w:val="00D84BEA"/>
    <w:rsid w:val="00D84DDB"/>
    <w:rsid w:val="00D85FBE"/>
    <w:rsid w:val="00D90051"/>
    <w:rsid w:val="00D95334"/>
    <w:rsid w:val="00D97A46"/>
    <w:rsid w:val="00D97B4C"/>
    <w:rsid w:val="00DA14B3"/>
    <w:rsid w:val="00DA1AF7"/>
    <w:rsid w:val="00DA2932"/>
    <w:rsid w:val="00DA33C9"/>
    <w:rsid w:val="00DA74F1"/>
    <w:rsid w:val="00DA7F7E"/>
    <w:rsid w:val="00DB32AF"/>
    <w:rsid w:val="00DB3487"/>
    <w:rsid w:val="00DB6297"/>
    <w:rsid w:val="00DB6536"/>
    <w:rsid w:val="00DC000F"/>
    <w:rsid w:val="00DC0486"/>
    <w:rsid w:val="00DC2300"/>
    <w:rsid w:val="00DC5B0E"/>
    <w:rsid w:val="00DC5B2E"/>
    <w:rsid w:val="00DC5CE0"/>
    <w:rsid w:val="00DC70E1"/>
    <w:rsid w:val="00DD109A"/>
    <w:rsid w:val="00DD1227"/>
    <w:rsid w:val="00DD28EE"/>
    <w:rsid w:val="00DD5D9D"/>
    <w:rsid w:val="00DD74F4"/>
    <w:rsid w:val="00DD7B9F"/>
    <w:rsid w:val="00DE1AEF"/>
    <w:rsid w:val="00DE25B2"/>
    <w:rsid w:val="00DE3143"/>
    <w:rsid w:val="00DE77F1"/>
    <w:rsid w:val="00DF32D3"/>
    <w:rsid w:val="00DF3363"/>
    <w:rsid w:val="00DF3A10"/>
    <w:rsid w:val="00E03E2A"/>
    <w:rsid w:val="00E04A06"/>
    <w:rsid w:val="00E1276F"/>
    <w:rsid w:val="00E14FD8"/>
    <w:rsid w:val="00E15737"/>
    <w:rsid w:val="00E2043A"/>
    <w:rsid w:val="00E21C89"/>
    <w:rsid w:val="00E2264D"/>
    <w:rsid w:val="00E243F5"/>
    <w:rsid w:val="00E263E5"/>
    <w:rsid w:val="00E302F1"/>
    <w:rsid w:val="00E30A19"/>
    <w:rsid w:val="00E31F44"/>
    <w:rsid w:val="00E340B2"/>
    <w:rsid w:val="00E340FA"/>
    <w:rsid w:val="00E36094"/>
    <w:rsid w:val="00E36AAB"/>
    <w:rsid w:val="00E36BE7"/>
    <w:rsid w:val="00E371AC"/>
    <w:rsid w:val="00E41604"/>
    <w:rsid w:val="00E418DE"/>
    <w:rsid w:val="00E421D3"/>
    <w:rsid w:val="00E43C7A"/>
    <w:rsid w:val="00E44EAB"/>
    <w:rsid w:val="00E45667"/>
    <w:rsid w:val="00E50378"/>
    <w:rsid w:val="00E512D8"/>
    <w:rsid w:val="00E54A48"/>
    <w:rsid w:val="00E61523"/>
    <w:rsid w:val="00E636EE"/>
    <w:rsid w:val="00E64B99"/>
    <w:rsid w:val="00E65081"/>
    <w:rsid w:val="00E67191"/>
    <w:rsid w:val="00E70303"/>
    <w:rsid w:val="00E71259"/>
    <w:rsid w:val="00E73586"/>
    <w:rsid w:val="00E7510B"/>
    <w:rsid w:val="00E75D59"/>
    <w:rsid w:val="00E821FC"/>
    <w:rsid w:val="00E82326"/>
    <w:rsid w:val="00E87BA3"/>
    <w:rsid w:val="00E903B9"/>
    <w:rsid w:val="00E929D1"/>
    <w:rsid w:val="00E9302A"/>
    <w:rsid w:val="00E93577"/>
    <w:rsid w:val="00E93B22"/>
    <w:rsid w:val="00E948C7"/>
    <w:rsid w:val="00E94C69"/>
    <w:rsid w:val="00E9581D"/>
    <w:rsid w:val="00E96FE7"/>
    <w:rsid w:val="00EA0C00"/>
    <w:rsid w:val="00EA3E3F"/>
    <w:rsid w:val="00EA7905"/>
    <w:rsid w:val="00EB07D2"/>
    <w:rsid w:val="00EB0A1E"/>
    <w:rsid w:val="00EB2807"/>
    <w:rsid w:val="00EC0434"/>
    <w:rsid w:val="00EC1AB2"/>
    <w:rsid w:val="00EC2374"/>
    <w:rsid w:val="00EC4289"/>
    <w:rsid w:val="00EC7884"/>
    <w:rsid w:val="00EC7C38"/>
    <w:rsid w:val="00ED28E9"/>
    <w:rsid w:val="00ED50DD"/>
    <w:rsid w:val="00ED51AC"/>
    <w:rsid w:val="00EE0E47"/>
    <w:rsid w:val="00EE1562"/>
    <w:rsid w:val="00EE36C8"/>
    <w:rsid w:val="00EE4247"/>
    <w:rsid w:val="00EE7ED4"/>
    <w:rsid w:val="00EF1701"/>
    <w:rsid w:val="00F00054"/>
    <w:rsid w:val="00F036AB"/>
    <w:rsid w:val="00F104A1"/>
    <w:rsid w:val="00F10BAF"/>
    <w:rsid w:val="00F12502"/>
    <w:rsid w:val="00F1431B"/>
    <w:rsid w:val="00F16D18"/>
    <w:rsid w:val="00F173C2"/>
    <w:rsid w:val="00F1774E"/>
    <w:rsid w:val="00F21308"/>
    <w:rsid w:val="00F24501"/>
    <w:rsid w:val="00F25193"/>
    <w:rsid w:val="00F25AD6"/>
    <w:rsid w:val="00F3027D"/>
    <w:rsid w:val="00F30C61"/>
    <w:rsid w:val="00F3122C"/>
    <w:rsid w:val="00F332B8"/>
    <w:rsid w:val="00F35A5A"/>
    <w:rsid w:val="00F373BF"/>
    <w:rsid w:val="00F37CD3"/>
    <w:rsid w:val="00F40404"/>
    <w:rsid w:val="00F411D6"/>
    <w:rsid w:val="00F45D8E"/>
    <w:rsid w:val="00F5431D"/>
    <w:rsid w:val="00F55A96"/>
    <w:rsid w:val="00F6185A"/>
    <w:rsid w:val="00F637B9"/>
    <w:rsid w:val="00F63CA0"/>
    <w:rsid w:val="00F63EC3"/>
    <w:rsid w:val="00F64675"/>
    <w:rsid w:val="00F70299"/>
    <w:rsid w:val="00F715CD"/>
    <w:rsid w:val="00F73121"/>
    <w:rsid w:val="00F7458D"/>
    <w:rsid w:val="00F75F85"/>
    <w:rsid w:val="00F776AC"/>
    <w:rsid w:val="00F8012B"/>
    <w:rsid w:val="00F825ED"/>
    <w:rsid w:val="00F83229"/>
    <w:rsid w:val="00F83E6C"/>
    <w:rsid w:val="00F8780C"/>
    <w:rsid w:val="00F97765"/>
    <w:rsid w:val="00F97E1D"/>
    <w:rsid w:val="00FA6F7F"/>
    <w:rsid w:val="00FA7E25"/>
    <w:rsid w:val="00FB4CA9"/>
    <w:rsid w:val="00FC1FA6"/>
    <w:rsid w:val="00FC2CB2"/>
    <w:rsid w:val="00FC2D25"/>
    <w:rsid w:val="00FC4349"/>
    <w:rsid w:val="00FC4DCB"/>
    <w:rsid w:val="00FD024A"/>
    <w:rsid w:val="00FD1A78"/>
    <w:rsid w:val="00FD60F3"/>
    <w:rsid w:val="00FD66FF"/>
    <w:rsid w:val="00FD7E67"/>
    <w:rsid w:val="00FE1C8C"/>
    <w:rsid w:val="00FE2CCC"/>
    <w:rsid w:val="00FE46EF"/>
    <w:rsid w:val="00FE6CAB"/>
    <w:rsid w:val="00FE7A3E"/>
    <w:rsid w:val="00FE7F42"/>
    <w:rsid w:val="00FF3997"/>
    <w:rsid w:val="00FF4C0C"/>
    <w:rsid w:val="00FF503F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8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80D8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0D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0D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0D89"/>
    <w:pPr>
      <w:keepNext/>
      <w:spacing w:before="240" w:after="60"/>
      <w:outlineLvl w:val="3"/>
    </w:pPr>
    <w:rPr>
      <w:b/>
      <w:bCs/>
      <w:szCs w:val="26"/>
    </w:rPr>
  </w:style>
  <w:style w:type="paragraph" w:styleId="Heading5">
    <w:name w:val="heading 5"/>
    <w:basedOn w:val="Normal"/>
    <w:next w:val="Normal"/>
    <w:qFormat/>
    <w:rsid w:val="00180D89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  <w:rsid w:val="00180D89"/>
  </w:style>
  <w:style w:type="table" w:default="1" w:styleId="TableNormal">
    <w:name w:val="Normal Table"/>
    <w:semiHidden/>
    <w:rsid w:val="00180D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80D89"/>
  </w:style>
  <w:style w:type="paragraph" w:styleId="ListBullet">
    <w:name w:val="List Bullet"/>
    <w:basedOn w:val="Normal"/>
    <w:rsid w:val="00C708D6"/>
    <w:pPr>
      <w:numPr>
        <w:numId w:val="32"/>
      </w:numPr>
    </w:pPr>
  </w:style>
  <w:style w:type="paragraph" w:styleId="ListBullet2">
    <w:name w:val="List Bullet 2"/>
    <w:basedOn w:val="ListBullet"/>
    <w:rsid w:val="00C708D6"/>
    <w:pPr>
      <w:numPr>
        <w:numId w:val="3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ListBullet2"/>
    <w:rsid w:val="00C708D6"/>
    <w:pPr>
      <w:numPr>
        <w:numId w:val="34"/>
      </w:numPr>
      <w:tabs>
        <w:tab w:val="clear" w:pos="926"/>
        <w:tab w:val="num" w:pos="1080"/>
      </w:tabs>
      <w:ind w:left="720" w:firstLine="0"/>
    </w:pPr>
  </w:style>
  <w:style w:type="paragraph" w:styleId="ListBullet4">
    <w:name w:val="List Bullet 4"/>
    <w:basedOn w:val="ListBullet3"/>
    <w:rsid w:val="00C708D6"/>
    <w:pPr>
      <w:numPr>
        <w:numId w:val="35"/>
      </w:numPr>
      <w:tabs>
        <w:tab w:val="clear" w:pos="1209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485485"/>
    <w:pPr>
      <w:numPr>
        <w:numId w:val="36"/>
      </w:numPr>
      <w:tabs>
        <w:tab w:val="clear" w:pos="1435"/>
        <w:tab w:val="clear" w:pos="1492"/>
        <w:tab w:val="num" w:pos="1794"/>
      </w:tabs>
      <w:ind w:left="1794"/>
    </w:pPr>
  </w:style>
  <w:style w:type="paragraph" w:styleId="Header">
    <w:name w:val="header"/>
    <w:basedOn w:val="Normal"/>
    <w:rsid w:val="00180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A0F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B8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E7017"/>
    <w:rPr>
      <w:color w:val="0000FF"/>
      <w:u w:val="single"/>
    </w:rPr>
  </w:style>
  <w:style w:type="character" w:customStyle="1" w:styleId="DeanRutherford">
    <w:name w:val="Dean Rutherford"/>
    <w:semiHidden/>
    <w:rsid w:val="008E701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B20CB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semiHidden/>
    <w:rsid w:val="00DC04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49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9BE"/>
    <w:rPr>
      <w:sz w:val="20"/>
    </w:rPr>
  </w:style>
  <w:style w:type="character" w:customStyle="1" w:styleId="CommentTextChar">
    <w:name w:val="Comment Text Char"/>
    <w:link w:val="CommentText"/>
    <w:rsid w:val="00A749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49BE"/>
    <w:rPr>
      <w:b/>
      <w:bCs/>
    </w:rPr>
  </w:style>
  <w:style w:type="character" w:customStyle="1" w:styleId="CommentSubjectChar">
    <w:name w:val="Comment Subject Char"/>
    <w:link w:val="CommentSubject"/>
    <w:rsid w:val="00A749BE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D657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0D89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80D8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0D8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80D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80D89"/>
    <w:pPr>
      <w:keepNext/>
      <w:spacing w:before="240" w:after="60"/>
      <w:outlineLvl w:val="3"/>
    </w:pPr>
    <w:rPr>
      <w:b/>
      <w:bCs/>
      <w:szCs w:val="26"/>
    </w:rPr>
  </w:style>
  <w:style w:type="paragraph" w:styleId="Heading5">
    <w:name w:val="heading 5"/>
    <w:basedOn w:val="Normal"/>
    <w:next w:val="Normal"/>
    <w:qFormat/>
    <w:rsid w:val="00180D89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  <w:rsid w:val="00180D89"/>
  </w:style>
  <w:style w:type="table" w:default="1" w:styleId="TableNormal">
    <w:name w:val="Normal Table"/>
    <w:semiHidden/>
    <w:rsid w:val="00180D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80D89"/>
  </w:style>
  <w:style w:type="paragraph" w:styleId="ListBullet">
    <w:name w:val="List Bullet"/>
    <w:basedOn w:val="Normal"/>
    <w:rsid w:val="00C708D6"/>
    <w:pPr>
      <w:numPr>
        <w:numId w:val="32"/>
      </w:numPr>
    </w:pPr>
  </w:style>
  <w:style w:type="paragraph" w:styleId="ListBullet2">
    <w:name w:val="List Bullet 2"/>
    <w:basedOn w:val="ListBullet"/>
    <w:rsid w:val="00C708D6"/>
    <w:pPr>
      <w:numPr>
        <w:numId w:val="3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ListBullet2"/>
    <w:rsid w:val="00C708D6"/>
    <w:pPr>
      <w:numPr>
        <w:numId w:val="34"/>
      </w:numPr>
      <w:tabs>
        <w:tab w:val="clear" w:pos="926"/>
        <w:tab w:val="num" w:pos="1080"/>
      </w:tabs>
      <w:ind w:left="720" w:firstLine="0"/>
    </w:pPr>
  </w:style>
  <w:style w:type="paragraph" w:styleId="ListBullet4">
    <w:name w:val="List Bullet 4"/>
    <w:basedOn w:val="ListBullet3"/>
    <w:rsid w:val="00C708D6"/>
    <w:pPr>
      <w:numPr>
        <w:numId w:val="35"/>
      </w:numPr>
      <w:tabs>
        <w:tab w:val="clear" w:pos="1209"/>
        <w:tab w:val="left" w:pos="1435"/>
      </w:tabs>
      <w:ind w:left="1434" w:hanging="357"/>
    </w:pPr>
  </w:style>
  <w:style w:type="paragraph" w:styleId="ListBullet5">
    <w:name w:val="List Bullet 5"/>
    <w:basedOn w:val="ListBullet4"/>
    <w:rsid w:val="00485485"/>
    <w:pPr>
      <w:numPr>
        <w:numId w:val="36"/>
      </w:numPr>
      <w:tabs>
        <w:tab w:val="clear" w:pos="1435"/>
        <w:tab w:val="clear" w:pos="1492"/>
        <w:tab w:val="num" w:pos="1794"/>
      </w:tabs>
      <w:ind w:left="1794"/>
    </w:pPr>
  </w:style>
  <w:style w:type="paragraph" w:styleId="Header">
    <w:name w:val="header"/>
    <w:basedOn w:val="Normal"/>
    <w:rsid w:val="00180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A0F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B87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E7017"/>
    <w:rPr>
      <w:color w:val="0000FF"/>
      <w:u w:val="single"/>
    </w:rPr>
  </w:style>
  <w:style w:type="character" w:customStyle="1" w:styleId="DeanRutherford">
    <w:name w:val="Dean Rutherford"/>
    <w:semiHidden/>
    <w:rsid w:val="008E7017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B20CB8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BalloonText">
    <w:name w:val="Balloon Text"/>
    <w:basedOn w:val="Normal"/>
    <w:semiHidden/>
    <w:rsid w:val="00DC048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49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9BE"/>
    <w:rPr>
      <w:sz w:val="20"/>
    </w:rPr>
  </w:style>
  <w:style w:type="character" w:customStyle="1" w:styleId="CommentTextChar">
    <w:name w:val="Comment Text Char"/>
    <w:link w:val="CommentText"/>
    <w:rsid w:val="00A749B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749BE"/>
    <w:rPr>
      <w:b/>
      <w:bCs/>
    </w:rPr>
  </w:style>
  <w:style w:type="character" w:customStyle="1" w:styleId="CommentSubjectChar">
    <w:name w:val="Comment Subject Char"/>
    <w:link w:val="CommentSubject"/>
    <w:rsid w:val="00A749BE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rsid w:val="00D6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020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r.ellis@med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research.govt.nz/iv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6A5F12E9</Template>
  <TotalTime>24</TotalTime>
  <Pages>2</Pages>
  <Words>666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Statement</vt:lpstr>
    </vt:vector>
  </TitlesOfParts>
  <Company>The Ministry</Company>
  <LinksUpToDate>false</LinksUpToDate>
  <CharactersWithSpaces>4186</CharactersWithSpaces>
  <SharedDoc>false</SharedDoc>
  <HLinks>
    <vt:vector size="12" baseType="variant">
      <vt:variant>
        <vt:i4>2228255</vt:i4>
      </vt:variant>
      <vt:variant>
        <vt:i4>3</vt:i4>
      </vt:variant>
      <vt:variant>
        <vt:i4>0</vt:i4>
      </vt:variant>
      <vt:variant>
        <vt:i4>5</vt:i4>
      </vt:variant>
      <vt:variant>
        <vt:lpwstr>mailto:peter.ellis@med.govt.nz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http://www.tourismresearch.govt.nz/ivs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Statement</dc:title>
  <dc:creator>svehlam</dc:creator>
  <cp:lastModifiedBy>Miles Erwin</cp:lastModifiedBy>
  <cp:revision>5</cp:revision>
  <cp:lastPrinted>2011-08-08T21:48:00Z</cp:lastPrinted>
  <dcterms:created xsi:type="dcterms:W3CDTF">2011-08-08T22:14:00Z</dcterms:created>
  <dcterms:modified xsi:type="dcterms:W3CDTF">2011-08-08T23:20:00Z</dcterms:modified>
</cp:coreProperties>
</file>